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1B3A" w14:textId="77777777" w:rsidR="00C435B5" w:rsidRPr="00445116" w:rsidRDefault="00580828" w:rsidP="00C435B5">
      <w:pPr>
        <w:pStyle w:val="Title"/>
        <w:jc w:val="center"/>
        <w:rPr>
          <w:b/>
          <w:bCs/>
        </w:rPr>
      </w:pPr>
      <w:r w:rsidRPr="00445116">
        <w:rPr>
          <w:b/>
          <w:bCs/>
        </w:rPr>
        <w:t>Expert Panel Review</w:t>
      </w:r>
      <w:r w:rsidR="00C435B5" w:rsidRPr="00445116">
        <w:rPr>
          <w:b/>
          <w:bCs/>
        </w:rPr>
        <w:t xml:space="preserve"> </w:t>
      </w:r>
    </w:p>
    <w:p w14:paraId="20124B36" w14:textId="0496490D" w:rsidR="00C435B5" w:rsidRPr="00445116" w:rsidRDefault="00C435B5" w:rsidP="00C435B5">
      <w:pPr>
        <w:pStyle w:val="Title"/>
        <w:jc w:val="center"/>
        <w:rPr>
          <w:rFonts w:asciiTheme="minorHAnsi" w:hAnsiTheme="minorHAnsi"/>
        </w:rPr>
      </w:pPr>
      <w:r w:rsidRPr="00445116">
        <w:rPr>
          <w:b/>
          <w:bCs/>
        </w:rPr>
        <w:t xml:space="preserve">of </w:t>
      </w:r>
      <w:r w:rsidR="00B156E3" w:rsidRPr="00445116">
        <w:rPr>
          <w:rFonts w:asciiTheme="minorHAnsi" w:hAnsiTheme="minorHAnsi"/>
        </w:rPr>
        <w:t xml:space="preserve">the </w:t>
      </w:r>
      <w:r w:rsidRPr="00445116">
        <w:rPr>
          <w:rFonts w:asciiTheme="minorHAnsi" w:hAnsiTheme="minorHAnsi"/>
        </w:rPr>
        <w:t>draft report on</w:t>
      </w:r>
    </w:p>
    <w:p w14:paraId="147D2595" w14:textId="5AAACD3C" w:rsidR="00F076DF" w:rsidRPr="00445116" w:rsidRDefault="00F076DF" w:rsidP="00F076DF"/>
    <w:p w14:paraId="659064A4" w14:textId="77777777" w:rsidR="00F076DF" w:rsidRPr="00445116" w:rsidRDefault="00F076DF" w:rsidP="00F076DF"/>
    <w:p w14:paraId="2EFFEF6C" w14:textId="77777777" w:rsidR="00C435B5" w:rsidRPr="00445116" w:rsidRDefault="00C435B5" w:rsidP="00C435B5">
      <w:pPr>
        <w:pStyle w:val="Title"/>
        <w:jc w:val="center"/>
        <w:rPr>
          <w:rFonts w:asciiTheme="minorHAnsi" w:hAnsiTheme="minorHAnsi"/>
          <w:color w:val="0070C0"/>
        </w:rPr>
      </w:pPr>
    </w:p>
    <w:p w14:paraId="2545D443" w14:textId="234AED9F" w:rsidR="00AF0E03" w:rsidRPr="00445116" w:rsidRDefault="00C435B5" w:rsidP="00C435B5">
      <w:pPr>
        <w:pStyle w:val="Title"/>
        <w:jc w:val="center"/>
        <w:rPr>
          <w:rFonts w:asciiTheme="minorHAnsi" w:hAnsiTheme="minorHAnsi"/>
          <w:color w:val="0070C0"/>
        </w:rPr>
      </w:pPr>
      <w:r w:rsidRPr="00445116">
        <w:rPr>
          <w:rFonts w:asciiTheme="minorHAnsi" w:hAnsiTheme="minorHAnsi"/>
          <w:i/>
          <w:iCs/>
          <w:color w:val="0070C0"/>
        </w:rPr>
        <w:t xml:space="preserve">The Review of </w:t>
      </w:r>
      <w:r w:rsidR="00B156E3" w:rsidRPr="00445116">
        <w:rPr>
          <w:rFonts w:asciiTheme="minorHAnsi" w:hAnsiTheme="minorHAnsi"/>
          <w:i/>
          <w:iCs/>
          <w:color w:val="0070C0"/>
        </w:rPr>
        <w:t>biosecurity risks of prawns imported from all countries for human consumption</w:t>
      </w:r>
      <w:r w:rsidRPr="00445116">
        <w:rPr>
          <w:rFonts w:asciiTheme="minorHAnsi" w:hAnsiTheme="minorHAnsi"/>
          <w:color w:val="0070C0"/>
        </w:rPr>
        <w:t>, September 2020</w:t>
      </w:r>
      <w:r w:rsidR="00B156E3" w:rsidRPr="00445116">
        <w:rPr>
          <w:rFonts w:asciiTheme="minorHAnsi" w:hAnsiTheme="minorHAnsi"/>
          <w:color w:val="0070C0"/>
        </w:rPr>
        <w:t xml:space="preserve"> </w:t>
      </w:r>
    </w:p>
    <w:p w14:paraId="2CDE18C0" w14:textId="38C6268F" w:rsidR="00C435B5" w:rsidRPr="00445116" w:rsidRDefault="00C435B5" w:rsidP="00C435B5"/>
    <w:p w14:paraId="5D1C2F94" w14:textId="77777777" w:rsidR="00C435B5" w:rsidRPr="00445116" w:rsidRDefault="00C435B5" w:rsidP="00C435B5">
      <w:pPr>
        <w:pStyle w:val="Heading1"/>
        <w:rPr>
          <w:b/>
          <w:bCs/>
          <w:color w:val="auto"/>
          <w:sz w:val="36"/>
          <w:szCs w:val="36"/>
        </w:rPr>
      </w:pPr>
    </w:p>
    <w:p w14:paraId="288CD203" w14:textId="77777777" w:rsidR="00C435B5" w:rsidRPr="00445116" w:rsidRDefault="00C435B5" w:rsidP="00C435B5">
      <w:pPr>
        <w:pStyle w:val="Heading1"/>
        <w:rPr>
          <w:b/>
          <w:bCs/>
          <w:color w:val="auto"/>
          <w:sz w:val="36"/>
          <w:szCs w:val="36"/>
        </w:rPr>
      </w:pPr>
    </w:p>
    <w:p w14:paraId="24C210FF" w14:textId="1CAC30DD" w:rsidR="00C435B5" w:rsidRPr="00A82A48" w:rsidRDefault="00A82A48" w:rsidP="00A82A48">
      <w:pPr>
        <w:rPr>
          <w:rFonts w:asciiTheme="majorHAnsi" w:eastAsiaTheme="majorEastAsia" w:hAnsiTheme="majorHAnsi" w:cstheme="majorBidi"/>
          <w:b/>
          <w:bCs/>
          <w:sz w:val="36"/>
          <w:szCs w:val="36"/>
        </w:rPr>
      </w:pPr>
      <w:bookmarkStart w:id="0" w:name="_Toc72416522"/>
      <w:r>
        <w:rPr>
          <w:rFonts w:asciiTheme="majorHAnsi" w:eastAsiaTheme="majorEastAsia" w:hAnsiTheme="majorHAnsi" w:cstheme="majorBidi"/>
          <w:b/>
          <w:bCs/>
          <w:sz w:val="36"/>
          <w:szCs w:val="36"/>
        </w:rPr>
        <w:t>f</w:t>
      </w:r>
      <w:r w:rsidR="00C435B5" w:rsidRPr="00A82A48">
        <w:rPr>
          <w:rFonts w:asciiTheme="majorHAnsi" w:eastAsiaTheme="majorEastAsia" w:hAnsiTheme="majorHAnsi" w:cstheme="majorBidi"/>
          <w:b/>
          <w:bCs/>
          <w:sz w:val="36"/>
          <w:szCs w:val="36"/>
        </w:rPr>
        <w:t>or</w:t>
      </w:r>
      <w:r>
        <w:t xml:space="preserve"> </w:t>
      </w:r>
      <w:r w:rsidR="00C435B5" w:rsidRPr="00A82A48">
        <w:rPr>
          <w:rFonts w:asciiTheme="majorHAnsi" w:eastAsiaTheme="majorEastAsia" w:hAnsiTheme="majorHAnsi" w:cstheme="majorBidi"/>
          <w:b/>
          <w:bCs/>
          <w:sz w:val="36"/>
          <w:szCs w:val="36"/>
        </w:rPr>
        <w:t>Department of Agriculture, Water and the Environment</w:t>
      </w:r>
      <w:bookmarkEnd w:id="0"/>
    </w:p>
    <w:p w14:paraId="6D5C0829" w14:textId="61B83345" w:rsidR="00580828" w:rsidRPr="00445116" w:rsidRDefault="00580828" w:rsidP="00773F92">
      <w:pPr>
        <w:rPr>
          <w:bCs/>
        </w:rPr>
      </w:pPr>
    </w:p>
    <w:p w14:paraId="7293C7B6" w14:textId="2A6195AB" w:rsidR="0094464B" w:rsidRPr="00445116" w:rsidRDefault="0094464B" w:rsidP="00773F92">
      <w:pPr>
        <w:rPr>
          <w:bCs/>
        </w:rPr>
      </w:pPr>
    </w:p>
    <w:p w14:paraId="45EFB5DC" w14:textId="1820A520" w:rsidR="0094464B" w:rsidRPr="00445116" w:rsidRDefault="0094464B" w:rsidP="00773F92">
      <w:pPr>
        <w:rPr>
          <w:bCs/>
        </w:rPr>
      </w:pPr>
    </w:p>
    <w:p w14:paraId="4CA297F3" w14:textId="77777777" w:rsidR="0094464B" w:rsidRPr="00A82A48" w:rsidRDefault="0094464B" w:rsidP="00A82A48">
      <w:pPr>
        <w:jc w:val="center"/>
        <w:rPr>
          <w:rFonts w:asciiTheme="majorHAnsi" w:eastAsiaTheme="majorEastAsia" w:hAnsiTheme="majorHAnsi" w:cstheme="majorBidi"/>
          <w:b/>
          <w:bCs/>
          <w:sz w:val="32"/>
          <w:szCs w:val="32"/>
        </w:rPr>
      </w:pPr>
      <w:bookmarkStart w:id="1" w:name="_Toc72416523"/>
      <w:r w:rsidRPr="00A82A48">
        <w:rPr>
          <w:rFonts w:asciiTheme="majorHAnsi" w:eastAsiaTheme="majorEastAsia" w:hAnsiTheme="majorHAnsi" w:cstheme="majorBidi"/>
          <w:b/>
          <w:bCs/>
          <w:sz w:val="32"/>
          <w:szCs w:val="32"/>
        </w:rPr>
        <w:t>Expert Panel</w:t>
      </w:r>
      <w:bookmarkEnd w:id="1"/>
    </w:p>
    <w:p w14:paraId="14AC177A" w14:textId="7B069DA4" w:rsidR="0094464B" w:rsidRPr="00A82A48" w:rsidRDefault="00C033D6" w:rsidP="0098231E">
      <w:pPr>
        <w:jc w:val="center"/>
        <w:rPr>
          <w:rFonts w:asciiTheme="majorHAnsi" w:eastAsiaTheme="majorEastAsia" w:hAnsiTheme="majorHAnsi" w:cstheme="majorBidi"/>
          <w:bCs/>
          <w:color w:val="2F5496" w:themeColor="accent1" w:themeShade="BF"/>
          <w:sz w:val="32"/>
          <w:szCs w:val="32"/>
        </w:rPr>
      </w:pPr>
      <w:bookmarkStart w:id="2" w:name="_Toc72416524"/>
      <w:r w:rsidRPr="00025AE2">
        <w:rPr>
          <w:rFonts w:asciiTheme="majorHAnsi" w:eastAsiaTheme="majorEastAsia" w:hAnsiTheme="majorHAnsi" w:cstheme="majorBidi"/>
          <w:b/>
          <w:color w:val="2F5496" w:themeColor="accent1" w:themeShade="BF"/>
          <w:sz w:val="32"/>
          <w:szCs w:val="32"/>
        </w:rPr>
        <w:t xml:space="preserve">Dr </w:t>
      </w:r>
      <w:r w:rsidR="0094464B" w:rsidRPr="00025AE2">
        <w:rPr>
          <w:rFonts w:asciiTheme="majorHAnsi" w:eastAsiaTheme="majorEastAsia" w:hAnsiTheme="majorHAnsi" w:cstheme="majorBidi"/>
          <w:b/>
          <w:color w:val="2F5496" w:themeColor="accent1" w:themeShade="BF"/>
          <w:sz w:val="32"/>
          <w:szCs w:val="32"/>
        </w:rPr>
        <w:t>Joanne Daly (Chair)</w:t>
      </w:r>
      <w:r>
        <w:rPr>
          <w:rFonts w:asciiTheme="majorHAnsi" w:eastAsiaTheme="majorEastAsia" w:hAnsiTheme="majorHAnsi" w:cstheme="majorBidi"/>
          <w:bCs/>
          <w:color w:val="2F5496" w:themeColor="accent1" w:themeShade="BF"/>
          <w:sz w:val="32"/>
          <w:szCs w:val="32"/>
        </w:rPr>
        <w:t xml:space="preserve"> </w:t>
      </w:r>
      <w:r w:rsidRPr="00025AE2">
        <w:rPr>
          <w:rFonts w:asciiTheme="majorHAnsi" w:eastAsiaTheme="majorEastAsia" w:hAnsiTheme="majorHAnsi" w:cstheme="majorBidi"/>
          <w:bCs/>
          <w:color w:val="2F5496" w:themeColor="accent1" w:themeShade="BF"/>
          <w:szCs w:val="24"/>
        </w:rPr>
        <w:t>BSc (Hons), PhD, PSM, FTSE, GAICD</w:t>
      </w:r>
      <w:r w:rsidR="0094464B" w:rsidRPr="00A82A48">
        <w:rPr>
          <w:rFonts w:asciiTheme="majorHAnsi" w:eastAsiaTheme="majorEastAsia" w:hAnsiTheme="majorHAnsi" w:cstheme="majorBidi"/>
          <w:bCs/>
          <w:color w:val="2F5496" w:themeColor="accent1" w:themeShade="BF"/>
          <w:sz w:val="32"/>
          <w:szCs w:val="32"/>
        </w:rPr>
        <w:br/>
      </w:r>
      <w:r w:rsidR="0094464B" w:rsidRPr="00025AE2">
        <w:rPr>
          <w:rFonts w:asciiTheme="majorHAnsi" w:eastAsiaTheme="majorEastAsia" w:hAnsiTheme="majorHAnsi" w:cstheme="majorBidi"/>
          <w:b/>
          <w:color w:val="2F5496" w:themeColor="accent1" w:themeShade="BF"/>
          <w:sz w:val="32"/>
          <w:szCs w:val="32"/>
        </w:rPr>
        <w:t>Stephen McCutcheon</w:t>
      </w:r>
      <w:r w:rsidR="00075D32">
        <w:rPr>
          <w:rFonts w:asciiTheme="majorHAnsi" w:eastAsiaTheme="majorEastAsia" w:hAnsiTheme="majorHAnsi" w:cstheme="majorBidi"/>
          <w:b/>
          <w:color w:val="2F5496" w:themeColor="accent1" w:themeShade="BF"/>
          <w:sz w:val="32"/>
          <w:szCs w:val="32"/>
        </w:rPr>
        <w:t xml:space="preserve"> </w:t>
      </w:r>
      <w:proofErr w:type="spellStart"/>
      <w:r w:rsidR="00075D32" w:rsidRPr="00075D32">
        <w:rPr>
          <w:rFonts w:asciiTheme="majorHAnsi" w:eastAsiaTheme="majorEastAsia" w:hAnsiTheme="majorHAnsi" w:cstheme="majorBidi"/>
          <w:bCs/>
          <w:color w:val="2F5496" w:themeColor="accent1" w:themeShade="BF"/>
          <w:szCs w:val="24"/>
        </w:rPr>
        <w:t>BEc</w:t>
      </w:r>
      <w:proofErr w:type="spellEnd"/>
      <w:r w:rsidR="00075D32" w:rsidRPr="00075D32">
        <w:rPr>
          <w:rFonts w:asciiTheme="majorHAnsi" w:eastAsiaTheme="majorEastAsia" w:hAnsiTheme="majorHAnsi" w:cstheme="majorBidi"/>
          <w:bCs/>
          <w:color w:val="2F5496" w:themeColor="accent1" w:themeShade="BF"/>
          <w:szCs w:val="24"/>
        </w:rPr>
        <w:t>, Grad Dip Public Law, GAICD</w:t>
      </w:r>
      <w:r w:rsidR="0094464B" w:rsidRPr="00A82A48">
        <w:rPr>
          <w:rFonts w:asciiTheme="majorHAnsi" w:eastAsiaTheme="majorEastAsia" w:hAnsiTheme="majorHAnsi" w:cstheme="majorBidi"/>
          <w:bCs/>
          <w:color w:val="2F5496" w:themeColor="accent1" w:themeShade="BF"/>
          <w:sz w:val="32"/>
          <w:szCs w:val="32"/>
        </w:rPr>
        <w:br/>
      </w:r>
      <w:r w:rsidR="0094464B" w:rsidRPr="00025AE2">
        <w:rPr>
          <w:rFonts w:asciiTheme="majorHAnsi" w:eastAsiaTheme="majorEastAsia" w:hAnsiTheme="majorHAnsi" w:cstheme="majorBidi"/>
          <w:b/>
          <w:color w:val="2F5496" w:themeColor="accent1" w:themeShade="BF"/>
          <w:sz w:val="32"/>
          <w:szCs w:val="32"/>
        </w:rPr>
        <w:t>Will Zacharin</w:t>
      </w:r>
      <w:bookmarkEnd w:id="2"/>
      <w:r w:rsidR="0098231E">
        <w:rPr>
          <w:rFonts w:asciiTheme="majorHAnsi" w:eastAsiaTheme="majorEastAsia" w:hAnsiTheme="majorHAnsi" w:cstheme="majorBidi"/>
          <w:bCs/>
          <w:color w:val="2F5496" w:themeColor="accent1" w:themeShade="BF"/>
          <w:sz w:val="32"/>
          <w:szCs w:val="32"/>
        </w:rPr>
        <w:t xml:space="preserve"> </w:t>
      </w:r>
      <w:r w:rsidR="0098231E" w:rsidRPr="0098231E">
        <w:rPr>
          <w:rFonts w:asciiTheme="majorHAnsi" w:eastAsiaTheme="majorEastAsia" w:hAnsiTheme="majorHAnsi" w:cstheme="majorBidi"/>
          <w:bCs/>
          <w:color w:val="2F5496" w:themeColor="accent1" w:themeShade="BF"/>
          <w:sz w:val="32"/>
          <w:szCs w:val="32"/>
        </w:rPr>
        <w:t>CF</w:t>
      </w:r>
      <w:r w:rsidR="0098231E" w:rsidRPr="00025AE2">
        <w:rPr>
          <w:rFonts w:asciiTheme="majorHAnsi" w:eastAsiaTheme="majorEastAsia" w:hAnsiTheme="majorHAnsi" w:cstheme="majorBidi"/>
          <w:bCs/>
          <w:color w:val="2F5496" w:themeColor="accent1" w:themeShade="BF"/>
          <w:szCs w:val="24"/>
        </w:rPr>
        <w:t xml:space="preserve">, BSc (Hons), MSc, Grad Dip Bus </w:t>
      </w:r>
      <w:proofErr w:type="spellStart"/>
      <w:r w:rsidR="0098231E" w:rsidRPr="00025AE2">
        <w:rPr>
          <w:rFonts w:asciiTheme="majorHAnsi" w:eastAsiaTheme="majorEastAsia" w:hAnsiTheme="majorHAnsi" w:cstheme="majorBidi"/>
          <w:bCs/>
          <w:color w:val="2F5496" w:themeColor="accent1" w:themeShade="BF"/>
          <w:szCs w:val="24"/>
        </w:rPr>
        <w:t>Mangt</w:t>
      </w:r>
      <w:proofErr w:type="spellEnd"/>
      <w:r w:rsidR="0098231E" w:rsidRPr="00025AE2">
        <w:rPr>
          <w:rFonts w:asciiTheme="majorHAnsi" w:eastAsiaTheme="majorEastAsia" w:hAnsiTheme="majorHAnsi" w:cstheme="majorBidi"/>
          <w:bCs/>
          <w:color w:val="2F5496" w:themeColor="accent1" w:themeShade="BF"/>
          <w:szCs w:val="24"/>
        </w:rPr>
        <w:t>, GAICD</w:t>
      </w:r>
    </w:p>
    <w:p w14:paraId="376B6BD5" w14:textId="53342EEF" w:rsidR="0094464B" w:rsidRPr="00A82A48" w:rsidRDefault="0094464B" w:rsidP="00A82A48">
      <w:pPr>
        <w:jc w:val="center"/>
        <w:rPr>
          <w:rFonts w:asciiTheme="majorHAnsi" w:eastAsiaTheme="majorEastAsia" w:hAnsiTheme="majorHAnsi" w:cstheme="majorBidi"/>
          <w:bCs/>
          <w:color w:val="2F5496" w:themeColor="accent1" w:themeShade="BF"/>
          <w:sz w:val="32"/>
          <w:szCs w:val="32"/>
        </w:rPr>
      </w:pPr>
    </w:p>
    <w:p w14:paraId="13F96E61" w14:textId="630C33C3" w:rsidR="002A6008" w:rsidRPr="00A82A48" w:rsidRDefault="002A6008" w:rsidP="00A82A48">
      <w:pPr>
        <w:jc w:val="center"/>
        <w:rPr>
          <w:rFonts w:asciiTheme="majorHAnsi" w:eastAsiaTheme="majorEastAsia" w:hAnsiTheme="majorHAnsi" w:cstheme="majorBidi"/>
          <w:bCs/>
          <w:color w:val="2F5496" w:themeColor="accent1" w:themeShade="BF"/>
          <w:sz w:val="32"/>
          <w:szCs w:val="32"/>
        </w:rPr>
      </w:pPr>
    </w:p>
    <w:p w14:paraId="662AA657" w14:textId="39A4B78A" w:rsidR="002A6008" w:rsidRPr="00A82A48" w:rsidRDefault="002A6008" w:rsidP="00A82A48">
      <w:pPr>
        <w:jc w:val="center"/>
        <w:rPr>
          <w:rFonts w:asciiTheme="majorHAnsi" w:eastAsiaTheme="majorEastAsia" w:hAnsiTheme="majorHAnsi" w:cstheme="majorBidi"/>
          <w:bCs/>
          <w:color w:val="2F5496" w:themeColor="accent1" w:themeShade="BF"/>
          <w:sz w:val="32"/>
          <w:szCs w:val="32"/>
        </w:rPr>
      </w:pPr>
      <w:bookmarkStart w:id="3" w:name="_Toc72416525"/>
      <w:r w:rsidRPr="00A82A48">
        <w:rPr>
          <w:rFonts w:asciiTheme="majorHAnsi" w:eastAsiaTheme="majorEastAsia" w:hAnsiTheme="majorHAnsi" w:cstheme="majorBidi"/>
          <w:bCs/>
          <w:color w:val="2F5496" w:themeColor="accent1" w:themeShade="BF"/>
          <w:sz w:val="32"/>
          <w:szCs w:val="32"/>
        </w:rPr>
        <w:t>April 2021</w:t>
      </w:r>
      <w:bookmarkEnd w:id="3"/>
    </w:p>
    <w:p w14:paraId="42AB2F85" w14:textId="7A2DF972" w:rsidR="00445116" w:rsidRDefault="00445116">
      <w:pPr>
        <w:rPr>
          <w:bCs/>
        </w:rPr>
      </w:pPr>
      <w:r>
        <w:rPr>
          <w:bCs/>
        </w:rPr>
        <w:br w:type="page"/>
      </w:r>
    </w:p>
    <w:sdt>
      <w:sdtPr>
        <w:rPr>
          <w:rFonts w:asciiTheme="minorHAnsi" w:eastAsiaTheme="minorHAnsi" w:hAnsiTheme="minorHAnsi" w:cstheme="minorBidi"/>
          <w:color w:val="auto"/>
          <w:sz w:val="24"/>
          <w:szCs w:val="22"/>
          <w:lang w:val="en-AU"/>
        </w:rPr>
        <w:id w:val="1961837827"/>
        <w:docPartObj>
          <w:docPartGallery w:val="Table of Contents"/>
          <w:docPartUnique/>
        </w:docPartObj>
      </w:sdtPr>
      <w:sdtEndPr>
        <w:rPr>
          <w:b/>
          <w:bCs/>
          <w:noProof/>
        </w:rPr>
      </w:sdtEndPr>
      <w:sdtContent>
        <w:p w14:paraId="446E6DCF" w14:textId="25654E41" w:rsidR="00445116" w:rsidRDefault="00445116">
          <w:pPr>
            <w:pStyle w:val="TOCHeading"/>
          </w:pPr>
          <w:r>
            <w:t>Table of Contents</w:t>
          </w:r>
        </w:p>
        <w:p w14:paraId="7A51C863" w14:textId="1B9AAA96" w:rsidR="008268E3" w:rsidRDefault="00445116">
          <w:pPr>
            <w:pStyle w:val="TOC2"/>
            <w:tabs>
              <w:tab w:val="right" w:leader="dot" w:pos="9016"/>
            </w:tabs>
            <w:rPr>
              <w:rFonts w:eastAsiaTheme="minorEastAsia"/>
              <w:noProof/>
              <w:sz w:val="22"/>
              <w:lang w:eastAsia="en-AU"/>
            </w:rPr>
          </w:pPr>
          <w:r>
            <w:fldChar w:fldCharType="begin"/>
          </w:r>
          <w:r>
            <w:instrText xml:space="preserve"> TOC \o "1-3" \h \z \u </w:instrText>
          </w:r>
          <w:r>
            <w:fldChar w:fldCharType="separate"/>
          </w:r>
          <w:hyperlink w:anchor="_Toc72478336" w:history="1">
            <w:r w:rsidR="008268E3" w:rsidRPr="00391D47">
              <w:rPr>
                <w:rStyle w:val="Hyperlink"/>
                <w:noProof/>
              </w:rPr>
              <w:t>Executive Summary</w:t>
            </w:r>
            <w:r w:rsidR="008268E3">
              <w:rPr>
                <w:noProof/>
                <w:webHidden/>
              </w:rPr>
              <w:tab/>
            </w:r>
            <w:r w:rsidR="008268E3">
              <w:rPr>
                <w:noProof/>
                <w:webHidden/>
              </w:rPr>
              <w:fldChar w:fldCharType="begin"/>
            </w:r>
            <w:r w:rsidR="008268E3">
              <w:rPr>
                <w:noProof/>
                <w:webHidden/>
              </w:rPr>
              <w:instrText xml:space="preserve"> PAGEREF _Toc72478336 \h </w:instrText>
            </w:r>
            <w:r w:rsidR="008268E3">
              <w:rPr>
                <w:noProof/>
                <w:webHidden/>
              </w:rPr>
            </w:r>
            <w:r w:rsidR="008268E3">
              <w:rPr>
                <w:noProof/>
                <w:webHidden/>
              </w:rPr>
              <w:fldChar w:fldCharType="separate"/>
            </w:r>
            <w:r w:rsidR="00ED6BE7">
              <w:rPr>
                <w:noProof/>
                <w:webHidden/>
              </w:rPr>
              <w:t>3</w:t>
            </w:r>
            <w:r w:rsidR="008268E3">
              <w:rPr>
                <w:noProof/>
                <w:webHidden/>
              </w:rPr>
              <w:fldChar w:fldCharType="end"/>
            </w:r>
          </w:hyperlink>
        </w:p>
        <w:p w14:paraId="2E8183B7" w14:textId="7EFB1FEC" w:rsidR="008268E3" w:rsidRDefault="00FA2ADF">
          <w:pPr>
            <w:pStyle w:val="TOC2"/>
            <w:tabs>
              <w:tab w:val="right" w:leader="dot" w:pos="9016"/>
            </w:tabs>
            <w:rPr>
              <w:rFonts w:eastAsiaTheme="minorEastAsia"/>
              <w:noProof/>
              <w:sz w:val="22"/>
              <w:lang w:eastAsia="en-AU"/>
            </w:rPr>
          </w:pPr>
          <w:hyperlink w:anchor="_Toc72478337" w:history="1">
            <w:r w:rsidR="008268E3" w:rsidRPr="00391D47">
              <w:rPr>
                <w:rStyle w:val="Hyperlink"/>
                <w:noProof/>
              </w:rPr>
              <w:t>Recommendations</w:t>
            </w:r>
            <w:r w:rsidR="008268E3">
              <w:rPr>
                <w:noProof/>
                <w:webHidden/>
              </w:rPr>
              <w:tab/>
            </w:r>
            <w:r w:rsidR="008268E3">
              <w:rPr>
                <w:noProof/>
                <w:webHidden/>
              </w:rPr>
              <w:fldChar w:fldCharType="begin"/>
            </w:r>
            <w:r w:rsidR="008268E3">
              <w:rPr>
                <w:noProof/>
                <w:webHidden/>
              </w:rPr>
              <w:instrText xml:space="preserve"> PAGEREF _Toc72478337 \h </w:instrText>
            </w:r>
            <w:r w:rsidR="008268E3">
              <w:rPr>
                <w:noProof/>
                <w:webHidden/>
              </w:rPr>
            </w:r>
            <w:r w:rsidR="008268E3">
              <w:rPr>
                <w:noProof/>
                <w:webHidden/>
              </w:rPr>
              <w:fldChar w:fldCharType="separate"/>
            </w:r>
            <w:r w:rsidR="00ED6BE7">
              <w:rPr>
                <w:noProof/>
                <w:webHidden/>
              </w:rPr>
              <w:t>4</w:t>
            </w:r>
            <w:r w:rsidR="008268E3">
              <w:rPr>
                <w:noProof/>
                <w:webHidden/>
              </w:rPr>
              <w:fldChar w:fldCharType="end"/>
            </w:r>
          </w:hyperlink>
        </w:p>
        <w:p w14:paraId="39A6BFCC" w14:textId="63798AB0" w:rsidR="008268E3" w:rsidRDefault="00FA2ADF">
          <w:pPr>
            <w:pStyle w:val="TOC2"/>
            <w:tabs>
              <w:tab w:val="right" w:leader="dot" w:pos="9016"/>
            </w:tabs>
            <w:rPr>
              <w:rFonts w:eastAsiaTheme="minorEastAsia"/>
              <w:noProof/>
              <w:sz w:val="22"/>
              <w:lang w:eastAsia="en-AU"/>
            </w:rPr>
          </w:pPr>
          <w:hyperlink w:anchor="_Toc72478338" w:history="1">
            <w:r w:rsidR="008268E3" w:rsidRPr="00391D47">
              <w:rPr>
                <w:rStyle w:val="Hyperlink"/>
                <w:noProof/>
              </w:rPr>
              <w:t>1. Introduction</w:t>
            </w:r>
            <w:r w:rsidR="008268E3">
              <w:rPr>
                <w:noProof/>
                <w:webHidden/>
              </w:rPr>
              <w:tab/>
            </w:r>
            <w:r w:rsidR="008268E3">
              <w:rPr>
                <w:noProof/>
                <w:webHidden/>
              </w:rPr>
              <w:fldChar w:fldCharType="begin"/>
            </w:r>
            <w:r w:rsidR="008268E3">
              <w:rPr>
                <w:noProof/>
                <w:webHidden/>
              </w:rPr>
              <w:instrText xml:space="preserve"> PAGEREF _Toc72478338 \h </w:instrText>
            </w:r>
            <w:r w:rsidR="008268E3">
              <w:rPr>
                <w:noProof/>
                <w:webHidden/>
              </w:rPr>
            </w:r>
            <w:r w:rsidR="008268E3">
              <w:rPr>
                <w:noProof/>
                <w:webHidden/>
              </w:rPr>
              <w:fldChar w:fldCharType="separate"/>
            </w:r>
            <w:r w:rsidR="00ED6BE7">
              <w:rPr>
                <w:noProof/>
                <w:webHidden/>
              </w:rPr>
              <w:t>5</w:t>
            </w:r>
            <w:r w:rsidR="008268E3">
              <w:rPr>
                <w:noProof/>
                <w:webHidden/>
              </w:rPr>
              <w:fldChar w:fldCharType="end"/>
            </w:r>
          </w:hyperlink>
        </w:p>
        <w:p w14:paraId="4D18D76A" w14:textId="1A7CB870" w:rsidR="008268E3" w:rsidRDefault="00FA2ADF">
          <w:pPr>
            <w:pStyle w:val="TOC2"/>
            <w:tabs>
              <w:tab w:val="right" w:leader="dot" w:pos="9016"/>
            </w:tabs>
            <w:rPr>
              <w:rFonts w:eastAsiaTheme="minorEastAsia"/>
              <w:noProof/>
              <w:sz w:val="22"/>
              <w:lang w:eastAsia="en-AU"/>
            </w:rPr>
          </w:pPr>
          <w:hyperlink w:anchor="_Toc72478339" w:history="1">
            <w:r w:rsidR="008268E3" w:rsidRPr="00391D47">
              <w:rPr>
                <w:rStyle w:val="Hyperlink"/>
                <w:noProof/>
              </w:rPr>
              <w:t>2. Suggestions and Observations</w:t>
            </w:r>
            <w:r w:rsidR="008268E3">
              <w:rPr>
                <w:noProof/>
                <w:webHidden/>
              </w:rPr>
              <w:tab/>
            </w:r>
            <w:r w:rsidR="008268E3">
              <w:rPr>
                <w:noProof/>
                <w:webHidden/>
              </w:rPr>
              <w:fldChar w:fldCharType="begin"/>
            </w:r>
            <w:r w:rsidR="008268E3">
              <w:rPr>
                <w:noProof/>
                <w:webHidden/>
              </w:rPr>
              <w:instrText xml:space="preserve"> PAGEREF _Toc72478339 \h </w:instrText>
            </w:r>
            <w:r w:rsidR="008268E3">
              <w:rPr>
                <w:noProof/>
                <w:webHidden/>
              </w:rPr>
            </w:r>
            <w:r w:rsidR="008268E3">
              <w:rPr>
                <w:noProof/>
                <w:webHidden/>
              </w:rPr>
              <w:fldChar w:fldCharType="separate"/>
            </w:r>
            <w:r w:rsidR="00ED6BE7">
              <w:rPr>
                <w:noProof/>
                <w:webHidden/>
              </w:rPr>
              <w:t>5</w:t>
            </w:r>
            <w:r w:rsidR="008268E3">
              <w:rPr>
                <w:noProof/>
                <w:webHidden/>
              </w:rPr>
              <w:fldChar w:fldCharType="end"/>
            </w:r>
          </w:hyperlink>
        </w:p>
        <w:p w14:paraId="4D0CE356" w14:textId="00767896" w:rsidR="008268E3" w:rsidRDefault="00FA2ADF">
          <w:pPr>
            <w:pStyle w:val="TOC3"/>
            <w:tabs>
              <w:tab w:val="right" w:leader="dot" w:pos="9016"/>
            </w:tabs>
            <w:rPr>
              <w:rFonts w:eastAsiaTheme="minorEastAsia"/>
              <w:noProof/>
              <w:sz w:val="22"/>
              <w:lang w:eastAsia="en-AU"/>
            </w:rPr>
          </w:pPr>
          <w:hyperlink w:anchor="_Toc72478340" w:history="1">
            <w:r w:rsidR="008268E3" w:rsidRPr="00391D47">
              <w:rPr>
                <w:rStyle w:val="Hyperlink"/>
                <w:noProof/>
              </w:rPr>
              <w:t>(A). Relevant matters relating to the likelihood of entry and exposure of hazards associated with prawn imports have been properly considered, including emerging diseases</w:t>
            </w:r>
            <w:r w:rsidR="008268E3">
              <w:rPr>
                <w:noProof/>
                <w:webHidden/>
              </w:rPr>
              <w:tab/>
            </w:r>
            <w:r w:rsidR="008268E3">
              <w:rPr>
                <w:noProof/>
                <w:webHidden/>
              </w:rPr>
              <w:fldChar w:fldCharType="begin"/>
            </w:r>
            <w:r w:rsidR="008268E3">
              <w:rPr>
                <w:noProof/>
                <w:webHidden/>
              </w:rPr>
              <w:instrText xml:space="preserve"> PAGEREF _Toc72478340 \h </w:instrText>
            </w:r>
            <w:r w:rsidR="008268E3">
              <w:rPr>
                <w:noProof/>
                <w:webHidden/>
              </w:rPr>
            </w:r>
            <w:r w:rsidR="008268E3">
              <w:rPr>
                <w:noProof/>
                <w:webHidden/>
              </w:rPr>
              <w:fldChar w:fldCharType="separate"/>
            </w:r>
            <w:r w:rsidR="00ED6BE7">
              <w:rPr>
                <w:noProof/>
                <w:webHidden/>
              </w:rPr>
              <w:t>5</w:t>
            </w:r>
            <w:r w:rsidR="008268E3">
              <w:rPr>
                <w:noProof/>
                <w:webHidden/>
              </w:rPr>
              <w:fldChar w:fldCharType="end"/>
            </w:r>
          </w:hyperlink>
        </w:p>
        <w:p w14:paraId="027A2E51" w14:textId="083B6FB0" w:rsidR="008268E3" w:rsidRDefault="00FA2ADF">
          <w:pPr>
            <w:pStyle w:val="TOC3"/>
            <w:tabs>
              <w:tab w:val="right" w:leader="dot" w:pos="9016"/>
            </w:tabs>
            <w:rPr>
              <w:rFonts w:eastAsiaTheme="minorEastAsia"/>
              <w:noProof/>
              <w:sz w:val="22"/>
              <w:lang w:eastAsia="en-AU"/>
            </w:rPr>
          </w:pPr>
          <w:hyperlink w:anchor="_Toc72478341" w:history="1">
            <w:r w:rsidR="008268E3" w:rsidRPr="00391D47">
              <w:rPr>
                <w:rStyle w:val="Hyperlink"/>
                <w:noProof/>
              </w:rPr>
              <w:t>(B). Relevant matters relating to the likely economic consequences of a disease incursion have been properly considered</w:t>
            </w:r>
            <w:r w:rsidR="008268E3">
              <w:rPr>
                <w:noProof/>
                <w:webHidden/>
              </w:rPr>
              <w:tab/>
            </w:r>
            <w:r w:rsidR="008268E3">
              <w:rPr>
                <w:noProof/>
                <w:webHidden/>
              </w:rPr>
              <w:fldChar w:fldCharType="begin"/>
            </w:r>
            <w:r w:rsidR="008268E3">
              <w:rPr>
                <w:noProof/>
                <w:webHidden/>
              </w:rPr>
              <w:instrText xml:space="preserve"> PAGEREF _Toc72478341 \h </w:instrText>
            </w:r>
            <w:r w:rsidR="008268E3">
              <w:rPr>
                <w:noProof/>
                <w:webHidden/>
              </w:rPr>
            </w:r>
            <w:r w:rsidR="008268E3">
              <w:rPr>
                <w:noProof/>
                <w:webHidden/>
              </w:rPr>
              <w:fldChar w:fldCharType="separate"/>
            </w:r>
            <w:r w:rsidR="00ED6BE7">
              <w:rPr>
                <w:noProof/>
                <w:webHidden/>
              </w:rPr>
              <w:t>8</w:t>
            </w:r>
            <w:r w:rsidR="008268E3">
              <w:rPr>
                <w:noProof/>
                <w:webHidden/>
              </w:rPr>
              <w:fldChar w:fldCharType="end"/>
            </w:r>
          </w:hyperlink>
        </w:p>
        <w:p w14:paraId="244F8543" w14:textId="6F6A0EE8" w:rsidR="008268E3" w:rsidRDefault="00FA2ADF">
          <w:pPr>
            <w:pStyle w:val="TOC3"/>
            <w:tabs>
              <w:tab w:val="right" w:leader="dot" w:pos="9016"/>
            </w:tabs>
            <w:rPr>
              <w:rFonts w:eastAsiaTheme="minorEastAsia"/>
              <w:noProof/>
              <w:sz w:val="22"/>
              <w:lang w:eastAsia="en-AU"/>
            </w:rPr>
          </w:pPr>
          <w:hyperlink w:anchor="_Toc72478342" w:history="1">
            <w:r w:rsidR="008268E3" w:rsidRPr="00391D47">
              <w:rPr>
                <w:rStyle w:val="Hyperlink"/>
                <w:noProof/>
              </w:rPr>
              <w:t>(C). That the conclusions of the draft prawn import review report are scientifically reasonable, based on the material presented, including consideration of material contained in stakeholder submissions to the draft report</w:t>
            </w:r>
            <w:r w:rsidR="008268E3">
              <w:rPr>
                <w:noProof/>
                <w:webHidden/>
              </w:rPr>
              <w:tab/>
            </w:r>
            <w:r w:rsidR="008268E3">
              <w:rPr>
                <w:noProof/>
                <w:webHidden/>
              </w:rPr>
              <w:fldChar w:fldCharType="begin"/>
            </w:r>
            <w:r w:rsidR="008268E3">
              <w:rPr>
                <w:noProof/>
                <w:webHidden/>
              </w:rPr>
              <w:instrText xml:space="preserve"> PAGEREF _Toc72478342 \h </w:instrText>
            </w:r>
            <w:r w:rsidR="008268E3">
              <w:rPr>
                <w:noProof/>
                <w:webHidden/>
              </w:rPr>
            </w:r>
            <w:r w:rsidR="008268E3">
              <w:rPr>
                <w:noProof/>
                <w:webHidden/>
              </w:rPr>
              <w:fldChar w:fldCharType="separate"/>
            </w:r>
            <w:r w:rsidR="00ED6BE7">
              <w:rPr>
                <w:noProof/>
                <w:webHidden/>
              </w:rPr>
              <w:t>10</w:t>
            </w:r>
            <w:r w:rsidR="008268E3">
              <w:rPr>
                <w:noProof/>
                <w:webHidden/>
              </w:rPr>
              <w:fldChar w:fldCharType="end"/>
            </w:r>
          </w:hyperlink>
        </w:p>
        <w:p w14:paraId="19B818C9" w14:textId="4B1599D4" w:rsidR="008268E3" w:rsidRDefault="00FA2ADF">
          <w:pPr>
            <w:pStyle w:val="TOC2"/>
            <w:tabs>
              <w:tab w:val="right" w:leader="dot" w:pos="9016"/>
            </w:tabs>
            <w:rPr>
              <w:rFonts w:eastAsiaTheme="minorEastAsia"/>
              <w:noProof/>
              <w:sz w:val="22"/>
              <w:lang w:eastAsia="en-AU"/>
            </w:rPr>
          </w:pPr>
          <w:hyperlink w:anchor="_Toc72478343" w:history="1">
            <w:r w:rsidR="008268E3" w:rsidRPr="00391D47">
              <w:rPr>
                <w:rStyle w:val="Hyperlink"/>
                <w:noProof/>
              </w:rPr>
              <w:t>References</w:t>
            </w:r>
            <w:r w:rsidR="008268E3">
              <w:rPr>
                <w:noProof/>
                <w:webHidden/>
              </w:rPr>
              <w:tab/>
            </w:r>
            <w:r w:rsidR="008268E3">
              <w:rPr>
                <w:noProof/>
                <w:webHidden/>
              </w:rPr>
              <w:fldChar w:fldCharType="begin"/>
            </w:r>
            <w:r w:rsidR="008268E3">
              <w:rPr>
                <w:noProof/>
                <w:webHidden/>
              </w:rPr>
              <w:instrText xml:space="preserve"> PAGEREF _Toc72478343 \h </w:instrText>
            </w:r>
            <w:r w:rsidR="008268E3">
              <w:rPr>
                <w:noProof/>
                <w:webHidden/>
              </w:rPr>
            </w:r>
            <w:r w:rsidR="008268E3">
              <w:rPr>
                <w:noProof/>
                <w:webHidden/>
              </w:rPr>
              <w:fldChar w:fldCharType="separate"/>
            </w:r>
            <w:r w:rsidR="00ED6BE7">
              <w:rPr>
                <w:noProof/>
                <w:webHidden/>
              </w:rPr>
              <w:t>16</w:t>
            </w:r>
            <w:r w:rsidR="008268E3">
              <w:rPr>
                <w:noProof/>
                <w:webHidden/>
              </w:rPr>
              <w:fldChar w:fldCharType="end"/>
            </w:r>
          </w:hyperlink>
        </w:p>
        <w:p w14:paraId="469B9F66" w14:textId="26EC484B" w:rsidR="008268E3" w:rsidRDefault="00FA2ADF">
          <w:pPr>
            <w:pStyle w:val="TOC2"/>
            <w:tabs>
              <w:tab w:val="right" w:leader="dot" w:pos="9016"/>
            </w:tabs>
            <w:rPr>
              <w:rFonts w:eastAsiaTheme="minorEastAsia"/>
              <w:noProof/>
              <w:sz w:val="22"/>
              <w:lang w:eastAsia="en-AU"/>
            </w:rPr>
          </w:pPr>
          <w:hyperlink w:anchor="_Toc72478344" w:history="1">
            <w:r w:rsidR="008268E3" w:rsidRPr="00391D47">
              <w:rPr>
                <w:rStyle w:val="Hyperlink"/>
                <w:noProof/>
              </w:rPr>
              <w:t xml:space="preserve">Appendix 1: </w:t>
            </w:r>
            <w:r w:rsidR="008268E3" w:rsidRPr="00391D47">
              <w:rPr>
                <w:rStyle w:val="Hyperlink"/>
                <w:bCs/>
                <w:noProof/>
              </w:rPr>
              <w:t>High priority pathogenic agents of prawns of concern for management of biosecurity risks (from Draft Report).</w:t>
            </w:r>
            <w:r w:rsidR="008268E3">
              <w:rPr>
                <w:noProof/>
                <w:webHidden/>
              </w:rPr>
              <w:tab/>
            </w:r>
            <w:r w:rsidR="008268E3">
              <w:rPr>
                <w:noProof/>
                <w:webHidden/>
              </w:rPr>
              <w:fldChar w:fldCharType="begin"/>
            </w:r>
            <w:r w:rsidR="008268E3">
              <w:rPr>
                <w:noProof/>
                <w:webHidden/>
              </w:rPr>
              <w:instrText xml:space="preserve"> PAGEREF _Toc72478344 \h </w:instrText>
            </w:r>
            <w:r w:rsidR="008268E3">
              <w:rPr>
                <w:noProof/>
                <w:webHidden/>
              </w:rPr>
            </w:r>
            <w:r w:rsidR="008268E3">
              <w:rPr>
                <w:noProof/>
                <w:webHidden/>
              </w:rPr>
              <w:fldChar w:fldCharType="separate"/>
            </w:r>
            <w:r w:rsidR="00ED6BE7">
              <w:rPr>
                <w:noProof/>
                <w:webHidden/>
              </w:rPr>
              <w:t>17</w:t>
            </w:r>
            <w:r w:rsidR="008268E3">
              <w:rPr>
                <w:noProof/>
                <w:webHidden/>
              </w:rPr>
              <w:fldChar w:fldCharType="end"/>
            </w:r>
          </w:hyperlink>
        </w:p>
        <w:p w14:paraId="5B3EF7BA" w14:textId="3B5209EB" w:rsidR="008268E3" w:rsidRDefault="00FA2ADF">
          <w:pPr>
            <w:pStyle w:val="TOC2"/>
            <w:tabs>
              <w:tab w:val="right" w:leader="dot" w:pos="9016"/>
            </w:tabs>
            <w:rPr>
              <w:rFonts w:eastAsiaTheme="minorEastAsia"/>
              <w:noProof/>
              <w:sz w:val="22"/>
              <w:lang w:eastAsia="en-AU"/>
            </w:rPr>
          </w:pPr>
          <w:hyperlink w:anchor="_Toc72478345" w:history="1">
            <w:r w:rsidR="008268E3" w:rsidRPr="00391D47">
              <w:rPr>
                <w:rStyle w:val="Hyperlink"/>
                <w:noProof/>
              </w:rPr>
              <w:t>Appendix 2: Issues raised by stakeholders in submissions to the Draft Report that require further action</w:t>
            </w:r>
            <w:r w:rsidR="008268E3">
              <w:rPr>
                <w:noProof/>
                <w:webHidden/>
              </w:rPr>
              <w:tab/>
            </w:r>
            <w:r w:rsidR="008268E3">
              <w:rPr>
                <w:noProof/>
                <w:webHidden/>
              </w:rPr>
              <w:fldChar w:fldCharType="begin"/>
            </w:r>
            <w:r w:rsidR="008268E3">
              <w:rPr>
                <w:noProof/>
                <w:webHidden/>
              </w:rPr>
              <w:instrText xml:space="preserve"> PAGEREF _Toc72478345 \h </w:instrText>
            </w:r>
            <w:r w:rsidR="008268E3">
              <w:rPr>
                <w:noProof/>
                <w:webHidden/>
              </w:rPr>
            </w:r>
            <w:r w:rsidR="008268E3">
              <w:rPr>
                <w:noProof/>
                <w:webHidden/>
              </w:rPr>
              <w:fldChar w:fldCharType="separate"/>
            </w:r>
            <w:r w:rsidR="00ED6BE7">
              <w:rPr>
                <w:noProof/>
                <w:webHidden/>
              </w:rPr>
              <w:t>18</w:t>
            </w:r>
            <w:r w:rsidR="008268E3">
              <w:rPr>
                <w:noProof/>
                <w:webHidden/>
              </w:rPr>
              <w:fldChar w:fldCharType="end"/>
            </w:r>
          </w:hyperlink>
        </w:p>
        <w:p w14:paraId="19B27516" w14:textId="7A97B658" w:rsidR="008268E3" w:rsidRDefault="00FA2ADF">
          <w:pPr>
            <w:pStyle w:val="TOC2"/>
            <w:tabs>
              <w:tab w:val="right" w:leader="dot" w:pos="9016"/>
            </w:tabs>
            <w:rPr>
              <w:rFonts w:eastAsiaTheme="minorEastAsia"/>
              <w:noProof/>
              <w:sz w:val="22"/>
              <w:lang w:eastAsia="en-AU"/>
            </w:rPr>
          </w:pPr>
          <w:hyperlink w:anchor="_Toc72478346" w:history="1">
            <w:r w:rsidR="008268E3" w:rsidRPr="00391D47">
              <w:rPr>
                <w:rStyle w:val="Hyperlink"/>
                <w:noProof/>
              </w:rPr>
              <w:t>Appendix 3: Expert panel biographies</w:t>
            </w:r>
            <w:r w:rsidR="008268E3">
              <w:rPr>
                <w:noProof/>
                <w:webHidden/>
              </w:rPr>
              <w:tab/>
            </w:r>
            <w:r w:rsidR="008268E3">
              <w:rPr>
                <w:noProof/>
                <w:webHidden/>
              </w:rPr>
              <w:fldChar w:fldCharType="begin"/>
            </w:r>
            <w:r w:rsidR="008268E3">
              <w:rPr>
                <w:noProof/>
                <w:webHidden/>
              </w:rPr>
              <w:instrText xml:space="preserve"> PAGEREF _Toc72478346 \h </w:instrText>
            </w:r>
            <w:r w:rsidR="008268E3">
              <w:rPr>
                <w:noProof/>
                <w:webHidden/>
              </w:rPr>
            </w:r>
            <w:r w:rsidR="008268E3">
              <w:rPr>
                <w:noProof/>
                <w:webHidden/>
              </w:rPr>
              <w:fldChar w:fldCharType="separate"/>
            </w:r>
            <w:r w:rsidR="00ED6BE7">
              <w:rPr>
                <w:noProof/>
                <w:webHidden/>
              </w:rPr>
              <w:t>24</w:t>
            </w:r>
            <w:r w:rsidR="008268E3">
              <w:rPr>
                <w:noProof/>
                <w:webHidden/>
              </w:rPr>
              <w:fldChar w:fldCharType="end"/>
            </w:r>
          </w:hyperlink>
        </w:p>
        <w:p w14:paraId="5B777B7C" w14:textId="6E4290A6" w:rsidR="00445116" w:rsidRDefault="00445116">
          <w:r>
            <w:rPr>
              <w:b/>
              <w:bCs/>
              <w:noProof/>
            </w:rPr>
            <w:fldChar w:fldCharType="end"/>
          </w:r>
        </w:p>
      </w:sdtContent>
    </w:sdt>
    <w:p w14:paraId="081134E8" w14:textId="77777777" w:rsidR="00445116" w:rsidRDefault="00445116">
      <w:pPr>
        <w:rPr>
          <w:rFonts w:asciiTheme="majorHAnsi" w:eastAsiaTheme="majorEastAsia" w:hAnsiTheme="majorHAnsi" w:cstheme="majorBidi"/>
          <w:b/>
          <w:color w:val="2F5496" w:themeColor="accent1" w:themeShade="BF"/>
          <w:sz w:val="26"/>
          <w:szCs w:val="26"/>
        </w:rPr>
      </w:pPr>
      <w:r>
        <w:br w:type="page"/>
      </w:r>
    </w:p>
    <w:p w14:paraId="10512263" w14:textId="1179C898" w:rsidR="00580828" w:rsidRPr="00445116" w:rsidRDefault="00580828" w:rsidP="00445116">
      <w:pPr>
        <w:pStyle w:val="Heading2"/>
      </w:pPr>
      <w:bookmarkStart w:id="4" w:name="_Toc72416526"/>
      <w:bookmarkStart w:id="5" w:name="_Toc72478336"/>
      <w:r w:rsidRPr="00445116">
        <w:lastRenderedPageBreak/>
        <w:t>Executive Summary</w:t>
      </w:r>
      <w:bookmarkEnd w:id="4"/>
      <w:bookmarkEnd w:id="5"/>
    </w:p>
    <w:p w14:paraId="5BD2CCAD" w14:textId="04771B4A" w:rsidR="00000B6E" w:rsidRPr="00445116" w:rsidRDefault="00000B6E" w:rsidP="0094464B">
      <w:r w:rsidRPr="00445116">
        <w:t xml:space="preserve">This </w:t>
      </w:r>
      <w:r w:rsidR="000A446D" w:rsidRPr="00445116">
        <w:t xml:space="preserve">Review provides advice to the Department </w:t>
      </w:r>
      <w:r w:rsidR="005844DE" w:rsidRPr="00445116">
        <w:t xml:space="preserve">of Agriculture, Water and the Environment (the Department) </w:t>
      </w:r>
      <w:r w:rsidR="000A446D" w:rsidRPr="00445116">
        <w:t xml:space="preserve">on suggested amendments to its Draft Report on the </w:t>
      </w:r>
      <w:r w:rsidR="000A446D" w:rsidRPr="00445116">
        <w:rPr>
          <w:i/>
          <w:iCs/>
        </w:rPr>
        <w:t xml:space="preserve">Review of biosecurity risks for imported prawns for human consumption, </w:t>
      </w:r>
      <w:r w:rsidR="000A446D" w:rsidRPr="00445116">
        <w:t>September 2020</w:t>
      </w:r>
      <w:r w:rsidR="000A446D" w:rsidRPr="00445116">
        <w:rPr>
          <w:i/>
          <w:iCs/>
        </w:rPr>
        <w:t>.</w:t>
      </w:r>
      <w:r w:rsidR="000A446D" w:rsidRPr="00445116">
        <w:t xml:space="preserve">  </w:t>
      </w:r>
      <w:r w:rsidRPr="00445116">
        <w:t xml:space="preserve">The Expert Panel commends the Department for its comprehensive analysis of the existing scientific knowledge, noting that some of the information needs updating.  </w:t>
      </w:r>
    </w:p>
    <w:p w14:paraId="501F73B1" w14:textId="319BD3D8" w:rsidR="0025151F" w:rsidRPr="00445116" w:rsidRDefault="000A446D" w:rsidP="00773F92">
      <w:pPr>
        <w:rPr>
          <w:bCs/>
        </w:rPr>
      </w:pPr>
      <w:r w:rsidRPr="00445116">
        <w:rPr>
          <w:bCs/>
        </w:rPr>
        <w:t xml:space="preserve">The </w:t>
      </w:r>
      <w:r w:rsidR="00000B6E" w:rsidRPr="00445116">
        <w:rPr>
          <w:bCs/>
        </w:rPr>
        <w:t xml:space="preserve">Expert </w:t>
      </w:r>
      <w:r w:rsidRPr="00445116">
        <w:rPr>
          <w:bCs/>
        </w:rPr>
        <w:t xml:space="preserve">Panel </w:t>
      </w:r>
      <w:r w:rsidR="00B156E3" w:rsidRPr="00445116">
        <w:rPr>
          <w:bCs/>
        </w:rPr>
        <w:t>reviewed the Draft Report</w:t>
      </w:r>
      <w:r w:rsidR="00000B6E" w:rsidRPr="00445116">
        <w:rPr>
          <w:bCs/>
        </w:rPr>
        <w:t xml:space="preserve"> and submissions by </w:t>
      </w:r>
      <w:r w:rsidR="007E2F99" w:rsidRPr="00445116">
        <w:rPr>
          <w:bCs/>
        </w:rPr>
        <w:t>stakeholder</w:t>
      </w:r>
      <w:r w:rsidR="00000B6E" w:rsidRPr="00445116">
        <w:rPr>
          <w:bCs/>
        </w:rPr>
        <w:t xml:space="preserve">s, </w:t>
      </w:r>
      <w:r w:rsidR="0025151F" w:rsidRPr="00445116">
        <w:rPr>
          <w:bCs/>
        </w:rPr>
        <w:t xml:space="preserve">as well as consulting with </w:t>
      </w:r>
      <w:r w:rsidR="004A5634" w:rsidRPr="00445116">
        <w:rPr>
          <w:bCs/>
        </w:rPr>
        <w:t xml:space="preserve">three </w:t>
      </w:r>
      <w:r w:rsidR="0025151F" w:rsidRPr="00445116">
        <w:rPr>
          <w:bCs/>
        </w:rPr>
        <w:t xml:space="preserve">aquatic disease experts on the pathogenicity and </w:t>
      </w:r>
      <w:r w:rsidR="00971860" w:rsidRPr="00445116">
        <w:rPr>
          <w:bCs/>
        </w:rPr>
        <w:t>in</w:t>
      </w:r>
      <w:r w:rsidR="0025151F" w:rsidRPr="00445116">
        <w:rPr>
          <w:bCs/>
        </w:rPr>
        <w:t xml:space="preserve">activation of a number of </w:t>
      </w:r>
      <w:r w:rsidR="00D404CC" w:rsidRPr="00445116">
        <w:rPr>
          <w:bCs/>
        </w:rPr>
        <w:t>pathogenic agents</w:t>
      </w:r>
      <w:r w:rsidR="0025151F" w:rsidRPr="00445116">
        <w:rPr>
          <w:bCs/>
        </w:rPr>
        <w:t xml:space="preserve"> to understand how best to manage the </w:t>
      </w:r>
      <w:r w:rsidR="00C71C8A" w:rsidRPr="00445116">
        <w:rPr>
          <w:bCs/>
        </w:rPr>
        <w:t xml:space="preserve">biosecurity </w:t>
      </w:r>
      <w:r w:rsidR="0025151F" w:rsidRPr="00445116">
        <w:rPr>
          <w:bCs/>
        </w:rPr>
        <w:t xml:space="preserve">risk of </w:t>
      </w:r>
      <w:r w:rsidR="00C71C8A" w:rsidRPr="00445116">
        <w:rPr>
          <w:bCs/>
        </w:rPr>
        <w:t>these</w:t>
      </w:r>
      <w:r w:rsidR="00B066F4" w:rsidRPr="00445116">
        <w:rPr>
          <w:bCs/>
        </w:rPr>
        <w:t xml:space="preserve"> hazards</w:t>
      </w:r>
      <w:r w:rsidR="00C71C8A" w:rsidRPr="00445116">
        <w:rPr>
          <w:bCs/>
        </w:rPr>
        <w:t xml:space="preserve">. </w:t>
      </w:r>
      <w:r w:rsidR="00AF77E1" w:rsidRPr="00445116">
        <w:rPr>
          <w:bCs/>
        </w:rPr>
        <w:t xml:space="preserve"> We also consulted with the Department on its </w:t>
      </w:r>
      <w:r w:rsidR="00051E51" w:rsidRPr="00445116">
        <w:rPr>
          <w:bCs/>
        </w:rPr>
        <w:t xml:space="preserve">risk management </w:t>
      </w:r>
      <w:r w:rsidR="00AF77E1" w:rsidRPr="00445116">
        <w:rPr>
          <w:bCs/>
        </w:rPr>
        <w:t>actions in recent years</w:t>
      </w:r>
      <w:r w:rsidR="005B6867" w:rsidRPr="00445116">
        <w:rPr>
          <w:bCs/>
        </w:rPr>
        <w:t xml:space="preserve">.  </w:t>
      </w:r>
      <w:r w:rsidR="00AF77E1" w:rsidRPr="00445116">
        <w:rPr>
          <w:bCs/>
        </w:rPr>
        <w:t xml:space="preserve"> </w:t>
      </w:r>
    </w:p>
    <w:p w14:paraId="710B3FE2" w14:textId="4028F3B1" w:rsidR="005B6867" w:rsidRPr="00445116" w:rsidRDefault="005B6867" w:rsidP="00000B6E">
      <w:pPr>
        <w:rPr>
          <w:bCs/>
        </w:rPr>
      </w:pPr>
      <w:r w:rsidRPr="00445116">
        <w:rPr>
          <w:bCs/>
        </w:rPr>
        <w:t xml:space="preserve">The Panel agrees that the Department has identified </w:t>
      </w:r>
      <w:r w:rsidR="00A96CBC" w:rsidRPr="00445116">
        <w:rPr>
          <w:bCs/>
        </w:rPr>
        <w:t xml:space="preserve">biosecurity </w:t>
      </w:r>
      <w:r w:rsidRPr="00445116">
        <w:rPr>
          <w:bCs/>
        </w:rPr>
        <w:t xml:space="preserve">measures, that if implemented </w:t>
      </w:r>
      <w:r w:rsidR="00472EC1" w:rsidRPr="00445116">
        <w:rPr>
          <w:bCs/>
        </w:rPr>
        <w:t>effectively</w:t>
      </w:r>
      <w:r w:rsidRPr="00445116">
        <w:rPr>
          <w:bCs/>
        </w:rPr>
        <w:t xml:space="preserve">, would provide </w:t>
      </w:r>
      <w:r w:rsidR="000B272C" w:rsidRPr="00445116">
        <w:rPr>
          <w:bCs/>
        </w:rPr>
        <w:t xml:space="preserve">an </w:t>
      </w:r>
      <w:r w:rsidR="00985CD7" w:rsidRPr="00445116">
        <w:rPr>
          <w:bCs/>
        </w:rPr>
        <w:t>Appropriate Level of Protection</w:t>
      </w:r>
      <w:r w:rsidR="000F3A04" w:rsidRPr="00445116">
        <w:rPr>
          <w:bCs/>
        </w:rPr>
        <w:t xml:space="preserve"> </w:t>
      </w:r>
      <w:r w:rsidR="00985CD7" w:rsidRPr="00445116">
        <w:rPr>
          <w:bCs/>
        </w:rPr>
        <w:t>(</w:t>
      </w:r>
      <w:r w:rsidRPr="00445116">
        <w:rPr>
          <w:bCs/>
        </w:rPr>
        <w:t>ALOP</w:t>
      </w:r>
      <w:r w:rsidR="00985CD7" w:rsidRPr="00445116">
        <w:rPr>
          <w:bCs/>
        </w:rPr>
        <w:t>)</w:t>
      </w:r>
      <w:r w:rsidRPr="00445116">
        <w:rPr>
          <w:bCs/>
        </w:rPr>
        <w:t xml:space="preserve"> for Australian prawn</w:t>
      </w:r>
      <w:r w:rsidR="00472FB9" w:rsidRPr="00445116">
        <w:rPr>
          <w:bCs/>
        </w:rPr>
        <w:t>s</w:t>
      </w:r>
      <w:r w:rsidRPr="00445116">
        <w:rPr>
          <w:bCs/>
        </w:rPr>
        <w:t xml:space="preserve"> </w:t>
      </w:r>
      <w:r w:rsidR="00C71C8A" w:rsidRPr="00445116">
        <w:rPr>
          <w:bCs/>
        </w:rPr>
        <w:t xml:space="preserve">and other susceptible species </w:t>
      </w:r>
      <w:r w:rsidRPr="00445116">
        <w:rPr>
          <w:bCs/>
        </w:rPr>
        <w:t>from exotic disease threats.  Some re-</w:t>
      </w:r>
      <w:proofErr w:type="gramStart"/>
      <w:r w:rsidRPr="00445116">
        <w:rPr>
          <w:bCs/>
        </w:rPr>
        <w:t>organisation</w:t>
      </w:r>
      <w:proofErr w:type="gramEnd"/>
      <w:r w:rsidRPr="00445116">
        <w:rPr>
          <w:bCs/>
        </w:rPr>
        <w:t xml:space="preserve"> of the material in the </w:t>
      </w:r>
      <w:r w:rsidR="00660660" w:rsidRPr="00445116">
        <w:rPr>
          <w:bCs/>
        </w:rPr>
        <w:t xml:space="preserve">Provisional Final Report </w:t>
      </w:r>
      <w:r w:rsidR="00000B6E" w:rsidRPr="00445116">
        <w:rPr>
          <w:bCs/>
        </w:rPr>
        <w:t xml:space="preserve">should help to make it clear that the </w:t>
      </w:r>
      <w:r w:rsidRPr="00445116">
        <w:rPr>
          <w:bCs/>
        </w:rPr>
        <w:t xml:space="preserve">proposed </w:t>
      </w:r>
      <w:r w:rsidR="00C71C8A" w:rsidRPr="00445116">
        <w:rPr>
          <w:bCs/>
        </w:rPr>
        <w:t xml:space="preserve">biosecurity measures </w:t>
      </w:r>
      <w:r w:rsidR="00000B6E" w:rsidRPr="00445116">
        <w:rPr>
          <w:bCs/>
        </w:rPr>
        <w:t xml:space="preserve">are robust and defensible under the World Organisation for Animal Health (OIE) </w:t>
      </w:r>
      <w:r w:rsidR="00F81ADA" w:rsidRPr="00445116">
        <w:rPr>
          <w:bCs/>
          <w:i/>
        </w:rPr>
        <w:t xml:space="preserve">Aquatic animal health code </w:t>
      </w:r>
      <w:r w:rsidR="00F81ADA" w:rsidRPr="00445116">
        <w:rPr>
          <w:bCs/>
        </w:rPr>
        <w:t xml:space="preserve">(OIE Code) </w:t>
      </w:r>
      <w:r w:rsidR="00000B6E" w:rsidRPr="00445116">
        <w:rPr>
          <w:bCs/>
        </w:rPr>
        <w:t xml:space="preserve">and </w:t>
      </w:r>
      <w:r w:rsidR="00F81ADA" w:rsidRPr="00445116">
        <w:rPr>
          <w:bCs/>
        </w:rPr>
        <w:t xml:space="preserve">the World Trade Organization’s </w:t>
      </w:r>
      <w:r w:rsidR="00C71C8A" w:rsidRPr="00445116">
        <w:rPr>
          <w:bCs/>
        </w:rPr>
        <w:t xml:space="preserve">Agreement on the Application of </w:t>
      </w:r>
      <w:r w:rsidR="00000B6E" w:rsidRPr="00445116">
        <w:rPr>
          <w:bCs/>
        </w:rPr>
        <w:t>Sanitary and Phytosanitary</w:t>
      </w:r>
      <w:r w:rsidR="00574004" w:rsidRPr="00445116">
        <w:rPr>
          <w:bCs/>
        </w:rPr>
        <w:t xml:space="preserve"> </w:t>
      </w:r>
      <w:r w:rsidR="00C71C8A" w:rsidRPr="00445116">
        <w:rPr>
          <w:bCs/>
        </w:rPr>
        <w:t xml:space="preserve">Measures </w:t>
      </w:r>
      <w:r w:rsidR="00000B6E" w:rsidRPr="00445116">
        <w:rPr>
          <w:bCs/>
        </w:rPr>
        <w:t xml:space="preserve">(SPS </w:t>
      </w:r>
      <w:r w:rsidR="00380282" w:rsidRPr="00445116">
        <w:rPr>
          <w:bCs/>
        </w:rPr>
        <w:t>Agreement</w:t>
      </w:r>
      <w:r w:rsidR="00472FB9" w:rsidRPr="00445116">
        <w:rPr>
          <w:bCs/>
        </w:rPr>
        <w:t>)</w:t>
      </w:r>
      <w:r w:rsidR="00000B6E" w:rsidRPr="00445116">
        <w:rPr>
          <w:bCs/>
        </w:rPr>
        <w:t xml:space="preserve">.  </w:t>
      </w:r>
    </w:p>
    <w:p w14:paraId="0459B896" w14:textId="7C10C5E2" w:rsidR="00000B6E" w:rsidRPr="00445116" w:rsidRDefault="00000B6E" w:rsidP="00000B6E">
      <w:pPr>
        <w:rPr>
          <w:bCs/>
        </w:rPr>
      </w:pPr>
      <w:r w:rsidRPr="00445116">
        <w:rPr>
          <w:bCs/>
        </w:rPr>
        <w:t xml:space="preserve">A major concern </w:t>
      </w:r>
      <w:r w:rsidR="00F81ADA" w:rsidRPr="00445116">
        <w:rPr>
          <w:bCs/>
        </w:rPr>
        <w:t xml:space="preserve">raised </w:t>
      </w:r>
      <w:r w:rsidRPr="00445116">
        <w:rPr>
          <w:bCs/>
        </w:rPr>
        <w:t xml:space="preserve">by Australian stakeholders is that </w:t>
      </w:r>
      <w:r w:rsidR="00D7683D" w:rsidRPr="00445116">
        <w:rPr>
          <w:bCs/>
        </w:rPr>
        <w:t xml:space="preserve">the </w:t>
      </w:r>
      <w:r w:rsidR="00C71C8A" w:rsidRPr="00445116">
        <w:rPr>
          <w:bCs/>
        </w:rPr>
        <w:t>past m</w:t>
      </w:r>
      <w:r w:rsidRPr="00445116">
        <w:rPr>
          <w:bCs/>
        </w:rPr>
        <w:t>easures</w:t>
      </w:r>
      <w:r w:rsidR="00D7683D" w:rsidRPr="00445116">
        <w:rPr>
          <w:bCs/>
        </w:rPr>
        <w:t xml:space="preserve"> which were in place up until 2017</w:t>
      </w:r>
      <w:r w:rsidRPr="00445116">
        <w:rPr>
          <w:bCs/>
        </w:rPr>
        <w:t xml:space="preserve"> failed </w:t>
      </w:r>
      <w:r w:rsidR="005B6867" w:rsidRPr="00445116">
        <w:rPr>
          <w:bCs/>
        </w:rPr>
        <w:t xml:space="preserve">because of </w:t>
      </w:r>
      <w:r w:rsidRPr="00445116">
        <w:rPr>
          <w:bCs/>
        </w:rPr>
        <w:t xml:space="preserve">poor behaviour by </w:t>
      </w:r>
      <w:r w:rsidR="001732AF" w:rsidRPr="00445116">
        <w:rPr>
          <w:bCs/>
        </w:rPr>
        <w:t>a small number of</w:t>
      </w:r>
      <w:r w:rsidRPr="00445116">
        <w:rPr>
          <w:bCs/>
        </w:rPr>
        <w:t xml:space="preserve"> importers.  The success of </w:t>
      </w:r>
      <w:r w:rsidR="00D7683D" w:rsidRPr="00445116">
        <w:rPr>
          <w:bCs/>
        </w:rPr>
        <w:t>the new biosecurity measures that have been put in place since 2017 and any</w:t>
      </w:r>
      <w:r w:rsidR="00971860" w:rsidRPr="00445116">
        <w:rPr>
          <w:bCs/>
        </w:rPr>
        <w:t xml:space="preserve"> </w:t>
      </w:r>
      <w:r w:rsidR="00D7683D" w:rsidRPr="00445116">
        <w:rPr>
          <w:bCs/>
        </w:rPr>
        <w:t>proposed</w:t>
      </w:r>
      <w:r w:rsidR="00971860" w:rsidRPr="00445116">
        <w:rPr>
          <w:bCs/>
        </w:rPr>
        <w:t xml:space="preserve"> </w:t>
      </w:r>
      <w:r w:rsidR="00D7683D" w:rsidRPr="00445116">
        <w:rPr>
          <w:bCs/>
        </w:rPr>
        <w:t>new measures</w:t>
      </w:r>
      <w:r w:rsidR="00860C25" w:rsidRPr="00445116">
        <w:rPr>
          <w:bCs/>
        </w:rPr>
        <w:t xml:space="preserve"> for prawn</w:t>
      </w:r>
      <w:r w:rsidR="00472FB9" w:rsidRPr="00445116">
        <w:rPr>
          <w:bCs/>
        </w:rPr>
        <w:t>s</w:t>
      </w:r>
      <w:r w:rsidR="00860C25" w:rsidRPr="00445116">
        <w:rPr>
          <w:bCs/>
        </w:rPr>
        <w:t xml:space="preserve"> and prawn products exported to Australia </w:t>
      </w:r>
      <w:r w:rsidRPr="00445116">
        <w:rPr>
          <w:bCs/>
        </w:rPr>
        <w:t>in the future will depend on the implementation of rigorous pre-and post-border monitoring and testing</w:t>
      </w:r>
      <w:r w:rsidR="005B6867" w:rsidRPr="00445116">
        <w:rPr>
          <w:bCs/>
        </w:rPr>
        <w:t>, particularly</w:t>
      </w:r>
      <w:r w:rsidRPr="00445116">
        <w:rPr>
          <w:bCs/>
        </w:rPr>
        <w:t xml:space="preserve"> where prawns are imported uncooked and frozen.  </w:t>
      </w:r>
    </w:p>
    <w:p w14:paraId="262C3455" w14:textId="370BBA53" w:rsidR="00000B6E" w:rsidRPr="00445116" w:rsidRDefault="002A6008" w:rsidP="00000B6E">
      <w:pPr>
        <w:rPr>
          <w:bCs/>
        </w:rPr>
      </w:pPr>
      <w:r w:rsidRPr="00445116">
        <w:rPr>
          <w:bCs/>
        </w:rPr>
        <w:t>I</w:t>
      </w:r>
      <w:r w:rsidR="00000B6E" w:rsidRPr="00445116">
        <w:rPr>
          <w:bCs/>
        </w:rPr>
        <w:t xml:space="preserve">t </w:t>
      </w:r>
      <w:r w:rsidRPr="00445116">
        <w:rPr>
          <w:bCs/>
        </w:rPr>
        <w:t xml:space="preserve">is </w:t>
      </w:r>
      <w:r w:rsidR="00000B6E" w:rsidRPr="00445116">
        <w:rPr>
          <w:bCs/>
        </w:rPr>
        <w:t xml:space="preserve">evident that the Department has, and is continuing to, undertake detailed testing and monitoring in support of the proposed </w:t>
      </w:r>
      <w:r w:rsidRPr="00445116">
        <w:rPr>
          <w:bCs/>
        </w:rPr>
        <w:t xml:space="preserve">biosecurity measures </w:t>
      </w:r>
      <w:r w:rsidR="005B6867" w:rsidRPr="00445116">
        <w:rPr>
          <w:bCs/>
        </w:rPr>
        <w:t>th</w:t>
      </w:r>
      <w:r w:rsidR="00DB739D" w:rsidRPr="00445116">
        <w:rPr>
          <w:bCs/>
        </w:rPr>
        <w:t>at are</w:t>
      </w:r>
      <w:r w:rsidR="005B6867" w:rsidRPr="00445116">
        <w:rPr>
          <w:bCs/>
        </w:rPr>
        <w:t xml:space="preserve"> outlined in the Draft Report</w:t>
      </w:r>
      <w:r w:rsidR="00000B6E" w:rsidRPr="00445116">
        <w:rPr>
          <w:bCs/>
        </w:rPr>
        <w:t xml:space="preserve">. </w:t>
      </w:r>
      <w:r w:rsidR="005B6867" w:rsidRPr="00445116">
        <w:rPr>
          <w:bCs/>
        </w:rPr>
        <w:t xml:space="preserve"> These actions were in response to the outbreak of White Spot Syndrome </w:t>
      </w:r>
      <w:r w:rsidR="00051E51" w:rsidRPr="00445116">
        <w:rPr>
          <w:bCs/>
        </w:rPr>
        <w:t xml:space="preserve">Virus (WSSV) </w:t>
      </w:r>
      <w:r w:rsidR="005B6867" w:rsidRPr="00445116">
        <w:rPr>
          <w:bCs/>
        </w:rPr>
        <w:t xml:space="preserve">in prawns in 2016 in </w:t>
      </w:r>
      <w:r w:rsidR="00F26271" w:rsidRPr="00445116">
        <w:rPr>
          <w:bCs/>
        </w:rPr>
        <w:t>s</w:t>
      </w:r>
      <w:r w:rsidR="00860C25" w:rsidRPr="00445116">
        <w:rPr>
          <w:bCs/>
        </w:rPr>
        <w:t xml:space="preserve">outh </w:t>
      </w:r>
      <w:r w:rsidR="00F26271" w:rsidRPr="00445116">
        <w:rPr>
          <w:bCs/>
        </w:rPr>
        <w:t>e</w:t>
      </w:r>
      <w:r w:rsidR="00860C25" w:rsidRPr="00445116">
        <w:rPr>
          <w:bCs/>
        </w:rPr>
        <w:t>ast</w:t>
      </w:r>
      <w:r w:rsidR="005B6867" w:rsidRPr="00445116">
        <w:rPr>
          <w:bCs/>
        </w:rPr>
        <w:t xml:space="preserve"> Queensland and follow</w:t>
      </w:r>
      <w:r w:rsidR="000B272C" w:rsidRPr="00445116">
        <w:rPr>
          <w:bCs/>
        </w:rPr>
        <w:t xml:space="preserve"> on</w:t>
      </w:r>
      <w:r w:rsidR="005B6867" w:rsidRPr="00445116">
        <w:rPr>
          <w:bCs/>
        </w:rPr>
        <w:t xml:space="preserve"> from recommendations in the </w:t>
      </w:r>
      <w:r w:rsidR="00422830" w:rsidRPr="00445116">
        <w:rPr>
          <w:bCs/>
        </w:rPr>
        <w:t xml:space="preserve">Inspector General of </w:t>
      </w:r>
      <w:proofErr w:type="gramStart"/>
      <w:r w:rsidR="00422830" w:rsidRPr="00445116">
        <w:rPr>
          <w:bCs/>
        </w:rPr>
        <w:t>Biosecurity‘</w:t>
      </w:r>
      <w:proofErr w:type="gramEnd"/>
      <w:r w:rsidR="00422830" w:rsidRPr="00445116">
        <w:rPr>
          <w:bCs/>
        </w:rPr>
        <w:t xml:space="preserve">s </w:t>
      </w:r>
      <w:r w:rsidR="005B6867" w:rsidRPr="00445116">
        <w:rPr>
          <w:bCs/>
        </w:rPr>
        <w:t xml:space="preserve">report on </w:t>
      </w:r>
      <w:r w:rsidR="005B6867" w:rsidRPr="00445116">
        <w:rPr>
          <w:bCs/>
          <w:i/>
          <w:iCs/>
        </w:rPr>
        <w:t>Uncooked prawn imports: effectiveness of biosecurity controls</w:t>
      </w:r>
      <w:r w:rsidR="005B6867" w:rsidRPr="00445116">
        <w:rPr>
          <w:bCs/>
        </w:rPr>
        <w:t xml:space="preserve"> (Scott-Orr, Jones and Bhatia, 2017)</w:t>
      </w:r>
      <w:r w:rsidR="00CB013F" w:rsidRPr="00445116">
        <w:rPr>
          <w:bCs/>
        </w:rPr>
        <w:t xml:space="preserve"> (hereafter referred to as the IGB </w:t>
      </w:r>
      <w:r w:rsidR="004A5634" w:rsidRPr="00445116">
        <w:rPr>
          <w:bCs/>
        </w:rPr>
        <w:t xml:space="preserve">Report </w:t>
      </w:r>
      <w:r w:rsidR="00FC6116" w:rsidRPr="00445116">
        <w:rPr>
          <w:bCs/>
        </w:rPr>
        <w:t>2017</w:t>
      </w:r>
      <w:r w:rsidR="00CB013F" w:rsidRPr="00445116">
        <w:rPr>
          <w:bCs/>
        </w:rPr>
        <w:t>)</w:t>
      </w:r>
      <w:r w:rsidR="005B6867" w:rsidRPr="00445116">
        <w:rPr>
          <w:bCs/>
        </w:rPr>
        <w:t xml:space="preserve">.    </w:t>
      </w:r>
    </w:p>
    <w:p w14:paraId="4BD73A8D" w14:textId="5F904977" w:rsidR="00A80F7C" w:rsidRPr="00445116" w:rsidRDefault="00F87057" w:rsidP="008B37A4">
      <w:pPr>
        <w:rPr>
          <w:bCs/>
        </w:rPr>
      </w:pPr>
      <w:r w:rsidRPr="00445116">
        <w:rPr>
          <w:bCs/>
        </w:rPr>
        <w:t>The strength of the Draft Report is its comprehensiveness.  This is also its weakness</w:t>
      </w:r>
      <w:r w:rsidR="00902E0B" w:rsidRPr="00445116">
        <w:rPr>
          <w:bCs/>
        </w:rPr>
        <w:t>,</w:t>
      </w:r>
      <w:r w:rsidRPr="00445116">
        <w:rPr>
          <w:bCs/>
        </w:rPr>
        <w:t xml:space="preserve"> as it is difficult </w:t>
      </w:r>
      <w:r w:rsidR="00E47715" w:rsidRPr="00445116">
        <w:rPr>
          <w:bCs/>
        </w:rPr>
        <w:t xml:space="preserve">for the reader </w:t>
      </w:r>
      <w:r w:rsidRPr="00445116">
        <w:rPr>
          <w:bCs/>
        </w:rPr>
        <w:t>to achieve an overview of key issues, as is evidenced by a number of the comments in stakeholder submissions</w:t>
      </w:r>
      <w:r w:rsidR="00A80F7C" w:rsidRPr="00445116">
        <w:rPr>
          <w:bCs/>
        </w:rPr>
        <w:t xml:space="preserve"> about the proposed biosecurity measures.  </w:t>
      </w:r>
      <w:r w:rsidR="003E30E9" w:rsidRPr="00445116">
        <w:rPr>
          <w:bCs/>
        </w:rPr>
        <w:t>A range</w:t>
      </w:r>
      <w:r w:rsidR="00472FB9" w:rsidRPr="00445116">
        <w:rPr>
          <w:bCs/>
        </w:rPr>
        <w:t xml:space="preserve"> of</w:t>
      </w:r>
      <w:r w:rsidR="003E30E9" w:rsidRPr="00445116">
        <w:rPr>
          <w:bCs/>
        </w:rPr>
        <w:t xml:space="preserve"> </w:t>
      </w:r>
      <w:r w:rsidR="00F12ACC" w:rsidRPr="00445116">
        <w:rPr>
          <w:bCs/>
        </w:rPr>
        <w:t xml:space="preserve">concerns raised by </w:t>
      </w:r>
      <w:r w:rsidR="003E30E9" w:rsidRPr="00445116">
        <w:rPr>
          <w:bCs/>
        </w:rPr>
        <w:t>stakeholder</w:t>
      </w:r>
      <w:r w:rsidR="009C38A3" w:rsidRPr="00445116">
        <w:rPr>
          <w:bCs/>
        </w:rPr>
        <w:t>s</w:t>
      </w:r>
      <w:r w:rsidR="003E30E9" w:rsidRPr="00445116">
        <w:rPr>
          <w:bCs/>
        </w:rPr>
        <w:t xml:space="preserve"> had been addressed in the Draft </w:t>
      </w:r>
      <w:proofErr w:type="gramStart"/>
      <w:r w:rsidR="003E30E9" w:rsidRPr="00445116">
        <w:rPr>
          <w:bCs/>
        </w:rPr>
        <w:t>Report</w:t>
      </w:r>
      <w:r w:rsidR="00DB739D" w:rsidRPr="00445116">
        <w:rPr>
          <w:bCs/>
        </w:rPr>
        <w:t>,</w:t>
      </w:r>
      <w:r w:rsidR="003E30E9" w:rsidRPr="00445116">
        <w:rPr>
          <w:bCs/>
        </w:rPr>
        <w:t xml:space="preserve"> but</w:t>
      </w:r>
      <w:proofErr w:type="gramEnd"/>
      <w:r w:rsidR="003E30E9" w:rsidRPr="00445116">
        <w:rPr>
          <w:bCs/>
        </w:rPr>
        <w:t xml:space="preserve"> were not easy to find.  </w:t>
      </w:r>
      <w:r w:rsidR="00536D13" w:rsidRPr="00445116">
        <w:rPr>
          <w:bCs/>
        </w:rPr>
        <w:t>Stakeholder confidence w</w:t>
      </w:r>
      <w:r w:rsidR="00A80F7C" w:rsidRPr="00445116">
        <w:rPr>
          <w:bCs/>
        </w:rPr>
        <w:t>ill</w:t>
      </w:r>
      <w:r w:rsidR="00536D13" w:rsidRPr="00445116">
        <w:rPr>
          <w:bCs/>
        </w:rPr>
        <w:t xml:space="preserve"> be improved if the Provisional Final Report</w:t>
      </w:r>
      <w:r w:rsidR="00A80F7C" w:rsidRPr="00445116">
        <w:rPr>
          <w:bCs/>
        </w:rPr>
        <w:t xml:space="preserve"> highlights the key areas of concern and how they are to be addressed </w:t>
      </w:r>
      <w:r w:rsidR="00B066F4" w:rsidRPr="00445116">
        <w:rPr>
          <w:bCs/>
        </w:rPr>
        <w:t>- potentially</w:t>
      </w:r>
      <w:r w:rsidR="00A80F7C" w:rsidRPr="00445116">
        <w:rPr>
          <w:bCs/>
        </w:rPr>
        <w:t xml:space="preserve"> in a new chapter.</w:t>
      </w:r>
      <w:r w:rsidR="00536D13" w:rsidRPr="00445116">
        <w:rPr>
          <w:bCs/>
        </w:rPr>
        <w:t xml:space="preserve">  </w:t>
      </w:r>
      <w:r w:rsidRPr="00445116">
        <w:rPr>
          <w:bCs/>
        </w:rPr>
        <w:t xml:space="preserve">  </w:t>
      </w:r>
    </w:p>
    <w:p w14:paraId="0BCE20D5" w14:textId="03D00E4F" w:rsidR="002A6008" w:rsidRPr="00445116" w:rsidRDefault="0086697D" w:rsidP="0086697D">
      <w:pPr>
        <w:rPr>
          <w:bCs/>
        </w:rPr>
      </w:pPr>
      <w:r w:rsidRPr="00445116">
        <w:rPr>
          <w:bCs/>
        </w:rPr>
        <w:lastRenderedPageBreak/>
        <w:t xml:space="preserve">The Expert Panel </w:t>
      </w:r>
      <w:r w:rsidR="002A6008" w:rsidRPr="00445116">
        <w:rPr>
          <w:bCs/>
        </w:rPr>
        <w:t xml:space="preserve">has made a number of suggestions for the Department to consider in its preparation of the Provisional Final Report.  </w:t>
      </w:r>
      <w:r w:rsidR="00F12ACC" w:rsidRPr="00445116">
        <w:rPr>
          <w:bCs/>
        </w:rPr>
        <w:t xml:space="preserve">These are listed throughout the body of the Review.  </w:t>
      </w:r>
      <w:r w:rsidR="002A6008" w:rsidRPr="00445116">
        <w:rPr>
          <w:bCs/>
        </w:rPr>
        <w:t>We have also made the following recommendations.</w:t>
      </w:r>
    </w:p>
    <w:p w14:paraId="43851EEC" w14:textId="16901214" w:rsidR="002A6008" w:rsidRPr="00445116" w:rsidRDefault="002A6008" w:rsidP="00445116">
      <w:pPr>
        <w:pStyle w:val="Heading2"/>
      </w:pPr>
      <w:bookmarkStart w:id="6" w:name="_Toc72416527"/>
      <w:bookmarkStart w:id="7" w:name="_Toc72478337"/>
      <w:r w:rsidRPr="00445116">
        <w:t>Recommendations</w:t>
      </w:r>
      <w:bookmarkEnd w:id="6"/>
      <w:bookmarkEnd w:id="7"/>
    </w:p>
    <w:p w14:paraId="49275D38" w14:textId="65002C68" w:rsidR="0086697D" w:rsidRPr="00445116" w:rsidRDefault="002A6008" w:rsidP="0086697D">
      <w:pPr>
        <w:rPr>
          <w:bCs/>
        </w:rPr>
      </w:pPr>
      <w:r w:rsidRPr="00445116">
        <w:rPr>
          <w:bCs/>
        </w:rPr>
        <w:t>T</w:t>
      </w:r>
      <w:r w:rsidR="0086697D" w:rsidRPr="00445116">
        <w:rPr>
          <w:bCs/>
        </w:rPr>
        <w:t xml:space="preserve">he Provisional Final Report: </w:t>
      </w:r>
    </w:p>
    <w:p w14:paraId="0630175F" w14:textId="7BD6C9E7" w:rsidR="0086697D" w:rsidRPr="00445116" w:rsidRDefault="0086697D" w:rsidP="0086697D">
      <w:pPr>
        <w:pStyle w:val="ListParagraph"/>
        <w:numPr>
          <w:ilvl w:val="0"/>
          <w:numId w:val="38"/>
        </w:numPr>
        <w:rPr>
          <w:bCs/>
        </w:rPr>
      </w:pPr>
      <w:r w:rsidRPr="00445116">
        <w:rPr>
          <w:bCs/>
        </w:rPr>
        <w:t>Address</w:t>
      </w:r>
      <w:r w:rsidR="00B066F4" w:rsidRPr="00445116">
        <w:rPr>
          <w:bCs/>
        </w:rPr>
        <w:t>es</w:t>
      </w:r>
      <w:r w:rsidRPr="00445116">
        <w:rPr>
          <w:bCs/>
        </w:rPr>
        <w:t xml:space="preserve"> the top-level issues raised by the submissions to the 2020 Draft Report (Appendix 2)</w:t>
      </w:r>
    </w:p>
    <w:p w14:paraId="52611D66" w14:textId="77777777" w:rsidR="00742570" w:rsidRPr="00445116" w:rsidRDefault="00742570" w:rsidP="00742570">
      <w:pPr>
        <w:pStyle w:val="ListParagraph"/>
        <w:numPr>
          <w:ilvl w:val="0"/>
          <w:numId w:val="38"/>
        </w:numPr>
        <w:rPr>
          <w:bCs/>
        </w:rPr>
      </w:pPr>
      <w:r w:rsidRPr="00445116">
        <w:rPr>
          <w:bCs/>
        </w:rPr>
        <w:t xml:space="preserve">Provides more detail on the pre-export and on-arrival testing programs, and the associated monitoring and compliance program  </w:t>
      </w:r>
    </w:p>
    <w:p w14:paraId="7DFD4BCF" w14:textId="77FE3AE7" w:rsidR="0086697D" w:rsidRPr="00445116" w:rsidRDefault="0086697D" w:rsidP="0086697D">
      <w:pPr>
        <w:pStyle w:val="ListParagraph"/>
        <w:numPr>
          <w:ilvl w:val="0"/>
          <w:numId w:val="38"/>
        </w:numPr>
        <w:rPr>
          <w:bCs/>
        </w:rPr>
      </w:pPr>
      <w:r w:rsidRPr="00445116">
        <w:rPr>
          <w:bCs/>
        </w:rPr>
        <w:t>Give</w:t>
      </w:r>
      <w:r w:rsidR="00B066F4" w:rsidRPr="00445116">
        <w:rPr>
          <w:bCs/>
        </w:rPr>
        <w:t>s</w:t>
      </w:r>
      <w:r w:rsidRPr="00445116">
        <w:rPr>
          <w:bCs/>
        </w:rPr>
        <w:t xml:space="preserve"> a clearer account of the potential economic impacts of disease introduction to Australia</w:t>
      </w:r>
    </w:p>
    <w:p w14:paraId="79523C28" w14:textId="52258193" w:rsidR="0086697D" w:rsidRPr="00445116" w:rsidRDefault="0086697D" w:rsidP="0086697D">
      <w:pPr>
        <w:pStyle w:val="ListParagraph"/>
        <w:numPr>
          <w:ilvl w:val="0"/>
          <w:numId w:val="38"/>
        </w:numPr>
        <w:rPr>
          <w:bCs/>
        </w:rPr>
      </w:pPr>
      <w:r w:rsidRPr="00445116">
        <w:rPr>
          <w:bCs/>
        </w:rPr>
        <w:t>Emphasise</w:t>
      </w:r>
      <w:r w:rsidR="00B066F4" w:rsidRPr="00445116">
        <w:rPr>
          <w:bCs/>
        </w:rPr>
        <w:t>s</w:t>
      </w:r>
      <w:r w:rsidRPr="00445116">
        <w:rPr>
          <w:bCs/>
        </w:rPr>
        <w:t xml:space="preserve"> that the ‘very low’ risk rating for WSSV does not assume that recreational fishers will comply with the voluntary code not to use imported prawns for bait or berley</w:t>
      </w:r>
    </w:p>
    <w:p w14:paraId="62DAC364" w14:textId="023AC577" w:rsidR="0086697D" w:rsidRPr="00445116" w:rsidRDefault="0086697D" w:rsidP="0086697D">
      <w:pPr>
        <w:pStyle w:val="ListParagraph"/>
        <w:numPr>
          <w:ilvl w:val="0"/>
          <w:numId w:val="38"/>
        </w:numPr>
        <w:rPr>
          <w:bCs/>
        </w:rPr>
      </w:pPr>
      <w:r w:rsidRPr="00445116">
        <w:rPr>
          <w:bCs/>
        </w:rPr>
        <w:t xml:space="preserve">Includes the design and implementation plan for a random batch testing program to monitor for </w:t>
      </w:r>
      <w:r w:rsidR="00660660" w:rsidRPr="00445116">
        <w:rPr>
          <w:bCs/>
        </w:rPr>
        <w:t>other</w:t>
      </w:r>
      <w:r w:rsidRPr="00445116">
        <w:rPr>
          <w:bCs/>
        </w:rPr>
        <w:t xml:space="preserve"> exotic diseases (CMNV, DIV1, EHP, IMNV and TSV) in prawns imported for human consumption </w:t>
      </w:r>
    </w:p>
    <w:p w14:paraId="7D86ACB7" w14:textId="03E8BCBF" w:rsidR="0086697D" w:rsidRPr="00445116" w:rsidRDefault="0086697D" w:rsidP="0086697D">
      <w:pPr>
        <w:pStyle w:val="ListParagraph"/>
        <w:numPr>
          <w:ilvl w:val="0"/>
          <w:numId w:val="38"/>
        </w:numPr>
        <w:rPr>
          <w:bCs/>
        </w:rPr>
      </w:pPr>
      <w:r w:rsidRPr="00445116">
        <w:rPr>
          <w:bCs/>
        </w:rPr>
        <w:t>Outline</w:t>
      </w:r>
      <w:r w:rsidR="00B066F4" w:rsidRPr="00445116">
        <w:rPr>
          <w:bCs/>
        </w:rPr>
        <w:t>s</w:t>
      </w:r>
      <w:r w:rsidRPr="00445116">
        <w:rPr>
          <w:bCs/>
        </w:rPr>
        <w:t xml:space="preserve"> the Department’s extensive actions undertaken since the 2016 incursion, including its response to the recommendations of the IGB Report 2017, and future planned activities </w:t>
      </w:r>
    </w:p>
    <w:p w14:paraId="46D9C74B" w14:textId="44C76BBE" w:rsidR="0086697D" w:rsidRPr="00445116" w:rsidRDefault="0086697D" w:rsidP="0086697D">
      <w:pPr>
        <w:pStyle w:val="ListParagraph"/>
        <w:numPr>
          <w:ilvl w:val="0"/>
          <w:numId w:val="38"/>
        </w:numPr>
        <w:rPr>
          <w:bCs/>
        </w:rPr>
      </w:pPr>
      <w:r w:rsidRPr="00445116">
        <w:rPr>
          <w:bCs/>
        </w:rPr>
        <w:t>Acknowledge</w:t>
      </w:r>
      <w:r w:rsidR="00B066F4" w:rsidRPr="00445116">
        <w:rPr>
          <w:bCs/>
        </w:rPr>
        <w:t>s</w:t>
      </w:r>
      <w:r w:rsidRPr="00445116">
        <w:rPr>
          <w:bCs/>
        </w:rPr>
        <w:t xml:space="preserve"> that, on the balance of probabilities, the use of imported prawns for bait and berley by recreational fishers is the likely pathway of the 2016 disease incursion</w:t>
      </w:r>
    </w:p>
    <w:p w14:paraId="2BBF543A" w14:textId="23B60F71" w:rsidR="0086697D" w:rsidRPr="00445116" w:rsidRDefault="0086697D" w:rsidP="0086697D">
      <w:pPr>
        <w:pStyle w:val="ListParagraph"/>
        <w:numPr>
          <w:ilvl w:val="0"/>
          <w:numId w:val="38"/>
        </w:numPr>
        <w:rPr>
          <w:bCs/>
        </w:rPr>
      </w:pPr>
      <w:r w:rsidRPr="00445116">
        <w:rPr>
          <w:bCs/>
        </w:rPr>
        <w:t>Indicate</w:t>
      </w:r>
      <w:r w:rsidR="00B066F4" w:rsidRPr="00445116">
        <w:rPr>
          <w:bCs/>
        </w:rPr>
        <w:t>s</w:t>
      </w:r>
      <w:r w:rsidRPr="00445116">
        <w:rPr>
          <w:bCs/>
        </w:rPr>
        <w:t xml:space="preserve"> how the </w:t>
      </w:r>
      <w:r w:rsidR="00D7683D" w:rsidRPr="00445116">
        <w:rPr>
          <w:bCs/>
        </w:rPr>
        <w:t>biosecurity</w:t>
      </w:r>
      <w:r w:rsidRPr="00445116">
        <w:rPr>
          <w:bCs/>
        </w:rPr>
        <w:t xml:space="preserve"> arrangements for </w:t>
      </w:r>
      <w:r w:rsidR="00D7683D" w:rsidRPr="00445116">
        <w:rPr>
          <w:bCs/>
        </w:rPr>
        <w:t xml:space="preserve">imported </w:t>
      </w:r>
      <w:r w:rsidRPr="00445116">
        <w:rPr>
          <w:bCs/>
        </w:rPr>
        <w:t xml:space="preserve">prawns are consistent with that taken for other </w:t>
      </w:r>
      <w:r w:rsidR="00D7683D" w:rsidRPr="00445116">
        <w:rPr>
          <w:bCs/>
        </w:rPr>
        <w:t xml:space="preserve">imported </w:t>
      </w:r>
      <w:r w:rsidRPr="00445116">
        <w:rPr>
          <w:bCs/>
        </w:rPr>
        <w:t xml:space="preserve">meat products (beef, pork and chicken). </w:t>
      </w:r>
    </w:p>
    <w:p w14:paraId="660EEF96" w14:textId="312922F4" w:rsidR="0086697D" w:rsidRPr="00445116" w:rsidRDefault="002A6008" w:rsidP="0086697D">
      <w:pPr>
        <w:rPr>
          <w:bCs/>
        </w:rPr>
      </w:pPr>
      <w:r w:rsidRPr="00445116">
        <w:rPr>
          <w:bCs/>
        </w:rPr>
        <w:t>T</w:t>
      </w:r>
      <w:r w:rsidR="0086697D" w:rsidRPr="00445116">
        <w:rPr>
          <w:bCs/>
        </w:rPr>
        <w:t xml:space="preserve">he Department: </w:t>
      </w:r>
    </w:p>
    <w:p w14:paraId="660A485F" w14:textId="2811BDF0" w:rsidR="0086697D" w:rsidRPr="00445116" w:rsidRDefault="0086697D" w:rsidP="0086697D">
      <w:pPr>
        <w:pStyle w:val="ListParagraph"/>
        <w:numPr>
          <w:ilvl w:val="0"/>
          <w:numId w:val="38"/>
        </w:numPr>
        <w:rPr>
          <w:bCs/>
        </w:rPr>
      </w:pPr>
      <w:r w:rsidRPr="00445116">
        <w:rPr>
          <w:bCs/>
        </w:rPr>
        <w:t>Ensure</w:t>
      </w:r>
      <w:r w:rsidR="00B066F4" w:rsidRPr="00445116">
        <w:rPr>
          <w:bCs/>
        </w:rPr>
        <w:t>s</w:t>
      </w:r>
      <w:r w:rsidRPr="00445116">
        <w:rPr>
          <w:bCs/>
        </w:rPr>
        <w:t xml:space="preserve"> that the biosecurity measures given in the Draft Report are properly resourced and monitored.</w:t>
      </w:r>
    </w:p>
    <w:p w14:paraId="7DC9D7E0" w14:textId="77777777" w:rsidR="0086697D" w:rsidRPr="00445116" w:rsidRDefault="0086697D" w:rsidP="008B37A4">
      <w:pPr>
        <w:rPr>
          <w:bCs/>
        </w:rPr>
      </w:pPr>
    </w:p>
    <w:p w14:paraId="5B6CE88F" w14:textId="6A2B426C" w:rsidR="00580828" w:rsidRPr="00445116" w:rsidRDefault="00E91289" w:rsidP="002A6008">
      <w:pPr>
        <w:pStyle w:val="Heading2"/>
      </w:pPr>
      <w:r w:rsidRPr="00445116">
        <w:br w:type="page"/>
      </w:r>
      <w:bookmarkStart w:id="8" w:name="_Toc72416528"/>
      <w:bookmarkStart w:id="9" w:name="_Toc72478338"/>
      <w:r w:rsidR="00DB11C3" w:rsidRPr="00445116">
        <w:lastRenderedPageBreak/>
        <w:t xml:space="preserve">1. </w:t>
      </w:r>
      <w:r w:rsidR="00773F92" w:rsidRPr="00445116">
        <w:t>Introduction</w:t>
      </w:r>
      <w:bookmarkEnd w:id="8"/>
      <w:bookmarkEnd w:id="9"/>
    </w:p>
    <w:p w14:paraId="53B48A4A" w14:textId="643CF2E7" w:rsidR="00DB11C3" w:rsidRPr="00445116" w:rsidRDefault="00DB11C3" w:rsidP="00DB11C3">
      <w:pPr>
        <w:rPr>
          <w:bCs/>
        </w:rPr>
      </w:pPr>
      <w:r w:rsidRPr="00445116">
        <w:rPr>
          <w:bCs/>
        </w:rPr>
        <w:t xml:space="preserve">The Department of Agriculture, Water and </w:t>
      </w:r>
      <w:r w:rsidR="00860C25" w:rsidRPr="00445116">
        <w:rPr>
          <w:bCs/>
        </w:rPr>
        <w:t xml:space="preserve">the </w:t>
      </w:r>
      <w:r w:rsidRPr="00445116">
        <w:rPr>
          <w:bCs/>
        </w:rPr>
        <w:t xml:space="preserve">Environment (the Department) released its Draft Report on </w:t>
      </w:r>
      <w:r w:rsidRPr="00445116">
        <w:rPr>
          <w:bCs/>
          <w:i/>
          <w:iCs/>
        </w:rPr>
        <w:t>Review of the biosecurity risks of prawns imported from all countries for human consumption</w:t>
      </w:r>
      <w:r w:rsidRPr="00445116">
        <w:rPr>
          <w:bCs/>
        </w:rPr>
        <w:t xml:space="preserve"> in September 2020 for stakeholder feedback and comment. </w:t>
      </w:r>
      <w:r w:rsidR="00476164" w:rsidRPr="00445116">
        <w:rPr>
          <w:bCs/>
        </w:rPr>
        <w:t xml:space="preserve"> </w:t>
      </w:r>
      <w:r w:rsidRPr="00445116">
        <w:rPr>
          <w:bCs/>
        </w:rPr>
        <w:t xml:space="preserve">Submissions from trading countries, importers, exporters, fishing and aquaculture businesses and other interested parties raised a number of scientific, technical and trade issues. An Expert Panel </w:t>
      </w:r>
      <w:r w:rsidR="00DF33FD" w:rsidRPr="00445116">
        <w:rPr>
          <w:bCs/>
        </w:rPr>
        <w:t xml:space="preserve">was appointed </w:t>
      </w:r>
      <w:r w:rsidRPr="00445116">
        <w:rPr>
          <w:bCs/>
        </w:rPr>
        <w:t>by the Department to undertake a review of the Draft Report and consider:</w:t>
      </w:r>
    </w:p>
    <w:p w14:paraId="502A1C76" w14:textId="77777777" w:rsidR="00DB11C3" w:rsidRPr="00445116" w:rsidRDefault="00DB11C3" w:rsidP="004A5634">
      <w:pPr>
        <w:pStyle w:val="ListParagraph"/>
        <w:numPr>
          <w:ilvl w:val="0"/>
          <w:numId w:val="32"/>
        </w:numPr>
        <w:rPr>
          <w:bCs/>
        </w:rPr>
      </w:pPr>
      <w:r w:rsidRPr="00445116">
        <w:rPr>
          <w:bCs/>
        </w:rPr>
        <w:t xml:space="preserve">Relevant matters relating to the likelihood of entry and exposure to diseases associated with prawn imports have been properly considered, including emerging </w:t>
      </w:r>
      <w:proofErr w:type="gramStart"/>
      <w:r w:rsidRPr="00445116">
        <w:rPr>
          <w:bCs/>
        </w:rPr>
        <w:t>diseases;</w:t>
      </w:r>
      <w:proofErr w:type="gramEnd"/>
    </w:p>
    <w:p w14:paraId="7A92C410" w14:textId="77777777" w:rsidR="00DB11C3" w:rsidRPr="00445116" w:rsidRDefault="00DB11C3" w:rsidP="004A5634">
      <w:pPr>
        <w:pStyle w:val="ListParagraph"/>
        <w:numPr>
          <w:ilvl w:val="0"/>
          <w:numId w:val="32"/>
        </w:numPr>
        <w:rPr>
          <w:bCs/>
        </w:rPr>
      </w:pPr>
      <w:r w:rsidRPr="00445116">
        <w:rPr>
          <w:bCs/>
        </w:rPr>
        <w:t>Relevant matters relating to the likely economic consequences of a disease incursion have been properly considered; and</w:t>
      </w:r>
    </w:p>
    <w:p w14:paraId="6B789AE9" w14:textId="43A9F85E" w:rsidR="00DB11C3" w:rsidRPr="00445116" w:rsidRDefault="00DB11C3" w:rsidP="004A5634">
      <w:pPr>
        <w:pStyle w:val="ListParagraph"/>
        <w:numPr>
          <w:ilvl w:val="0"/>
          <w:numId w:val="32"/>
        </w:numPr>
        <w:rPr>
          <w:bCs/>
        </w:rPr>
      </w:pPr>
      <w:r w:rsidRPr="00445116">
        <w:rPr>
          <w:bCs/>
        </w:rPr>
        <w:t>That the conclusions of the draft prawn import review report are scientifically reasonable, based on the material presented, including consideration of material contained in stakeholder submissions to the draft report.</w:t>
      </w:r>
    </w:p>
    <w:p w14:paraId="3DDF2F4B" w14:textId="23FD2AFF" w:rsidR="002A6008" w:rsidRPr="00445116" w:rsidRDefault="00C2260A" w:rsidP="00476164">
      <w:pPr>
        <w:rPr>
          <w:bCs/>
        </w:rPr>
      </w:pPr>
      <w:r w:rsidRPr="00445116">
        <w:rPr>
          <w:bCs/>
        </w:rPr>
        <w:t xml:space="preserve">The Expert Panel’s advice will assist the Department in its preparation of the Provisional Final Report.  </w:t>
      </w:r>
      <w:r w:rsidR="002A6008" w:rsidRPr="00445116">
        <w:rPr>
          <w:bCs/>
        </w:rPr>
        <w:t xml:space="preserve">Section 2 (A) – (C) addresses the matters </w:t>
      </w:r>
      <w:r w:rsidRPr="00445116">
        <w:rPr>
          <w:bCs/>
        </w:rPr>
        <w:t xml:space="preserve">listed above and </w:t>
      </w:r>
      <w:r w:rsidR="002A6008" w:rsidRPr="00445116">
        <w:rPr>
          <w:bCs/>
        </w:rPr>
        <w:t>Appendix 1 lists the ten pathogens of interest</w:t>
      </w:r>
      <w:r w:rsidRPr="00445116">
        <w:rPr>
          <w:bCs/>
        </w:rPr>
        <w:t xml:space="preserve">. </w:t>
      </w:r>
    </w:p>
    <w:p w14:paraId="6AA9F7F3" w14:textId="1DDAB531" w:rsidR="00476164" w:rsidRPr="00445116" w:rsidRDefault="002A6008" w:rsidP="00476164">
      <w:pPr>
        <w:rPr>
          <w:bCs/>
        </w:rPr>
      </w:pPr>
      <w:r w:rsidRPr="00445116">
        <w:rPr>
          <w:bCs/>
        </w:rPr>
        <w:t xml:space="preserve">Stakeholders raised a range of issues in their submissions.  The Expert Panel addressed some of these in the body of the report below.  </w:t>
      </w:r>
      <w:r w:rsidR="00476164" w:rsidRPr="00445116">
        <w:rPr>
          <w:bCs/>
        </w:rPr>
        <w:t xml:space="preserve">Appendix 2 contains a </w:t>
      </w:r>
      <w:r w:rsidRPr="00445116">
        <w:rPr>
          <w:bCs/>
        </w:rPr>
        <w:t xml:space="preserve">more </w:t>
      </w:r>
      <w:r w:rsidR="00476164" w:rsidRPr="00445116">
        <w:rPr>
          <w:bCs/>
        </w:rPr>
        <w:t xml:space="preserve">specific list of issues </w:t>
      </w:r>
      <w:r w:rsidR="00D35356" w:rsidRPr="00445116">
        <w:rPr>
          <w:bCs/>
        </w:rPr>
        <w:t xml:space="preserve">and </w:t>
      </w:r>
      <w:r w:rsidR="00476164" w:rsidRPr="00445116">
        <w:rPr>
          <w:bCs/>
        </w:rPr>
        <w:t xml:space="preserve">the </w:t>
      </w:r>
      <w:r w:rsidR="00DF33FD" w:rsidRPr="00445116">
        <w:rPr>
          <w:bCs/>
        </w:rPr>
        <w:t xml:space="preserve">Expert </w:t>
      </w:r>
      <w:r w:rsidR="00476164" w:rsidRPr="00445116">
        <w:rPr>
          <w:bCs/>
        </w:rPr>
        <w:t xml:space="preserve">Panel’s </w:t>
      </w:r>
      <w:r w:rsidR="00D573FB" w:rsidRPr="00445116">
        <w:rPr>
          <w:bCs/>
        </w:rPr>
        <w:t xml:space="preserve">suggested </w:t>
      </w:r>
      <w:r w:rsidR="00476164" w:rsidRPr="00445116">
        <w:rPr>
          <w:bCs/>
        </w:rPr>
        <w:t>response</w:t>
      </w:r>
      <w:r w:rsidR="00C2260A" w:rsidRPr="00445116">
        <w:rPr>
          <w:bCs/>
        </w:rPr>
        <w:t xml:space="preserve"> or action </w:t>
      </w:r>
      <w:r w:rsidR="00D573FB" w:rsidRPr="00445116">
        <w:rPr>
          <w:bCs/>
        </w:rPr>
        <w:t>by the Department</w:t>
      </w:r>
      <w:r w:rsidR="00476164" w:rsidRPr="00445116">
        <w:rPr>
          <w:bCs/>
        </w:rPr>
        <w:t>.</w:t>
      </w:r>
    </w:p>
    <w:p w14:paraId="1642150E" w14:textId="77777777" w:rsidR="00767BF1" w:rsidRPr="00445116" w:rsidRDefault="00767BF1" w:rsidP="00476164">
      <w:pPr>
        <w:rPr>
          <w:bCs/>
        </w:rPr>
      </w:pPr>
    </w:p>
    <w:p w14:paraId="4928A175" w14:textId="469E40E1" w:rsidR="00DB11C3" w:rsidRPr="00445116" w:rsidRDefault="00DB11C3" w:rsidP="00DB11C3">
      <w:pPr>
        <w:pStyle w:val="Heading2"/>
      </w:pPr>
      <w:bookmarkStart w:id="10" w:name="_Toc72416529"/>
      <w:bookmarkStart w:id="11" w:name="_Toc72478339"/>
      <w:r w:rsidRPr="00445116">
        <w:t>2. Suggestions and Observations</w:t>
      </w:r>
      <w:bookmarkEnd w:id="10"/>
      <w:bookmarkEnd w:id="11"/>
    </w:p>
    <w:p w14:paraId="569EA8FC" w14:textId="0B5A78A1" w:rsidR="00245556" w:rsidRPr="00A82A48" w:rsidRDefault="00245556" w:rsidP="00A82A48">
      <w:pPr>
        <w:pStyle w:val="Heading3"/>
      </w:pPr>
      <w:r w:rsidRPr="00A82A48">
        <w:t xml:space="preserve"> </w:t>
      </w:r>
      <w:bookmarkStart w:id="12" w:name="_Toc72416530"/>
      <w:bookmarkStart w:id="13" w:name="_Toc72478340"/>
      <w:r w:rsidRPr="00A82A48">
        <w:t>(A)</w:t>
      </w:r>
      <w:r w:rsidR="00E91289" w:rsidRPr="00A82A48">
        <w:t>.</w:t>
      </w:r>
      <w:r w:rsidRPr="00A82A48">
        <w:t xml:space="preserve"> Relevant matters relating to the likelihood of entry and exposure </w:t>
      </w:r>
      <w:r w:rsidR="007A0CF2" w:rsidRPr="00A82A48">
        <w:t xml:space="preserve">of </w:t>
      </w:r>
      <w:r w:rsidR="00AA1E5D" w:rsidRPr="00A82A48">
        <w:t>hazards</w:t>
      </w:r>
      <w:r w:rsidRPr="00A82A48">
        <w:t xml:space="preserve"> associated with prawn imports have been properly considered, including emerging diseases</w:t>
      </w:r>
      <w:bookmarkEnd w:id="12"/>
      <w:bookmarkEnd w:id="13"/>
    </w:p>
    <w:p w14:paraId="695C5743" w14:textId="77777777" w:rsidR="00B066F4" w:rsidRPr="00A82A48" w:rsidRDefault="00B066F4" w:rsidP="00A82A48">
      <w:pPr>
        <w:rPr>
          <w:bCs/>
        </w:rPr>
      </w:pPr>
    </w:p>
    <w:p w14:paraId="41972B92" w14:textId="487FC95A" w:rsidR="00A03FB0" w:rsidRPr="00A82A48" w:rsidRDefault="00A03FB0" w:rsidP="00A82A48">
      <w:pPr>
        <w:pStyle w:val="Heading4"/>
      </w:pPr>
      <w:bookmarkStart w:id="14" w:name="_Toc72416531"/>
      <w:r w:rsidRPr="00A82A48">
        <w:t>Identifying Potential Pathogenic Agents</w:t>
      </w:r>
      <w:bookmarkEnd w:id="14"/>
    </w:p>
    <w:p w14:paraId="34CADF50" w14:textId="27DA3CE4" w:rsidR="00A064ED" w:rsidRPr="00445116" w:rsidRDefault="009149F7" w:rsidP="00A03FB0">
      <w:pPr>
        <w:rPr>
          <w:bCs/>
        </w:rPr>
      </w:pPr>
      <w:r w:rsidRPr="00445116">
        <w:rPr>
          <w:bCs/>
        </w:rPr>
        <w:t>The</w:t>
      </w:r>
      <w:r w:rsidR="00245556" w:rsidRPr="00445116">
        <w:rPr>
          <w:bCs/>
        </w:rPr>
        <w:t xml:space="preserve"> </w:t>
      </w:r>
      <w:r w:rsidR="0060663D" w:rsidRPr="00445116">
        <w:rPr>
          <w:bCs/>
        </w:rPr>
        <w:t xml:space="preserve">Draft </w:t>
      </w:r>
      <w:r w:rsidR="00245556" w:rsidRPr="00445116">
        <w:rPr>
          <w:bCs/>
        </w:rPr>
        <w:t xml:space="preserve">Report identified </w:t>
      </w:r>
      <w:proofErr w:type="gramStart"/>
      <w:r w:rsidRPr="00445116">
        <w:rPr>
          <w:bCs/>
        </w:rPr>
        <w:t>a large number of</w:t>
      </w:r>
      <w:proofErr w:type="gramEnd"/>
      <w:r w:rsidRPr="00445116">
        <w:rPr>
          <w:bCs/>
        </w:rPr>
        <w:t xml:space="preserve"> </w:t>
      </w:r>
      <w:r w:rsidR="008C6C5A" w:rsidRPr="00445116">
        <w:rPr>
          <w:bCs/>
        </w:rPr>
        <w:t xml:space="preserve">pathogenic </w:t>
      </w:r>
      <w:r w:rsidR="00B066F4" w:rsidRPr="00445116">
        <w:rPr>
          <w:bCs/>
        </w:rPr>
        <w:t xml:space="preserve">agents </w:t>
      </w:r>
      <w:r w:rsidR="008C6C5A" w:rsidRPr="00445116">
        <w:rPr>
          <w:bCs/>
        </w:rPr>
        <w:t>that can affect aquatic resources (fish, crustaceans, molluscs)</w:t>
      </w:r>
      <w:r w:rsidR="00245556" w:rsidRPr="00445116">
        <w:rPr>
          <w:bCs/>
        </w:rPr>
        <w:t xml:space="preserve">.  It concluded </w:t>
      </w:r>
      <w:r w:rsidR="0060663D" w:rsidRPr="00445116">
        <w:rPr>
          <w:bCs/>
        </w:rPr>
        <w:t>that only ten</w:t>
      </w:r>
      <w:r w:rsidR="00B066F4" w:rsidRPr="00445116">
        <w:rPr>
          <w:bCs/>
        </w:rPr>
        <w:t xml:space="preserve"> of these</w:t>
      </w:r>
      <w:r w:rsidR="0060663D" w:rsidRPr="00445116">
        <w:rPr>
          <w:bCs/>
        </w:rPr>
        <w:t>, list</w:t>
      </w:r>
      <w:r w:rsidR="00476164" w:rsidRPr="00445116">
        <w:rPr>
          <w:bCs/>
        </w:rPr>
        <w:t xml:space="preserve">ed in Appendix </w:t>
      </w:r>
      <w:r w:rsidR="00B066F4" w:rsidRPr="00445116">
        <w:rPr>
          <w:bCs/>
        </w:rPr>
        <w:t>1</w:t>
      </w:r>
      <w:r w:rsidR="00476164" w:rsidRPr="00445116">
        <w:rPr>
          <w:bCs/>
        </w:rPr>
        <w:t>,</w:t>
      </w:r>
      <w:r w:rsidR="0060663D" w:rsidRPr="00445116">
        <w:rPr>
          <w:bCs/>
        </w:rPr>
        <w:t xml:space="preserve"> were </w:t>
      </w:r>
      <w:r w:rsidR="008C6C5A" w:rsidRPr="00445116">
        <w:rPr>
          <w:bCs/>
        </w:rPr>
        <w:t>currently considered to be of economic and environmental importance in relation to prawn biosecurity</w:t>
      </w:r>
      <w:r w:rsidR="00A064ED" w:rsidRPr="00445116">
        <w:rPr>
          <w:bCs/>
        </w:rPr>
        <w:t xml:space="preserve"> and these pathogenic agents were retained as hazards.</w:t>
      </w:r>
      <w:r w:rsidR="00B066F4" w:rsidRPr="00445116">
        <w:t xml:space="preserve"> </w:t>
      </w:r>
      <w:r w:rsidR="00A96CBC" w:rsidRPr="00445116">
        <w:t xml:space="preserve"> </w:t>
      </w:r>
      <w:r w:rsidR="00B066F4" w:rsidRPr="00445116">
        <w:t>In general, the submissions did not challenge this shortlist of ten hazards and the Expert Panel accepts the Draft Report has correctly focused its risk assessments on these ten.</w:t>
      </w:r>
    </w:p>
    <w:p w14:paraId="418A2CB8" w14:textId="5E977138" w:rsidR="003E30E9" w:rsidRPr="00445116" w:rsidRDefault="00F74E79" w:rsidP="00A03FB0">
      <w:pPr>
        <w:rPr>
          <w:bCs/>
        </w:rPr>
      </w:pPr>
      <w:r w:rsidRPr="00445116">
        <w:rPr>
          <w:bCs/>
        </w:rPr>
        <w:t xml:space="preserve">The Draft Report </w:t>
      </w:r>
      <w:r w:rsidR="003E30E9" w:rsidRPr="00445116">
        <w:rPr>
          <w:bCs/>
        </w:rPr>
        <w:t>detail</w:t>
      </w:r>
      <w:r w:rsidR="00C2260A" w:rsidRPr="00445116">
        <w:rPr>
          <w:bCs/>
        </w:rPr>
        <w:t>ed</w:t>
      </w:r>
      <w:r w:rsidR="003E30E9" w:rsidRPr="00445116">
        <w:rPr>
          <w:bCs/>
        </w:rPr>
        <w:t xml:space="preserve"> the </w:t>
      </w:r>
      <w:r w:rsidRPr="00445116">
        <w:rPr>
          <w:bCs/>
        </w:rPr>
        <w:t>risk assessment</w:t>
      </w:r>
      <w:r w:rsidR="00B90446" w:rsidRPr="00445116">
        <w:rPr>
          <w:bCs/>
        </w:rPr>
        <w:t>s</w:t>
      </w:r>
      <w:r w:rsidRPr="00445116">
        <w:rPr>
          <w:bCs/>
        </w:rPr>
        <w:t xml:space="preserve"> for each of the ten hazards and determined the overall unrestricted risk associated with the importation of prawns intended for human consumption.</w:t>
      </w:r>
      <w:r w:rsidR="00B066F4" w:rsidRPr="00445116">
        <w:t xml:space="preserve">  </w:t>
      </w:r>
      <w:r w:rsidRPr="00445116">
        <w:rPr>
          <w:bCs/>
        </w:rPr>
        <w:t>If the overall risk was ‘negligible’ or ‘very low’</w:t>
      </w:r>
      <w:r w:rsidR="0091657E" w:rsidRPr="00445116">
        <w:rPr>
          <w:bCs/>
        </w:rPr>
        <w:t>,</w:t>
      </w:r>
      <w:r w:rsidRPr="00445116">
        <w:rPr>
          <w:bCs/>
        </w:rPr>
        <w:t xml:space="preserve"> then the risk was considered to achieve Australia’s Appropriate Level of Protection (ALOP).</w:t>
      </w:r>
      <w:r w:rsidR="00B066F4" w:rsidRPr="00445116">
        <w:rPr>
          <w:bCs/>
        </w:rPr>
        <w:t xml:space="preserve"> </w:t>
      </w:r>
      <w:r w:rsidRPr="00445116">
        <w:rPr>
          <w:bCs/>
        </w:rPr>
        <w:t xml:space="preserve"> If the overall risk was ‘low’, ‘moderate’, ‘high’ or ‘extreme’, then Australia’s ALOP was not achieved</w:t>
      </w:r>
      <w:r w:rsidR="00B066F4" w:rsidRPr="00445116">
        <w:rPr>
          <w:bCs/>
        </w:rPr>
        <w:t xml:space="preserve">.  </w:t>
      </w:r>
      <w:r w:rsidR="003E30E9" w:rsidRPr="00445116">
        <w:rPr>
          <w:bCs/>
        </w:rPr>
        <w:t xml:space="preserve">Of the ten hazards, </w:t>
      </w:r>
      <w:r w:rsidR="003E30E9" w:rsidRPr="00445116">
        <w:rPr>
          <w:bCs/>
        </w:rPr>
        <w:lastRenderedPageBreak/>
        <w:t>only “</w:t>
      </w:r>
      <w:r w:rsidR="003E30E9" w:rsidRPr="00445116">
        <w:rPr>
          <w:bCs/>
          <w:i/>
          <w:iCs/>
        </w:rPr>
        <w:t>Candidatus</w:t>
      </w:r>
      <w:r w:rsidR="003E30E9" w:rsidRPr="00445116">
        <w:rPr>
          <w:bCs/>
        </w:rPr>
        <w:t xml:space="preserve"> Hep</w:t>
      </w:r>
      <w:r w:rsidR="00B90446" w:rsidRPr="00445116">
        <w:rPr>
          <w:bCs/>
        </w:rPr>
        <w:t>a</w:t>
      </w:r>
      <w:r w:rsidR="003E30E9" w:rsidRPr="00445116">
        <w:rPr>
          <w:bCs/>
        </w:rPr>
        <w:t>tobacter penaei” (“</w:t>
      </w:r>
      <w:r w:rsidR="003E30E9" w:rsidRPr="00445116">
        <w:rPr>
          <w:i/>
        </w:rPr>
        <w:t>Ca</w:t>
      </w:r>
      <w:r w:rsidR="003E30E9" w:rsidRPr="00445116">
        <w:rPr>
          <w:bCs/>
        </w:rPr>
        <w:t>. H. penaei”) achieved Australia’s ALOP without any treatment, other than the standard requirements for prawn products to be either cooked or frozen - n</w:t>
      </w:r>
      <w:r w:rsidR="003E30E9" w:rsidRPr="00445116" w:rsidDel="0060663D">
        <w:rPr>
          <w:bCs/>
        </w:rPr>
        <w:t>o fresh, chilled prawn products are imported into Australia.</w:t>
      </w:r>
      <w:r w:rsidR="003E30E9" w:rsidRPr="00445116">
        <w:rPr>
          <w:bCs/>
        </w:rPr>
        <w:t xml:space="preserve">  </w:t>
      </w:r>
    </w:p>
    <w:p w14:paraId="17044A5F" w14:textId="2D9432A8" w:rsidR="003E30E9" w:rsidRPr="00445116" w:rsidRDefault="00635F83" w:rsidP="00E43BED">
      <w:r w:rsidRPr="00445116">
        <w:rPr>
          <w:bCs/>
        </w:rPr>
        <w:t xml:space="preserve">For those </w:t>
      </w:r>
      <w:r w:rsidR="00A96CBC" w:rsidRPr="00445116">
        <w:rPr>
          <w:bCs/>
        </w:rPr>
        <w:t xml:space="preserve">nine </w:t>
      </w:r>
      <w:r w:rsidRPr="00445116">
        <w:rPr>
          <w:bCs/>
        </w:rPr>
        <w:t>hazards where the unrestricted risk did not achieve Australia’s ALOP, t</w:t>
      </w:r>
      <w:r w:rsidR="003A0C87" w:rsidRPr="00445116">
        <w:rPr>
          <w:bCs/>
        </w:rPr>
        <w:t xml:space="preserve">he Draft Report </w:t>
      </w:r>
      <w:r w:rsidR="003E30E9" w:rsidRPr="00445116">
        <w:rPr>
          <w:bCs/>
        </w:rPr>
        <w:t xml:space="preserve">assessed </w:t>
      </w:r>
      <w:r w:rsidR="003A0C87" w:rsidRPr="00445116">
        <w:rPr>
          <w:bCs/>
        </w:rPr>
        <w:t xml:space="preserve">specific treatments or activities </w:t>
      </w:r>
      <w:r w:rsidRPr="00445116">
        <w:rPr>
          <w:bCs/>
        </w:rPr>
        <w:t xml:space="preserve">to determine if they </w:t>
      </w:r>
      <w:r w:rsidR="007F03A5" w:rsidRPr="00445116">
        <w:rPr>
          <w:bCs/>
        </w:rPr>
        <w:t>would reduce</w:t>
      </w:r>
      <w:r w:rsidR="003A0C87" w:rsidRPr="00445116">
        <w:rPr>
          <w:bCs/>
        </w:rPr>
        <w:t xml:space="preserve"> risk to ‘very low’ or ‘negligible’</w:t>
      </w:r>
      <w:r w:rsidR="00A064ED" w:rsidRPr="00445116">
        <w:rPr>
          <w:bCs/>
        </w:rPr>
        <w:t>.</w:t>
      </w:r>
      <w:r w:rsidR="003A0C87" w:rsidRPr="00445116">
        <w:rPr>
          <w:bCs/>
        </w:rPr>
        <w:t xml:space="preserve"> </w:t>
      </w:r>
      <w:r w:rsidR="003E30E9" w:rsidRPr="00445116">
        <w:rPr>
          <w:bCs/>
        </w:rPr>
        <w:t xml:space="preserve"> </w:t>
      </w:r>
      <w:r w:rsidR="003E30E9" w:rsidRPr="00445116">
        <w:t>Treatments/activities were assessed progressively and the</w:t>
      </w:r>
      <w:r w:rsidR="007F03A5" w:rsidRPr="00445116">
        <w:t xml:space="preserve"> residual risk that remained after more stringent biosecurity measures were applied – cooking or freezing, shell and head removal and deveining</w:t>
      </w:r>
      <w:r w:rsidR="003E30E9" w:rsidRPr="00445116">
        <w:t xml:space="preserve"> – was calculated</w:t>
      </w:r>
      <w:r w:rsidR="007F03A5" w:rsidRPr="00445116">
        <w:t xml:space="preserve">.  </w:t>
      </w:r>
    </w:p>
    <w:p w14:paraId="5BA13FCF" w14:textId="5FEA7C09" w:rsidR="00E43BED" w:rsidRPr="00445116" w:rsidRDefault="007F03A5" w:rsidP="00E43BED">
      <w:r w:rsidRPr="00445116">
        <w:t xml:space="preserve">Two hazards, </w:t>
      </w:r>
      <w:r w:rsidR="00035CBE" w:rsidRPr="00445116">
        <w:t>white spot syndrome virus (</w:t>
      </w:r>
      <w:r w:rsidR="00E43BED" w:rsidRPr="00445116">
        <w:t>WSSV</w:t>
      </w:r>
      <w:r w:rsidR="00035CBE" w:rsidRPr="00445116">
        <w:t>)</w:t>
      </w:r>
      <w:r w:rsidR="00E43BED" w:rsidRPr="00445116">
        <w:t xml:space="preserve"> and </w:t>
      </w:r>
      <w:r w:rsidR="00035CBE" w:rsidRPr="00445116">
        <w:t>y</w:t>
      </w:r>
      <w:r w:rsidR="00E47715" w:rsidRPr="00445116">
        <w:t>ellow</w:t>
      </w:r>
      <w:r w:rsidR="00035CBE" w:rsidRPr="00445116">
        <w:t xml:space="preserve"> head virus (</w:t>
      </w:r>
      <w:r w:rsidR="00E43BED" w:rsidRPr="00445116">
        <w:t>YHV1</w:t>
      </w:r>
      <w:r w:rsidR="00035CBE" w:rsidRPr="00445116">
        <w:t>)</w:t>
      </w:r>
      <w:r w:rsidR="00F74E79" w:rsidRPr="00445116">
        <w:t>,</w:t>
      </w:r>
      <w:r w:rsidRPr="00445116">
        <w:t xml:space="preserve"> had a greater unrestricted risk than for the other </w:t>
      </w:r>
      <w:r w:rsidR="003E30E9" w:rsidRPr="00445116">
        <w:t xml:space="preserve">seven </w:t>
      </w:r>
      <w:r w:rsidRPr="00445116">
        <w:t xml:space="preserve">hazards so required more stringent biosecurity measures to reduce risk to a level that achieves Australia’s ALOP (‘very low’ or ‘negligible’).  </w:t>
      </w:r>
      <w:r w:rsidR="003E30E9" w:rsidRPr="00445116">
        <w:t>For these two hazards, a</w:t>
      </w:r>
      <w:r w:rsidR="00E43BED" w:rsidRPr="00445116">
        <w:t>ll imported, uncooked prawns need to be tested</w:t>
      </w:r>
      <w:r w:rsidR="00F12ACC" w:rsidRPr="00445116">
        <w:t xml:space="preserve"> </w:t>
      </w:r>
      <w:r w:rsidR="00E43BED" w:rsidRPr="00445116">
        <w:t>for the presence of these two viruses</w:t>
      </w:r>
      <w:r w:rsidR="00BE7FE5" w:rsidRPr="00445116">
        <w:t>.</w:t>
      </w:r>
      <w:r w:rsidR="00E43BED" w:rsidRPr="00445116">
        <w:t xml:space="preserve">    </w:t>
      </w:r>
    </w:p>
    <w:p w14:paraId="1E239652" w14:textId="77DD753E" w:rsidR="00E43BED" w:rsidRPr="00445116" w:rsidRDefault="00E43BED" w:rsidP="00A82A48">
      <w:pPr>
        <w:pStyle w:val="Heading4"/>
      </w:pPr>
      <w:bookmarkStart w:id="15" w:name="_Toc72416532"/>
      <w:r w:rsidRPr="00445116">
        <w:t xml:space="preserve">Updates to Biosecurity </w:t>
      </w:r>
      <w:r w:rsidR="007F03A5" w:rsidRPr="00445116">
        <w:t>Measures</w:t>
      </w:r>
      <w:bookmarkEnd w:id="15"/>
    </w:p>
    <w:p w14:paraId="6D5AA6A9" w14:textId="254B9F5F" w:rsidR="00CA1613" w:rsidRPr="00445116" w:rsidRDefault="003A0C87" w:rsidP="003A0C87">
      <w:pPr>
        <w:rPr>
          <w:bCs/>
        </w:rPr>
      </w:pPr>
      <w:r w:rsidRPr="00445116">
        <w:rPr>
          <w:bCs/>
        </w:rPr>
        <w:t xml:space="preserve">The Draft Report acknowledges that incremental changes to biosecurity </w:t>
      </w:r>
      <w:r w:rsidR="007F03A5" w:rsidRPr="00445116">
        <w:rPr>
          <w:bCs/>
        </w:rPr>
        <w:t xml:space="preserve">measures </w:t>
      </w:r>
      <w:r w:rsidRPr="00445116">
        <w:rPr>
          <w:bCs/>
        </w:rPr>
        <w:t xml:space="preserve">are possible without a </w:t>
      </w:r>
      <w:r w:rsidR="00BC7CEC" w:rsidRPr="00445116">
        <w:rPr>
          <w:bCs/>
        </w:rPr>
        <w:t xml:space="preserve">formal import risk analysis being released. </w:t>
      </w:r>
      <w:r w:rsidR="00CA1613" w:rsidRPr="00445116">
        <w:rPr>
          <w:bCs/>
        </w:rPr>
        <w:t xml:space="preserve"> This point should be emphasised more clearly in the </w:t>
      </w:r>
      <w:r w:rsidR="0091657E" w:rsidRPr="00445116">
        <w:rPr>
          <w:bCs/>
        </w:rPr>
        <w:t>Provisional Final</w:t>
      </w:r>
      <w:r w:rsidR="00CA1613" w:rsidRPr="00445116">
        <w:rPr>
          <w:bCs/>
        </w:rPr>
        <w:t xml:space="preserve"> Report</w:t>
      </w:r>
      <w:r w:rsidR="001E1A02" w:rsidRPr="00445116">
        <w:rPr>
          <w:bCs/>
        </w:rPr>
        <w:t>,</w:t>
      </w:r>
      <w:r w:rsidR="00CA1613" w:rsidRPr="00445116">
        <w:rPr>
          <w:bCs/>
        </w:rPr>
        <w:t xml:space="preserve"> given that a number of submissions were concerned that the comprehensive review of </w:t>
      </w:r>
      <w:r w:rsidR="005F1EF6" w:rsidRPr="00445116">
        <w:rPr>
          <w:bCs/>
        </w:rPr>
        <w:t xml:space="preserve">biosecurity measures </w:t>
      </w:r>
      <w:r w:rsidR="00CA1613" w:rsidRPr="00445116">
        <w:rPr>
          <w:bCs/>
        </w:rPr>
        <w:t>for prawns has taken some years.</w:t>
      </w:r>
    </w:p>
    <w:p w14:paraId="54516FDB" w14:textId="368A3725" w:rsidR="003A0C87" w:rsidRPr="00445116" w:rsidRDefault="00CA1613" w:rsidP="003A0C87">
      <w:pPr>
        <w:rPr>
          <w:bCs/>
        </w:rPr>
      </w:pPr>
      <w:r w:rsidRPr="00445116">
        <w:rPr>
          <w:bCs/>
        </w:rPr>
        <w:t>T</w:t>
      </w:r>
      <w:r w:rsidR="003A0C87" w:rsidRPr="00445116">
        <w:rPr>
          <w:bCs/>
        </w:rPr>
        <w:t>he Department</w:t>
      </w:r>
      <w:r w:rsidRPr="00445116">
        <w:rPr>
          <w:bCs/>
        </w:rPr>
        <w:t>’</w:t>
      </w:r>
      <w:r w:rsidR="003A0C87" w:rsidRPr="00445116">
        <w:rPr>
          <w:bCs/>
        </w:rPr>
        <w:t>s ongoing scrutiny of international literature and intelligence</w:t>
      </w:r>
      <w:r w:rsidRPr="00445116">
        <w:rPr>
          <w:bCs/>
        </w:rPr>
        <w:t xml:space="preserve"> from exporting countries</w:t>
      </w:r>
      <w:r w:rsidR="003A0C87" w:rsidRPr="00445116">
        <w:rPr>
          <w:bCs/>
        </w:rPr>
        <w:t xml:space="preserve"> satisfies the Expert Panel that the Department has the capacity to detect changes in the status of the potential pathogens</w:t>
      </w:r>
      <w:r w:rsidRPr="00445116">
        <w:rPr>
          <w:bCs/>
        </w:rPr>
        <w:t xml:space="preserve"> or</w:t>
      </w:r>
      <w:r w:rsidR="004A5248" w:rsidRPr="00445116">
        <w:rPr>
          <w:bCs/>
        </w:rPr>
        <w:t xml:space="preserve"> </w:t>
      </w:r>
      <w:r w:rsidR="003A0C87" w:rsidRPr="00445116">
        <w:rPr>
          <w:bCs/>
        </w:rPr>
        <w:t>the emergence of new pathogenic agents</w:t>
      </w:r>
      <w:r w:rsidR="004A5248" w:rsidRPr="00445116">
        <w:rPr>
          <w:bCs/>
        </w:rPr>
        <w:t xml:space="preserve"> and make timely adjustments to biosecurity </w:t>
      </w:r>
      <w:r w:rsidR="007F03A5" w:rsidRPr="00445116">
        <w:rPr>
          <w:bCs/>
        </w:rPr>
        <w:t>measure</w:t>
      </w:r>
      <w:r w:rsidR="004A5248" w:rsidRPr="00445116">
        <w:rPr>
          <w:bCs/>
        </w:rPr>
        <w:t>s</w:t>
      </w:r>
      <w:r w:rsidR="003A0C87" w:rsidRPr="00445116">
        <w:rPr>
          <w:bCs/>
        </w:rPr>
        <w:t xml:space="preserve">.   </w:t>
      </w:r>
    </w:p>
    <w:p w14:paraId="17EB2283" w14:textId="1964D736" w:rsidR="00F24EB0" w:rsidRPr="00445116" w:rsidRDefault="00F24EB0" w:rsidP="00F24EB0">
      <w:pPr>
        <w:rPr>
          <w:bCs/>
        </w:rPr>
      </w:pPr>
      <w:r w:rsidRPr="00445116">
        <w:rPr>
          <w:bCs/>
        </w:rPr>
        <w:t xml:space="preserve">The </w:t>
      </w:r>
      <w:r w:rsidR="00181C37" w:rsidRPr="00445116">
        <w:rPr>
          <w:bCs/>
        </w:rPr>
        <w:t xml:space="preserve">proposed </w:t>
      </w:r>
      <w:r w:rsidRPr="00445116">
        <w:rPr>
          <w:bCs/>
        </w:rPr>
        <w:t xml:space="preserve">new </w:t>
      </w:r>
      <w:r w:rsidR="007F03A5" w:rsidRPr="00445116">
        <w:rPr>
          <w:bCs/>
        </w:rPr>
        <w:t xml:space="preserve">biosecurity measures </w:t>
      </w:r>
      <w:r w:rsidRPr="00445116">
        <w:rPr>
          <w:bCs/>
        </w:rPr>
        <w:t>identified in the Draft Report give the option of importing raw, frozen prawns</w:t>
      </w:r>
      <w:r w:rsidR="007F03A5" w:rsidRPr="00445116">
        <w:rPr>
          <w:bCs/>
        </w:rPr>
        <w:t xml:space="preserve"> providing a number of import requirements are met.</w:t>
      </w:r>
      <w:r w:rsidRPr="00445116">
        <w:rPr>
          <w:bCs/>
        </w:rPr>
        <w:t xml:space="preserve"> </w:t>
      </w:r>
      <w:r w:rsidR="00181C37" w:rsidRPr="00445116">
        <w:rPr>
          <w:bCs/>
        </w:rPr>
        <w:t xml:space="preserve"> </w:t>
      </w:r>
      <w:r w:rsidRPr="00445116">
        <w:rPr>
          <w:bCs/>
        </w:rPr>
        <w:t xml:space="preserve">The extent to which this </w:t>
      </w:r>
      <w:r w:rsidR="00AC54E4" w:rsidRPr="00445116">
        <w:rPr>
          <w:bCs/>
        </w:rPr>
        <w:t>achieves</w:t>
      </w:r>
      <w:r w:rsidRPr="00445116">
        <w:rPr>
          <w:bCs/>
        </w:rPr>
        <w:t xml:space="preserve"> </w:t>
      </w:r>
      <w:r w:rsidR="005A3021" w:rsidRPr="00445116">
        <w:rPr>
          <w:bCs/>
        </w:rPr>
        <w:t xml:space="preserve">Australia’s </w:t>
      </w:r>
      <w:r w:rsidRPr="00445116">
        <w:rPr>
          <w:bCs/>
        </w:rPr>
        <w:t>ALOP, and gives the Australian industry confidence in the</w:t>
      </w:r>
      <w:r w:rsidR="007F03A5" w:rsidRPr="00445116">
        <w:rPr>
          <w:bCs/>
        </w:rPr>
        <w:t xml:space="preserve"> biosecurity measures</w:t>
      </w:r>
      <w:r w:rsidRPr="00445116">
        <w:rPr>
          <w:bCs/>
        </w:rPr>
        <w:t>, are critically dependent on the testing regimes to detect existing and emerging diseases, both pre-</w:t>
      </w:r>
      <w:r w:rsidR="00BC7CEC" w:rsidRPr="00445116">
        <w:rPr>
          <w:bCs/>
        </w:rPr>
        <w:t>, at</w:t>
      </w:r>
      <w:r w:rsidRPr="00445116">
        <w:rPr>
          <w:bCs/>
        </w:rPr>
        <w:t xml:space="preserve">- and post-border.  </w:t>
      </w:r>
    </w:p>
    <w:p w14:paraId="6A10E8CA" w14:textId="79132978" w:rsidR="00F24EB0" w:rsidRPr="00445116" w:rsidRDefault="00F24EB0" w:rsidP="00F24EB0">
      <w:pPr>
        <w:rPr>
          <w:bCs/>
        </w:rPr>
      </w:pPr>
      <w:r w:rsidRPr="00445116">
        <w:rPr>
          <w:bCs/>
        </w:rPr>
        <w:t xml:space="preserve">The Panel’s discussions with the Department revealed that many stakeholder concerns about testing and monitoring for emerging diseases have </w:t>
      </w:r>
      <w:r w:rsidR="004A5634" w:rsidRPr="00445116">
        <w:rPr>
          <w:bCs/>
        </w:rPr>
        <w:t>been</w:t>
      </w:r>
      <w:r w:rsidR="00A80F7C" w:rsidRPr="00445116">
        <w:rPr>
          <w:bCs/>
        </w:rPr>
        <w:t>,</w:t>
      </w:r>
      <w:r w:rsidR="004A5634" w:rsidRPr="00445116">
        <w:rPr>
          <w:bCs/>
        </w:rPr>
        <w:t xml:space="preserve"> or</w:t>
      </w:r>
      <w:r w:rsidRPr="00445116">
        <w:rPr>
          <w:bCs/>
        </w:rPr>
        <w:t xml:space="preserve"> are in the process of being addressed</w:t>
      </w:r>
      <w:r w:rsidR="00D6260C" w:rsidRPr="00445116">
        <w:rPr>
          <w:bCs/>
        </w:rPr>
        <w:t>,</w:t>
      </w:r>
      <w:r w:rsidRPr="00445116">
        <w:rPr>
          <w:bCs/>
        </w:rPr>
        <w:t xml:space="preserve"> but were not explicitly discussed in the Draft</w:t>
      </w:r>
      <w:r w:rsidR="00AC54E4" w:rsidRPr="00445116">
        <w:rPr>
          <w:bCs/>
        </w:rPr>
        <w:t xml:space="preserve"> Report</w:t>
      </w:r>
      <w:r w:rsidRPr="00445116">
        <w:rPr>
          <w:bCs/>
        </w:rPr>
        <w:t xml:space="preserve">. The Expert Panel suggests that the </w:t>
      </w:r>
      <w:r w:rsidR="005F1EF6" w:rsidRPr="00445116">
        <w:rPr>
          <w:bCs/>
        </w:rPr>
        <w:t xml:space="preserve">Provisional Final </w:t>
      </w:r>
      <w:r w:rsidRPr="00445116">
        <w:rPr>
          <w:bCs/>
        </w:rPr>
        <w:t xml:space="preserve">Report would be strengthened if all the information relating to monitoring, sampling and testing of both existing and emerging pathogens was brought together in a separate chapter.  This information would include an update on activities undertaken by the Department since 2016.  Specific issues are detailed further in Section C below.    </w:t>
      </w:r>
    </w:p>
    <w:tbl>
      <w:tblPr>
        <w:tblStyle w:val="TableGrid"/>
        <w:tblW w:w="0" w:type="auto"/>
        <w:tblLook w:val="04A0" w:firstRow="1" w:lastRow="0" w:firstColumn="1" w:lastColumn="0" w:noHBand="0" w:noVBand="1"/>
      </w:tblPr>
      <w:tblGrid>
        <w:gridCol w:w="9016"/>
      </w:tblGrid>
      <w:tr w:rsidR="00F12ACC" w:rsidRPr="00445116" w14:paraId="44282BF5" w14:textId="77777777" w:rsidTr="00F12ACC">
        <w:tc>
          <w:tcPr>
            <w:tcW w:w="9016" w:type="dxa"/>
          </w:tcPr>
          <w:p w14:paraId="590A6021" w14:textId="77777777" w:rsidR="00F12ACC" w:rsidRPr="00445116" w:rsidRDefault="00F12ACC" w:rsidP="00F12ACC">
            <w:pPr>
              <w:rPr>
                <w:b/>
              </w:rPr>
            </w:pPr>
            <w:r w:rsidRPr="00445116">
              <w:rPr>
                <w:b/>
              </w:rPr>
              <w:t>Recommendation 2:</w:t>
            </w:r>
          </w:p>
          <w:p w14:paraId="4651FB1E" w14:textId="77777777" w:rsidR="00F12ACC" w:rsidRPr="00445116" w:rsidRDefault="00F12ACC" w:rsidP="00F12ACC">
            <w:pPr>
              <w:rPr>
                <w:bCs/>
              </w:rPr>
            </w:pPr>
            <w:r w:rsidRPr="00445116">
              <w:rPr>
                <w:bCs/>
              </w:rPr>
              <w:t>The Provisional Final Report provides more detail on the pre-export and on-arrival testing programs, and the associated monitoring and compliance program.</w:t>
            </w:r>
          </w:p>
          <w:p w14:paraId="0083322A" w14:textId="77777777" w:rsidR="00F12ACC" w:rsidRPr="00445116" w:rsidRDefault="00F12ACC" w:rsidP="00F24EB0">
            <w:pPr>
              <w:rPr>
                <w:bCs/>
              </w:rPr>
            </w:pPr>
          </w:p>
        </w:tc>
      </w:tr>
    </w:tbl>
    <w:p w14:paraId="6F2AE404" w14:textId="77777777" w:rsidR="00F12ACC" w:rsidRPr="00445116" w:rsidRDefault="00F12ACC" w:rsidP="00F24EB0">
      <w:pPr>
        <w:rPr>
          <w:bCs/>
        </w:rPr>
      </w:pPr>
    </w:p>
    <w:p w14:paraId="699A94C3" w14:textId="77777777" w:rsidR="00F12ACC" w:rsidRPr="00445116" w:rsidRDefault="00F12ACC" w:rsidP="00A82A48">
      <w:pPr>
        <w:pStyle w:val="Heading4"/>
      </w:pPr>
      <w:bookmarkStart w:id="16" w:name="_Toc72416533"/>
      <w:r w:rsidRPr="00445116">
        <w:t>Detection of Emerging Diseases in Imported Prawns</w:t>
      </w:r>
      <w:bookmarkEnd w:id="16"/>
    </w:p>
    <w:p w14:paraId="22C7347D" w14:textId="2F45BE57" w:rsidR="00035CBE" w:rsidRPr="00445116" w:rsidRDefault="00A430B5" w:rsidP="00A430B5">
      <w:pPr>
        <w:rPr>
          <w:bCs/>
        </w:rPr>
      </w:pPr>
      <w:r w:rsidRPr="00445116">
        <w:t xml:space="preserve">The Draft Report notes that certain pathogenic </w:t>
      </w:r>
      <w:r w:rsidR="00E076E2" w:rsidRPr="00445116">
        <w:t xml:space="preserve">hazards </w:t>
      </w:r>
      <w:r w:rsidRPr="00445116">
        <w:t xml:space="preserve">will be monitored for any changes in available information due to </w:t>
      </w:r>
      <w:r w:rsidR="00D6260C" w:rsidRPr="00445116">
        <w:t xml:space="preserve">the </w:t>
      </w:r>
      <w:r w:rsidRPr="00445116">
        <w:t xml:space="preserve">uncertainty associated with </w:t>
      </w:r>
      <w:r w:rsidR="00244B4C" w:rsidRPr="00445116">
        <w:t xml:space="preserve">new and </w:t>
      </w:r>
      <w:r w:rsidRPr="00445116">
        <w:t xml:space="preserve">emerging </w:t>
      </w:r>
      <w:r w:rsidR="00244B4C" w:rsidRPr="00445116">
        <w:t>pathogenic agents.</w:t>
      </w:r>
      <w:r w:rsidRPr="00445116">
        <w:t xml:space="preserve">  The Department </w:t>
      </w:r>
      <w:r w:rsidR="00F24EB0" w:rsidRPr="00445116">
        <w:t xml:space="preserve">informed the Panel that it is </w:t>
      </w:r>
      <w:r w:rsidRPr="00445116">
        <w:t>undertaking testing of imported prawns for</w:t>
      </w:r>
      <w:r w:rsidR="00035CBE" w:rsidRPr="00445116">
        <w:t xml:space="preserve"> </w:t>
      </w:r>
      <w:r w:rsidR="00DB739D" w:rsidRPr="00445116">
        <w:t xml:space="preserve">decapod iridescent virus </w:t>
      </w:r>
      <w:r w:rsidR="00F85970" w:rsidRPr="00445116">
        <w:t xml:space="preserve">1 </w:t>
      </w:r>
      <w:r w:rsidR="00DB739D" w:rsidRPr="00445116">
        <w:t>(</w:t>
      </w:r>
      <w:r w:rsidR="00035CBE" w:rsidRPr="00445116">
        <w:t>DIV1</w:t>
      </w:r>
      <w:r w:rsidR="00DB739D" w:rsidRPr="00445116">
        <w:t>)</w:t>
      </w:r>
      <w:r w:rsidR="00035CBE" w:rsidRPr="00445116">
        <w:t>, c</w:t>
      </w:r>
      <w:r w:rsidRPr="00445116">
        <w:t xml:space="preserve">overt </w:t>
      </w:r>
      <w:r w:rsidR="00035CBE" w:rsidRPr="00445116">
        <w:t>m</w:t>
      </w:r>
      <w:r w:rsidRPr="00445116">
        <w:t xml:space="preserve">ortality </w:t>
      </w:r>
      <w:proofErr w:type="spellStart"/>
      <w:r w:rsidR="00F85970" w:rsidRPr="00445116">
        <w:t>noda</w:t>
      </w:r>
      <w:r w:rsidR="00035CBE" w:rsidRPr="00445116">
        <w:t>v</w:t>
      </w:r>
      <w:r w:rsidRPr="00445116">
        <w:t>irus</w:t>
      </w:r>
      <w:proofErr w:type="spellEnd"/>
      <w:r w:rsidRPr="00445116">
        <w:t xml:space="preserve"> (</w:t>
      </w:r>
      <w:r w:rsidR="00704558" w:rsidRPr="00445116">
        <w:t>CMNV) and</w:t>
      </w:r>
      <w:r w:rsidRPr="00445116">
        <w:t xml:space="preserve"> </w:t>
      </w:r>
      <w:proofErr w:type="spellStart"/>
      <w:r w:rsidRPr="00445116">
        <w:rPr>
          <w:i/>
          <w:iCs/>
        </w:rPr>
        <w:t>Enterocytozoon</w:t>
      </w:r>
      <w:proofErr w:type="spellEnd"/>
      <w:r w:rsidRPr="00445116">
        <w:rPr>
          <w:i/>
          <w:iCs/>
        </w:rPr>
        <w:t xml:space="preserve"> hepatopenaei</w:t>
      </w:r>
      <w:r w:rsidRPr="00445116">
        <w:t xml:space="preserve"> (EHP) to gather further information about the significance of these hazards overseas.</w:t>
      </w:r>
      <w:r w:rsidRPr="00445116">
        <w:rPr>
          <w:bCs/>
        </w:rPr>
        <w:t xml:space="preserve"> </w:t>
      </w:r>
      <w:r w:rsidR="00181C37" w:rsidRPr="00445116">
        <w:rPr>
          <w:bCs/>
        </w:rPr>
        <w:t xml:space="preserve"> </w:t>
      </w:r>
      <w:r w:rsidRPr="00445116">
        <w:rPr>
          <w:bCs/>
        </w:rPr>
        <w:t xml:space="preserve">We support this work </w:t>
      </w:r>
      <w:r w:rsidR="00F24EB0" w:rsidRPr="00445116">
        <w:rPr>
          <w:bCs/>
        </w:rPr>
        <w:t xml:space="preserve">and </w:t>
      </w:r>
      <w:r w:rsidR="00035CBE" w:rsidRPr="00445116">
        <w:rPr>
          <w:bCs/>
        </w:rPr>
        <w:t xml:space="preserve">note that information from this work, </w:t>
      </w:r>
      <w:r w:rsidR="00F24EB0" w:rsidRPr="00445116">
        <w:rPr>
          <w:bCs/>
        </w:rPr>
        <w:t xml:space="preserve">coupled with intelligence </w:t>
      </w:r>
      <w:r w:rsidRPr="00445116">
        <w:rPr>
          <w:bCs/>
        </w:rPr>
        <w:t>on disease outbreaks in exporting countries</w:t>
      </w:r>
      <w:r w:rsidR="00D6260C" w:rsidRPr="00445116">
        <w:rPr>
          <w:bCs/>
        </w:rPr>
        <w:t>,</w:t>
      </w:r>
      <w:r w:rsidRPr="00445116">
        <w:rPr>
          <w:bCs/>
        </w:rPr>
        <w:t xml:space="preserve"> should </w:t>
      </w:r>
      <w:r w:rsidR="00035CBE" w:rsidRPr="00445116">
        <w:rPr>
          <w:bCs/>
        </w:rPr>
        <w:t xml:space="preserve">help </w:t>
      </w:r>
      <w:r w:rsidRPr="00445116">
        <w:rPr>
          <w:bCs/>
        </w:rPr>
        <w:t>prioritise where and when this testing occurs.</w:t>
      </w:r>
    </w:p>
    <w:p w14:paraId="21D12813" w14:textId="4C813ADB" w:rsidR="00A430B5" w:rsidRPr="00445116" w:rsidRDefault="005001BB" w:rsidP="00A430B5">
      <w:pPr>
        <w:rPr>
          <w:bCs/>
        </w:rPr>
      </w:pPr>
      <w:r w:rsidRPr="00445116">
        <w:rPr>
          <w:bCs/>
        </w:rPr>
        <w:t xml:space="preserve">We suggest that the Department initiates annual random batch testing to </w:t>
      </w:r>
      <w:r w:rsidR="001A3CF0" w:rsidRPr="00445116">
        <w:rPr>
          <w:bCs/>
        </w:rPr>
        <w:t xml:space="preserve">monitor if </w:t>
      </w:r>
      <w:r w:rsidRPr="00445116">
        <w:rPr>
          <w:bCs/>
        </w:rPr>
        <w:t xml:space="preserve">biosecurity </w:t>
      </w:r>
      <w:r w:rsidR="00A80F7C" w:rsidRPr="00445116">
        <w:rPr>
          <w:bCs/>
        </w:rPr>
        <w:t xml:space="preserve">measures </w:t>
      </w:r>
      <w:r w:rsidRPr="00445116">
        <w:rPr>
          <w:bCs/>
        </w:rPr>
        <w:t xml:space="preserve">are performing as expected </w:t>
      </w:r>
      <w:r w:rsidR="00A064ED" w:rsidRPr="00445116">
        <w:rPr>
          <w:bCs/>
        </w:rPr>
        <w:t>and to help identify changes in risk</w:t>
      </w:r>
      <w:r w:rsidRPr="00445116">
        <w:rPr>
          <w:bCs/>
        </w:rPr>
        <w:t xml:space="preserve"> </w:t>
      </w:r>
      <w:r w:rsidR="007A27BB" w:rsidRPr="00445116">
        <w:rPr>
          <w:bCs/>
        </w:rPr>
        <w:t xml:space="preserve">profile </w:t>
      </w:r>
      <w:r w:rsidRPr="00445116">
        <w:rPr>
          <w:bCs/>
        </w:rPr>
        <w:t>(see below)</w:t>
      </w:r>
      <w:r w:rsidR="001A3CF0" w:rsidRPr="00445116">
        <w:rPr>
          <w:bCs/>
        </w:rPr>
        <w:t>.</w:t>
      </w:r>
      <w:r w:rsidRPr="00445116">
        <w:rPr>
          <w:bCs/>
        </w:rPr>
        <w:t xml:space="preserve"> </w:t>
      </w:r>
      <w:r w:rsidR="001A3CF0" w:rsidRPr="00445116">
        <w:rPr>
          <w:bCs/>
        </w:rPr>
        <w:t xml:space="preserve"> </w:t>
      </w:r>
    </w:p>
    <w:p w14:paraId="5436C09F" w14:textId="11C8DE39" w:rsidR="00BE7FE5" w:rsidRPr="00445116" w:rsidRDefault="00BE7FE5" w:rsidP="00BE7FE5">
      <w:r w:rsidRPr="00445116">
        <w:rPr>
          <w:bCs/>
        </w:rPr>
        <w:t xml:space="preserve">The Expert Panel was advised by one </w:t>
      </w:r>
      <w:r w:rsidR="00D6260C" w:rsidRPr="00445116">
        <w:rPr>
          <w:bCs/>
        </w:rPr>
        <w:t xml:space="preserve">aquatic disease </w:t>
      </w:r>
      <w:r w:rsidRPr="00445116">
        <w:rPr>
          <w:bCs/>
        </w:rPr>
        <w:t xml:space="preserve">expert that </w:t>
      </w:r>
      <w:r w:rsidRPr="00445116">
        <w:t xml:space="preserve">CMNV </w:t>
      </w:r>
      <w:r w:rsidR="00367902" w:rsidRPr="00445116">
        <w:t>was not a potential threat in prawns imported for human consumption</w:t>
      </w:r>
      <w:r w:rsidR="00DB739D" w:rsidRPr="00445116">
        <w:t>,</w:t>
      </w:r>
      <w:r w:rsidRPr="00445116">
        <w:t xml:space="preserve"> as the movement of this virus overseas is attributed to the movement of live animals. </w:t>
      </w:r>
      <w:r w:rsidR="00181C37" w:rsidRPr="00445116">
        <w:t xml:space="preserve"> </w:t>
      </w:r>
      <w:r w:rsidRPr="00445116">
        <w:t xml:space="preserve">However, </w:t>
      </w:r>
      <w:r w:rsidR="00367902" w:rsidRPr="00445116">
        <w:t xml:space="preserve">evidence from other members of the genus suggests that </w:t>
      </w:r>
      <w:r w:rsidRPr="00445116">
        <w:t xml:space="preserve">CMNV may not be completely inactivated by freezing and </w:t>
      </w:r>
      <w:r w:rsidR="00367902" w:rsidRPr="00445116">
        <w:t xml:space="preserve">may </w:t>
      </w:r>
      <w:r w:rsidRPr="00445116">
        <w:t xml:space="preserve">still </w:t>
      </w:r>
      <w:r w:rsidR="00367902" w:rsidRPr="00445116">
        <w:t xml:space="preserve">be </w:t>
      </w:r>
      <w:r w:rsidRPr="00445116">
        <w:t>present</w:t>
      </w:r>
      <w:r w:rsidR="00367902" w:rsidRPr="00445116">
        <w:t xml:space="preserve"> in imported prawns</w:t>
      </w:r>
      <w:r w:rsidRPr="00445116">
        <w:t xml:space="preserve">. </w:t>
      </w:r>
      <w:r w:rsidR="00181C37" w:rsidRPr="00445116">
        <w:t xml:space="preserve"> </w:t>
      </w:r>
      <w:r w:rsidRPr="00445116">
        <w:t xml:space="preserve">It has been reported that CMNV is often associated with co-infections with WSSV and </w:t>
      </w:r>
      <w:r w:rsidR="00035CBE" w:rsidRPr="00445116">
        <w:t>acute hepatopancreatic necrosis disease (</w:t>
      </w:r>
      <w:r w:rsidRPr="00445116">
        <w:t>AHPND</w:t>
      </w:r>
      <w:r w:rsidR="00035CBE" w:rsidRPr="00445116">
        <w:t>)</w:t>
      </w:r>
      <w:r w:rsidRPr="00445116">
        <w:t>.  Th</w:t>
      </w:r>
      <w:r w:rsidR="00D6260C" w:rsidRPr="00445116">
        <w:t>is aquatic disease</w:t>
      </w:r>
      <w:r w:rsidRPr="00445116">
        <w:t xml:space="preserve"> expert also informed the Panel that CMNV has had no impacts on wild fisheries in those countries where it has been detected in aquaculture ponds and there </w:t>
      </w:r>
      <w:r w:rsidR="003D2BE1" w:rsidRPr="00445116">
        <w:t>ar</w:t>
      </w:r>
      <w:r w:rsidRPr="00445116">
        <w:t xml:space="preserve">e no known environmental impacts. </w:t>
      </w:r>
      <w:r w:rsidR="00181C37" w:rsidRPr="00445116">
        <w:t xml:space="preserve"> </w:t>
      </w:r>
      <w:r w:rsidRPr="00445116">
        <w:t xml:space="preserve">CMNV is not listed as a notifiable disease with the OIE or in Australia. </w:t>
      </w:r>
      <w:r w:rsidR="00181C37" w:rsidRPr="00445116">
        <w:t xml:space="preserve"> </w:t>
      </w:r>
      <w:r w:rsidRPr="00445116">
        <w:t xml:space="preserve">All the scientific advice indicates that the risk to Australia from CMNV in frozen, </w:t>
      </w:r>
      <w:r w:rsidR="002614D0" w:rsidRPr="00445116">
        <w:t>deveined and head and shell removed</w:t>
      </w:r>
      <w:r w:rsidRPr="00445116">
        <w:t xml:space="preserve">, uncooked </w:t>
      </w:r>
      <w:r w:rsidR="00F12ACC" w:rsidRPr="00445116">
        <w:t>prawns is</w:t>
      </w:r>
      <w:r w:rsidR="00DB739D" w:rsidRPr="00445116">
        <w:t xml:space="preserve"> reduced to a level that </w:t>
      </w:r>
      <w:r w:rsidR="002614D0" w:rsidRPr="00445116">
        <w:t>achieves Australia’s ALOP</w:t>
      </w:r>
      <w:r w:rsidRPr="00445116">
        <w:t>.  However, due to the wide host range of this virus and its emerging status, random batch testing for this virus from countries with known outbreaks would be prudent.</w:t>
      </w:r>
    </w:p>
    <w:p w14:paraId="3420BBC6" w14:textId="0059F877" w:rsidR="00BE7FE5" w:rsidRPr="00445116" w:rsidRDefault="00671605" w:rsidP="00BE7FE5">
      <w:r w:rsidRPr="00445116">
        <w:t xml:space="preserve">The biosecurity risk associated with </w:t>
      </w:r>
      <w:r w:rsidR="00BE7FE5" w:rsidRPr="00445116">
        <w:t xml:space="preserve">DIV1 </w:t>
      </w:r>
      <w:r w:rsidRPr="00445116">
        <w:t xml:space="preserve">in imported frozen, de-headed and de-shelled prawns </w:t>
      </w:r>
      <w:r w:rsidR="00BE7FE5" w:rsidRPr="00445116">
        <w:t xml:space="preserve">is estimated to </w:t>
      </w:r>
      <w:r w:rsidRPr="00445116">
        <w:t>achieve Australia’s ALOP.</w:t>
      </w:r>
      <w:r w:rsidR="00BE7FE5" w:rsidRPr="00445116">
        <w:t xml:space="preserve">  Recent testing by the Department on imported shipments have returned negative results. </w:t>
      </w:r>
      <w:r w:rsidR="00F26271" w:rsidRPr="00445116">
        <w:t xml:space="preserve"> </w:t>
      </w:r>
      <w:r w:rsidR="00BE7FE5" w:rsidRPr="00445116">
        <w:t xml:space="preserve">Random testing should continue on an annual basis to provide confidence and early warning should this disease increase its spread in exporting countries.  EHP was considered to </w:t>
      </w:r>
      <w:r w:rsidR="002614D0" w:rsidRPr="00445116">
        <w:t>achieve Australia’s ALOP</w:t>
      </w:r>
      <w:r w:rsidR="00BE7FE5" w:rsidRPr="00445116">
        <w:t xml:space="preserve"> </w:t>
      </w:r>
      <w:r w:rsidR="002614D0" w:rsidRPr="00445116">
        <w:t>following head and shell removal and deveining</w:t>
      </w:r>
      <w:r w:rsidR="00367902" w:rsidRPr="00445116">
        <w:t xml:space="preserve"> or through cooking.  </w:t>
      </w:r>
      <w:r w:rsidR="00BE7FE5" w:rsidRPr="00445116">
        <w:t xml:space="preserve"> </w:t>
      </w:r>
    </w:p>
    <w:p w14:paraId="672A7307" w14:textId="2DA6BBAF" w:rsidR="000F0C07" w:rsidRPr="00445116" w:rsidRDefault="00A430B5" w:rsidP="000F0C07">
      <w:r w:rsidRPr="00445116">
        <w:t xml:space="preserve">Expert advice to the Panel suggested that it would be beneficial to initiate random testing for two other potential pathogens, IMNV and TSV. </w:t>
      </w:r>
      <w:r w:rsidR="00984DDD" w:rsidRPr="00445116">
        <w:t xml:space="preserve"> The Department confirmed that </w:t>
      </w:r>
      <w:r w:rsidRPr="00445116">
        <w:t>molecular testing is currently available in Australia for CMNV</w:t>
      </w:r>
      <w:r w:rsidR="00984DDD" w:rsidRPr="00445116">
        <w:t xml:space="preserve">, </w:t>
      </w:r>
      <w:r w:rsidRPr="00445116">
        <w:t xml:space="preserve">DIV1, </w:t>
      </w:r>
      <w:r w:rsidR="00704558" w:rsidRPr="00445116">
        <w:t>infectious</w:t>
      </w:r>
      <w:r w:rsidR="00035CBE" w:rsidRPr="00445116">
        <w:t xml:space="preserve"> myonecrosis virus</w:t>
      </w:r>
      <w:r w:rsidRPr="00445116">
        <w:t xml:space="preserve"> (IMNV</w:t>
      </w:r>
      <w:r w:rsidR="00035CBE" w:rsidRPr="00445116">
        <w:t xml:space="preserve">) </w:t>
      </w:r>
      <w:r w:rsidRPr="00445116">
        <w:t xml:space="preserve">and </w:t>
      </w:r>
      <w:r w:rsidR="00672A79" w:rsidRPr="00445116">
        <w:t>Taura syndrome virus (</w:t>
      </w:r>
      <w:r w:rsidRPr="00445116">
        <w:t>TSV)</w:t>
      </w:r>
      <w:r w:rsidR="00984DDD" w:rsidRPr="00445116">
        <w:t xml:space="preserve"> through the </w:t>
      </w:r>
      <w:r w:rsidRPr="00445116">
        <w:t>Australian Centre for Disease Preparedness (formerly known as A</w:t>
      </w:r>
      <w:r w:rsidR="00672A79" w:rsidRPr="00445116">
        <w:t>ustralian Animal Health Laboratory, AAHL</w:t>
      </w:r>
      <w:r w:rsidR="00CA1613" w:rsidRPr="00445116">
        <w:t>)</w:t>
      </w:r>
      <w:r w:rsidRPr="00445116">
        <w:t xml:space="preserve">.  </w:t>
      </w:r>
    </w:p>
    <w:p w14:paraId="3F51E7A1" w14:textId="585A4584" w:rsidR="00A430B5" w:rsidRPr="00445116" w:rsidRDefault="00A430B5" w:rsidP="00A430B5">
      <w:pPr>
        <w:rPr>
          <w:bCs/>
        </w:rPr>
      </w:pPr>
      <w:r w:rsidRPr="00445116">
        <w:rPr>
          <w:bCs/>
        </w:rPr>
        <w:t>Continuing cooperation with overseas laboratories can also provide mechanisms for validating tests with</w:t>
      </w:r>
      <w:r w:rsidR="00CA1613" w:rsidRPr="00445116">
        <w:rPr>
          <w:bCs/>
        </w:rPr>
        <w:t xml:space="preserve"> other </w:t>
      </w:r>
      <w:r w:rsidRPr="00445116">
        <w:rPr>
          <w:bCs/>
        </w:rPr>
        <w:t xml:space="preserve">new or emerging pathogens.  Testing for these new pathogens could ‘piggyback’ on the existing proposed </w:t>
      </w:r>
      <w:r w:rsidR="000F0C07" w:rsidRPr="00445116">
        <w:rPr>
          <w:bCs/>
        </w:rPr>
        <w:t xml:space="preserve">sampling </w:t>
      </w:r>
      <w:r w:rsidRPr="00445116">
        <w:rPr>
          <w:bCs/>
        </w:rPr>
        <w:t xml:space="preserve">for WSSV and </w:t>
      </w:r>
      <w:r w:rsidR="00DB739D" w:rsidRPr="00445116">
        <w:rPr>
          <w:bCs/>
        </w:rPr>
        <w:t>YHV1 and</w:t>
      </w:r>
      <w:r w:rsidR="007D153D" w:rsidRPr="00445116">
        <w:rPr>
          <w:bCs/>
        </w:rPr>
        <w:t xml:space="preserve"> </w:t>
      </w:r>
      <w:r w:rsidRPr="00445116">
        <w:rPr>
          <w:bCs/>
        </w:rPr>
        <w:t>would ensure cost efficiency with respect to collection</w:t>
      </w:r>
      <w:r w:rsidR="00CA1613" w:rsidRPr="00445116">
        <w:rPr>
          <w:bCs/>
        </w:rPr>
        <w:t xml:space="preserve"> of samples.</w:t>
      </w:r>
      <w:r w:rsidRPr="00445116">
        <w:rPr>
          <w:bCs/>
        </w:rPr>
        <w:t xml:space="preserve"> </w:t>
      </w:r>
      <w:r w:rsidR="000F0C07" w:rsidRPr="00445116">
        <w:rPr>
          <w:bCs/>
        </w:rPr>
        <w:t xml:space="preserve"> The Expert Panel acknowledges that </w:t>
      </w:r>
      <w:r w:rsidR="000F0C07" w:rsidRPr="00445116">
        <w:rPr>
          <w:bCs/>
        </w:rPr>
        <w:lastRenderedPageBreak/>
        <w:t xml:space="preserve">the additional testing </w:t>
      </w:r>
      <w:r w:rsidR="00DB739D" w:rsidRPr="00445116">
        <w:rPr>
          <w:bCs/>
        </w:rPr>
        <w:t xml:space="preserve">may </w:t>
      </w:r>
      <w:r w:rsidR="000F0C07" w:rsidRPr="00445116">
        <w:rPr>
          <w:bCs/>
        </w:rPr>
        <w:t xml:space="preserve">not be a condition of </w:t>
      </w:r>
      <w:r w:rsidR="00DB739D" w:rsidRPr="00445116">
        <w:rPr>
          <w:bCs/>
        </w:rPr>
        <w:t xml:space="preserve">current </w:t>
      </w:r>
      <w:r w:rsidR="000F0C07" w:rsidRPr="00445116">
        <w:rPr>
          <w:bCs/>
        </w:rPr>
        <w:t>import permit</w:t>
      </w:r>
      <w:r w:rsidR="00DB739D" w:rsidRPr="00445116">
        <w:rPr>
          <w:bCs/>
        </w:rPr>
        <w:t>s</w:t>
      </w:r>
      <w:r w:rsidR="000F0C07" w:rsidRPr="00445116">
        <w:rPr>
          <w:bCs/>
        </w:rPr>
        <w:t xml:space="preserve"> and </w:t>
      </w:r>
      <w:r w:rsidR="00DB739D" w:rsidRPr="00445116">
        <w:rPr>
          <w:bCs/>
        </w:rPr>
        <w:t>c</w:t>
      </w:r>
      <w:r w:rsidR="000F0C07" w:rsidRPr="00445116">
        <w:rPr>
          <w:bCs/>
        </w:rPr>
        <w:t>ould incur additional expense to the Department</w:t>
      </w:r>
      <w:r w:rsidR="00DB739D" w:rsidRPr="00445116">
        <w:rPr>
          <w:bCs/>
        </w:rPr>
        <w:t>, or in the future, to the importer</w:t>
      </w:r>
      <w:r w:rsidR="000F0C07" w:rsidRPr="00445116">
        <w:rPr>
          <w:bCs/>
        </w:rPr>
        <w:t xml:space="preserve">. </w:t>
      </w:r>
    </w:p>
    <w:p w14:paraId="7E10E788" w14:textId="4649A16F" w:rsidR="00CF6E9A" w:rsidRPr="00445116" w:rsidRDefault="00D52609" w:rsidP="00CF6E9A">
      <w:pPr>
        <w:rPr>
          <w:bCs/>
        </w:rPr>
      </w:pPr>
      <w:r w:rsidRPr="00445116">
        <w:rPr>
          <w:bCs/>
        </w:rPr>
        <w:t xml:space="preserve">Another aquatic disease </w:t>
      </w:r>
      <w:r w:rsidR="00CF6E9A" w:rsidRPr="00445116">
        <w:rPr>
          <w:bCs/>
        </w:rPr>
        <w:t>expert interviewed by the Panel drew attention to three additional pathogens,</w:t>
      </w:r>
      <w:r w:rsidR="0083284F" w:rsidRPr="00445116">
        <w:rPr>
          <w:bCs/>
        </w:rPr>
        <w:t xml:space="preserve"> </w:t>
      </w:r>
      <w:r w:rsidR="0083284F" w:rsidRPr="00445116">
        <w:rPr>
          <w:bCs/>
          <w:iCs/>
        </w:rPr>
        <w:t>Hepatopancreas and digestive tract necrosis virus (</w:t>
      </w:r>
      <w:r w:rsidR="00CF6E9A" w:rsidRPr="00445116">
        <w:rPr>
          <w:bCs/>
        </w:rPr>
        <w:t>HINV</w:t>
      </w:r>
      <w:r w:rsidR="0083284F" w:rsidRPr="00445116">
        <w:rPr>
          <w:bCs/>
        </w:rPr>
        <w:t>)</w:t>
      </w:r>
      <w:r w:rsidR="00CF6E9A" w:rsidRPr="00445116">
        <w:rPr>
          <w:bCs/>
        </w:rPr>
        <w:t xml:space="preserve">, </w:t>
      </w:r>
      <w:r w:rsidR="0083284F" w:rsidRPr="00445116">
        <w:rPr>
          <w:bCs/>
          <w:i/>
        </w:rPr>
        <w:t xml:space="preserve">Macrobrachium rosenbergii </w:t>
      </w:r>
      <w:r w:rsidR="0083284F" w:rsidRPr="00445116">
        <w:rPr>
          <w:bCs/>
        </w:rPr>
        <w:t>Golda virus (</w:t>
      </w:r>
      <w:proofErr w:type="spellStart"/>
      <w:r w:rsidR="00CF6E9A" w:rsidRPr="00445116">
        <w:rPr>
          <w:bCs/>
        </w:rPr>
        <w:t>M</w:t>
      </w:r>
      <w:r w:rsidR="0083284F" w:rsidRPr="00445116">
        <w:rPr>
          <w:bCs/>
        </w:rPr>
        <w:t>r</w:t>
      </w:r>
      <w:r w:rsidR="00CF6E9A" w:rsidRPr="00445116">
        <w:rPr>
          <w:bCs/>
        </w:rPr>
        <w:t>GV</w:t>
      </w:r>
      <w:proofErr w:type="spellEnd"/>
      <w:r w:rsidR="0083284F" w:rsidRPr="00445116">
        <w:rPr>
          <w:bCs/>
        </w:rPr>
        <w:t>)</w:t>
      </w:r>
      <w:r w:rsidR="00CF6E9A" w:rsidRPr="00445116">
        <w:rPr>
          <w:bCs/>
        </w:rPr>
        <w:t xml:space="preserve"> and </w:t>
      </w:r>
      <w:proofErr w:type="spellStart"/>
      <w:r w:rsidR="0083284F" w:rsidRPr="00445116">
        <w:rPr>
          <w:bCs/>
          <w:i/>
        </w:rPr>
        <w:t>Macrobrachium</w:t>
      </w:r>
      <w:proofErr w:type="spellEnd"/>
      <w:r w:rsidR="0083284F" w:rsidRPr="00445116">
        <w:rPr>
          <w:bCs/>
          <w:i/>
        </w:rPr>
        <w:t xml:space="preserve"> </w:t>
      </w:r>
      <w:proofErr w:type="spellStart"/>
      <w:r w:rsidR="0083284F" w:rsidRPr="00445116">
        <w:rPr>
          <w:bCs/>
          <w:i/>
        </w:rPr>
        <w:t>rosenbergii</w:t>
      </w:r>
      <w:proofErr w:type="spellEnd"/>
      <w:r w:rsidR="0083284F" w:rsidRPr="00445116">
        <w:rPr>
          <w:bCs/>
        </w:rPr>
        <w:t xml:space="preserve"> </w:t>
      </w:r>
      <w:proofErr w:type="spellStart"/>
      <w:r w:rsidR="0083284F" w:rsidRPr="00445116">
        <w:rPr>
          <w:bCs/>
        </w:rPr>
        <w:t>Taihu</w:t>
      </w:r>
      <w:proofErr w:type="spellEnd"/>
      <w:r w:rsidR="0083284F" w:rsidRPr="00445116">
        <w:rPr>
          <w:bCs/>
        </w:rPr>
        <w:t xml:space="preserve"> virus (</w:t>
      </w:r>
      <w:proofErr w:type="spellStart"/>
      <w:r w:rsidR="00CF6E9A" w:rsidRPr="00445116">
        <w:rPr>
          <w:bCs/>
        </w:rPr>
        <w:t>M</w:t>
      </w:r>
      <w:r w:rsidR="0083284F" w:rsidRPr="00445116">
        <w:rPr>
          <w:bCs/>
        </w:rPr>
        <w:t>r</w:t>
      </w:r>
      <w:r w:rsidR="00CF6E9A" w:rsidRPr="00445116">
        <w:rPr>
          <w:bCs/>
        </w:rPr>
        <w:t>TV</w:t>
      </w:r>
      <w:proofErr w:type="spellEnd"/>
      <w:r w:rsidR="0083284F" w:rsidRPr="00445116">
        <w:rPr>
          <w:bCs/>
        </w:rPr>
        <w:t>)</w:t>
      </w:r>
      <w:r w:rsidR="00CF6E9A" w:rsidRPr="00445116">
        <w:rPr>
          <w:bCs/>
        </w:rPr>
        <w:t xml:space="preserve">, as worthy of further consideration.  The interviewee noted that these pathogens </w:t>
      </w:r>
      <w:r w:rsidR="00CA1613" w:rsidRPr="00445116">
        <w:rPr>
          <w:bCs/>
        </w:rPr>
        <w:t xml:space="preserve">had been </w:t>
      </w:r>
      <w:r w:rsidR="00CF6E9A" w:rsidRPr="00445116">
        <w:rPr>
          <w:bCs/>
        </w:rPr>
        <w:t xml:space="preserve">rejected by the Department as </w:t>
      </w:r>
      <w:r w:rsidR="00E56666" w:rsidRPr="00445116">
        <w:rPr>
          <w:bCs/>
        </w:rPr>
        <w:t>hazards</w:t>
      </w:r>
      <w:r w:rsidR="007D153D" w:rsidRPr="00445116">
        <w:rPr>
          <w:bCs/>
        </w:rPr>
        <w:t>,</w:t>
      </w:r>
      <w:r w:rsidR="00E56666" w:rsidRPr="00445116">
        <w:rPr>
          <w:bCs/>
        </w:rPr>
        <w:t xml:space="preserve"> as </w:t>
      </w:r>
      <w:r w:rsidR="00CF6E9A" w:rsidRPr="00445116">
        <w:rPr>
          <w:bCs/>
        </w:rPr>
        <w:t xml:space="preserve">there was a </w:t>
      </w:r>
      <w:r w:rsidR="00CF6E9A" w:rsidRPr="00445116">
        <w:rPr>
          <w:bCs/>
          <w:i/>
          <w:iCs/>
        </w:rPr>
        <w:t>lack of evidence</w:t>
      </w:r>
      <w:r w:rsidR="00CF6E9A" w:rsidRPr="00445116">
        <w:rPr>
          <w:bCs/>
        </w:rPr>
        <w:t xml:space="preserve"> affecting adult prawns.  In view of recent reports in the ‘grey’ literature that these diseases may be affecting adult prawns in </w:t>
      </w:r>
      <w:r w:rsidR="007D153D" w:rsidRPr="00445116">
        <w:rPr>
          <w:bCs/>
        </w:rPr>
        <w:t>some countries</w:t>
      </w:r>
      <w:r w:rsidR="00CF6E9A" w:rsidRPr="00445116">
        <w:rPr>
          <w:bCs/>
        </w:rPr>
        <w:t xml:space="preserve">, the Panel suggests the Department give further consideration to any new information that may </w:t>
      </w:r>
      <w:r w:rsidR="007168F4" w:rsidRPr="00445116">
        <w:rPr>
          <w:bCs/>
        </w:rPr>
        <w:t xml:space="preserve">affect </w:t>
      </w:r>
      <w:r w:rsidR="009F2ED1" w:rsidRPr="00445116">
        <w:rPr>
          <w:bCs/>
        </w:rPr>
        <w:t xml:space="preserve">whether these pathogenic agents are considered hazards and </w:t>
      </w:r>
      <w:r w:rsidR="0007029C" w:rsidRPr="00445116">
        <w:rPr>
          <w:bCs/>
        </w:rPr>
        <w:t>require a</w:t>
      </w:r>
      <w:r w:rsidR="009F2ED1" w:rsidRPr="00445116">
        <w:rPr>
          <w:bCs/>
        </w:rPr>
        <w:t xml:space="preserve"> full risk assessment</w:t>
      </w:r>
      <w:r w:rsidR="0007029C" w:rsidRPr="00445116">
        <w:rPr>
          <w:bCs/>
        </w:rPr>
        <w:t xml:space="preserve"> to determine if they achieve </w:t>
      </w:r>
      <w:r w:rsidR="007168F4" w:rsidRPr="00445116">
        <w:rPr>
          <w:bCs/>
        </w:rPr>
        <w:t>Australia’s</w:t>
      </w:r>
      <w:r w:rsidR="0007029C" w:rsidRPr="00445116">
        <w:rPr>
          <w:bCs/>
        </w:rPr>
        <w:t xml:space="preserve"> </w:t>
      </w:r>
      <w:r w:rsidR="00CF6E9A" w:rsidRPr="00445116">
        <w:rPr>
          <w:bCs/>
        </w:rPr>
        <w:t>ALOP</w:t>
      </w:r>
      <w:r w:rsidR="0007029C" w:rsidRPr="00445116">
        <w:rPr>
          <w:bCs/>
        </w:rPr>
        <w:t>.</w:t>
      </w:r>
      <w:r w:rsidR="00CF6E9A" w:rsidRPr="00445116">
        <w:rPr>
          <w:bCs/>
        </w:rPr>
        <w:t xml:space="preserve"> </w:t>
      </w:r>
    </w:p>
    <w:p w14:paraId="539EA1A5" w14:textId="77777777" w:rsidR="0086697D" w:rsidRPr="00445116" w:rsidRDefault="0086697D" w:rsidP="008A24E6"/>
    <w:p w14:paraId="2CFF2B94" w14:textId="035449C4" w:rsidR="0016369A" w:rsidRPr="00445116" w:rsidRDefault="0016369A" w:rsidP="00A82A48">
      <w:pPr>
        <w:pStyle w:val="Heading3"/>
      </w:pPr>
      <w:bookmarkStart w:id="17" w:name="_Toc72416534"/>
      <w:bookmarkStart w:id="18" w:name="_Toc72478341"/>
      <w:r w:rsidRPr="00445116">
        <w:t>(</w:t>
      </w:r>
      <w:r w:rsidR="007D5094" w:rsidRPr="00445116">
        <w:t>B</w:t>
      </w:r>
      <w:r w:rsidRPr="00445116">
        <w:t>). Relevant matters relating to the likely economic consequences of a disease incursion have been properly considered</w:t>
      </w:r>
      <w:bookmarkEnd w:id="17"/>
      <w:bookmarkEnd w:id="18"/>
    </w:p>
    <w:p w14:paraId="7313FB9A" w14:textId="757BC065" w:rsidR="0016369A" w:rsidRPr="00445116" w:rsidRDefault="0016369A" w:rsidP="008A24E6"/>
    <w:p w14:paraId="63D589EE" w14:textId="061A1F84" w:rsidR="0016369A" w:rsidRPr="00445116" w:rsidRDefault="0016369A" w:rsidP="0016369A">
      <w:r w:rsidRPr="00445116">
        <w:t>The value and volume of the domestic prawn industry and of imports can be used, in part, as indicators of the likely consequence of a disease incursion</w:t>
      </w:r>
      <w:r w:rsidR="00D321B5" w:rsidRPr="00445116">
        <w:t>, both on local production and on inbound trade</w:t>
      </w:r>
      <w:r w:rsidRPr="00445116">
        <w:t xml:space="preserve">.  Added to these is the cost of monitoring, surveillance, testing and management measures.   </w:t>
      </w:r>
    </w:p>
    <w:p w14:paraId="2790E1FF" w14:textId="4601E574" w:rsidR="0016369A" w:rsidRPr="00445116" w:rsidRDefault="0016369A" w:rsidP="0016369A">
      <w:r w:rsidRPr="00445116">
        <w:t xml:space="preserve">The Expert Panel suggests that relevant economic information about the size of </w:t>
      </w:r>
      <w:r w:rsidR="00DF33FD" w:rsidRPr="00445116">
        <w:t xml:space="preserve">the </w:t>
      </w:r>
      <w:r w:rsidRPr="00445116">
        <w:t xml:space="preserve">domestic prawn industry and the volumes of imports be brought together in one section </w:t>
      </w:r>
      <w:r w:rsidR="0091657E" w:rsidRPr="00445116">
        <w:t xml:space="preserve">of the Provisional Final Report </w:t>
      </w:r>
      <w:r w:rsidRPr="00445116">
        <w:t>and that similar metrics be used (</w:t>
      </w:r>
      <w:r w:rsidR="00D321B5" w:rsidRPr="00445116">
        <w:t xml:space="preserve">either </w:t>
      </w:r>
      <w:r w:rsidRPr="00445116">
        <w:t xml:space="preserve">tonnes </w:t>
      </w:r>
      <w:r w:rsidR="00D321B5" w:rsidRPr="00445116">
        <w:rPr>
          <w:i/>
          <w:iCs/>
        </w:rPr>
        <w:t>or</w:t>
      </w:r>
      <w:r w:rsidRPr="00445116">
        <w:t xml:space="preserve"> kg).  At present, import data is given on page 53</w:t>
      </w:r>
      <w:r w:rsidR="0091657E" w:rsidRPr="00445116">
        <w:t xml:space="preserve"> of the Draft Report</w:t>
      </w:r>
      <w:r w:rsidRPr="00445116">
        <w:t>, while domestic industry figures are given on page 83, and the cost of biosecurity infrastructure on prawn farms is on page 86.  There is also no information on the volume of Australia prawns that are processed overseas (see below)</w:t>
      </w:r>
      <w:r w:rsidR="00D321B5" w:rsidRPr="00445116">
        <w:t>, nor what proportion these are</w:t>
      </w:r>
      <w:r w:rsidR="00DF33FD" w:rsidRPr="00445116">
        <w:t>,</w:t>
      </w:r>
      <w:r w:rsidR="00D321B5" w:rsidRPr="00445116">
        <w:t xml:space="preserve"> as a proportion of </w:t>
      </w:r>
      <w:r w:rsidR="00DF33FD" w:rsidRPr="00445116">
        <w:t xml:space="preserve">total </w:t>
      </w:r>
      <w:r w:rsidR="00D321B5" w:rsidRPr="00445116">
        <w:t>imports</w:t>
      </w:r>
      <w:r w:rsidRPr="00445116">
        <w:t xml:space="preserve">. </w:t>
      </w:r>
      <w:r w:rsidR="00D321B5" w:rsidRPr="00445116">
        <w:t xml:space="preserve"> Where relevant, the information could still remain in different sections, but the </w:t>
      </w:r>
      <w:r w:rsidR="00DE40B3" w:rsidRPr="00445116">
        <w:t>Provisional Final R</w:t>
      </w:r>
      <w:r w:rsidR="00D321B5" w:rsidRPr="00445116">
        <w:t xml:space="preserve">eport would be strengthened by also having it summarised in </w:t>
      </w:r>
      <w:r w:rsidR="006972E0" w:rsidRPr="00445116">
        <w:t xml:space="preserve">a </w:t>
      </w:r>
      <w:r w:rsidR="00D321B5" w:rsidRPr="00445116">
        <w:t>common section</w:t>
      </w:r>
      <w:r w:rsidR="006975E7" w:rsidRPr="00445116">
        <w:t xml:space="preserve"> on economic impacts</w:t>
      </w:r>
      <w:r w:rsidR="00D321B5" w:rsidRPr="00445116">
        <w:t xml:space="preserve">.  </w:t>
      </w:r>
    </w:p>
    <w:p w14:paraId="79D355B9" w14:textId="44F48BAB" w:rsidR="0016369A" w:rsidRPr="00445116" w:rsidRDefault="0016369A" w:rsidP="0016369A">
      <w:pPr>
        <w:rPr>
          <w:bCs/>
        </w:rPr>
      </w:pPr>
      <w:r w:rsidRPr="00445116">
        <w:t xml:space="preserve">The </w:t>
      </w:r>
      <w:r w:rsidR="00DF33FD" w:rsidRPr="00445116">
        <w:t>D</w:t>
      </w:r>
      <w:r w:rsidR="006972E0" w:rsidRPr="00445116">
        <w:t>epartment provided the following data</w:t>
      </w:r>
      <w:r w:rsidR="0082209C" w:rsidRPr="00445116">
        <w:t xml:space="preserve"> </w:t>
      </w:r>
      <w:r w:rsidR="00742570" w:rsidRPr="00445116">
        <w:t>- t</w:t>
      </w:r>
      <w:r w:rsidR="00742570" w:rsidRPr="00445116">
        <w:rPr>
          <w:bCs/>
        </w:rPr>
        <w:t>he Ex</w:t>
      </w:r>
      <w:r w:rsidR="00742570" w:rsidRPr="00445116">
        <w:t>pert Panel suggests that it be included in the Provisional Final Report.</w:t>
      </w:r>
      <w:r w:rsidR="0017506E" w:rsidRPr="00445116">
        <w:t xml:space="preserve"> </w:t>
      </w:r>
      <w:r w:rsidR="00DE40B3" w:rsidRPr="00445116">
        <w:t xml:space="preserve"> </w:t>
      </w:r>
      <w:r w:rsidR="006972E0" w:rsidRPr="00445116">
        <w:t xml:space="preserve">The </w:t>
      </w:r>
      <w:r w:rsidR="007168F4" w:rsidRPr="00445116">
        <w:t xml:space="preserve">volume of </w:t>
      </w:r>
      <w:r w:rsidR="0007029C" w:rsidRPr="00445116">
        <w:t xml:space="preserve">aquaculture </w:t>
      </w:r>
      <w:r w:rsidR="00CC4F4D" w:rsidRPr="00445116">
        <w:t>and fisheries</w:t>
      </w:r>
      <w:r w:rsidR="007168F4" w:rsidRPr="00445116">
        <w:t xml:space="preserve"> production of the </w:t>
      </w:r>
      <w:r w:rsidRPr="00445116">
        <w:t xml:space="preserve">domestic prawn industry is around 25,000 tonnes and a </w:t>
      </w:r>
      <w:r w:rsidRPr="00445116">
        <w:rPr>
          <w:bCs/>
        </w:rPr>
        <w:t xml:space="preserve">similar volume of prawns is imported (see Table 1).  </w:t>
      </w:r>
      <w:r w:rsidRPr="00445116">
        <w:t xml:space="preserve">Domestic production consisted of 19,012 tonnes of wild-caught prawns (2017-18) and 4,630 tonnes of farmed prawns (2018-19), worth around $360 million.  </w:t>
      </w:r>
      <w:r w:rsidRPr="00445116">
        <w:rPr>
          <w:bCs/>
        </w:rPr>
        <w:t>Some of these prawns enter the Australian supply chain</w:t>
      </w:r>
      <w:r w:rsidR="00D321B5" w:rsidRPr="00445116">
        <w:rPr>
          <w:bCs/>
        </w:rPr>
        <w:t>;</w:t>
      </w:r>
      <w:r w:rsidRPr="00445116">
        <w:rPr>
          <w:bCs/>
        </w:rPr>
        <w:t xml:space="preserve"> &lt; 6%</w:t>
      </w:r>
      <w:r w:rsidR="00FA686D" w:rsidRPr="00445116">
        <w:rPr>
          <w:bCs/>
        </w:rPr>
        <w:t xml:space="preserve"> </w:t>
      </w:r>
      <w:r w:rsidRPr="00445116">
        <w:rPr>
          <w:bCs/>
        </w:rPr>
        <w:t>are exported to South-East Asia for processing and then reimported to Australia</w:t>
      </w:r>
      <w:r w:rsidR="00D321B5" w:rsidRPr="00445116">
        <w:rPr>
          <w:bCs/>
        </w:rPr>
        <w:t>;</w:t>
      </w:r>
      <w:r w:rsidRPr="00445116">
        <w:rPr>
          <w:bCs/>
        </w:rPr>
        <w:t xml:space="preserve"> and other prawns are exported for overseas consumption. </w:t>
      </w:r>
      <w:r w:rsidR="006972E0" w:rsidRPr="00445116">
        <w:rPr>
          <w:bCs/>
        </w:rPr>
        <w:t xml:space="preserve"> Industry stakeholders have forecast that the domestic farmed prawn </w:t>
      </w:r>
      <w:r w:rsidR="00926278" w:rsidRPr="00445116">
        <w:rPr>
          <w:bCs/>
        </w:rPr>
        <w:t>industry is</w:t>
      </w:r>
      <w:r w:rsidR="006972E0" w:rsidRPr="00445116">
        <w:rPr>
          <w:bCs/>
        </w:rPr>
        <w:t xml:space="preserve"> set to grow by up to 20,000 tonnes over the next five years</w:t>
      </w:r>
      <w:r w:rsidR="00DF33FD" w:rsidRPr="00445116">
        <w:rPr>
          <w:bCs/>
        </w:rPr>
        <w:t>,</w:t>
      </w:r>
      <w:r w:rsidR="006972E0" w:rsidRPr="00445116">
        <w:rPr>
          <w:bCs/>
        </w:rPr>
        <w:t xml:space="preserve"> or even higher</w:t>
      </w:r>
      <w:r w:rsidR="00DB739D" w:rsidRPr="00445116">
        <w:rPr>
          <w:bCs/>
        </w:rPr>
        <w:t>,</w:t>
      </w:r>
      <w:r w:rsidR="006972E0" w:rsidRPr="00445116">
        <w:rPr>
          <w:bCs/>
        </w:rPr>
        <w:t xml:space="preserve"> </w:t>
      </w:r>
      <w:r w:rsidR="00672A79" w:rsidRPr="00445116">
        <w:rPr>
          <w:bCs/>
        </w:rPr>
        <w:t xml:space="preserve">if </w:t>
      </w:r>
      <w:r w:rsidR="006972E0" w:rsidRPr="00445116">
        <w:rPr>
          <w:bCs/>
        </w:rPr>
        <w:t xml:space="preserve">large projects </w:t>
      </w:r>
      <w:r w:rsidR="00672A79" w:rsidRPr="00445116">
        <w:rPr>
          <w:bCs/>
        </w:rPr>
        <w:t xml:space="preserve">on the drawing board </w:t>
      </w:r>
      <w:r w:rsidR="00CA1613" w:rsidRPr="00445116">
        <w:rPr>
          <w:bCs/>
        </w:rPr>
        <w:t>in northern Australia</w:t>
      </w:r>
      <w:r w:rsidR="00672A79" w:rsidRPr="00445116">
        <w:rPr>
          <w:bCs/>
        </w:rPr>
        <w:t xml:space="preserve"> go ahead</w:t>
      </w:r>
      <w:r w:rsidR="006972E0" w:rsidRPr="00445116">
        <w:rPr>
          <w:bCs/>
        </w:rPr>
        <w:t xml:space="preserve">.  </w:t>
      </w:r>
    </w:p>
    <w:p w14:paraId="7EE29338" w14:textId="77777777" w:rsidR="00926278" w:rsidRPr="00445116" w:rsidRDefault="00926278" w:rsidP="0016369A"/>
    <w:p w14:paraId="3B8CA640" w14:textId="1D52A8F9" w:rsidR="0016369A" w:rsidRPr="00445116" w:rsidRDefault="0016369A" w:rsidP="0016369A">
      <w:pPr>
        <w:rPr>
          <w:i/>
          <w:iCs/>
        </w:rPr>
      </w:pPr>
      <w:r w:rsidRPr="00445116">
        <w:rPr>
          <w:i/>
          <w:iCs/>
        </w:rPr>
        <w:t xml:space="preserve">Table 1: Volume of imported prawns across calendar years (data sourced from the </w:t>
      </w:r>
      <w:r w:rsidR="00451A96" w:rsidRPr="00445116">
        <w:rPr>
          <w:i/>
          <w:iCs/>
        </w:rPr>
        <w:t>D</w:t>
      </w:r>
      <w:r w:rsidRPr="00445116">
        <w:rPr>
          <w:i/>
          <w:iCs/>
        </w:rPr>
        <w:t>epartment</w:t>
      </w:r>
      <w:r w:rsidR="00451A96" w:rsidRPr="00445116">
        <w:rPr>
          <w:i/>
          <w:iCs/>
        </w:rPr>
        <w:t>, March 2021</w:t>
      </w:r>
      <w:r w:rsidRPr="00445116">
        <w:rPr>
          <w:i/>
          <w:iCs/>
        </w:rPr>
        <w:t>)</w:t>
      </w:r>
    </w:p>
    <w:tbl>
      <w:tblPr>
        <w:tblW w:w="5000" w:type="pct"/>
        <w:tblCellMar>
          <w:left w:w="0" w:type="dxa"/>
          <w:right w:w="0" w:type="dxa"/>
        </w:tblCellMar>
        <w:tblLook w:val="04A0" w:firstRow="1" w:lastRow="0" w:firstColumn="1" w:lastColumn="0" w:noHBand="0" w:noVBand="1"/>
      </w:tblPr>
      <w:tblGrid>
        <w:gridCol w:w="2660"/>
        <w:gridCol w:w="1632"/>
        <w:gridCol w:w="1632"/>
        <w:gridCol w:w="1551"/>
        <w:gridCol w:w="1551"/>
      </w:tblGrid>
      <w:tr w:rsidR="0016369A" w:rsidRPr="00445116" w14:paraId="5DC55346" w14:textId="77777777" w:rsidTr="005001BB">
        <w:trPr>
          <w:cantSplit/>
          <w:tblHeader/>
        </w:trPr>
        <w:tc>
          <w:tcPr>
            <w:tcW w:w="1474" w:type="pct"/>
            <w:tcBorders>
              <w:top w:val="single" w:sz="8" w:space="0" w:color="auto"/>
              <w:left w:val="nil"/>
              <w:bottom w:val="nil"/>
              <w:right w:val="nil"/>
            </w:tcBorders>
            <w:tcMar>
              <w:top w:w="0" w:type="dxa"/>
              <w:left w:w="108" w:type="dxa"/>
              <w:bottom w:w="0" w:type="dxa"/>
              <w:right w:w="108" w:type="dxa"/>
            </w:tcMar>
          </w:tcPr>
          <w:p w14:paraId="1DD2AB76" w14:textId="77777777" w:rsidR="0016369A" w:rsidRPr="00445116" w:rsidRDefault="0016369A" w:rsidP="005001BB">
            <w:pPr>
              <w:pStyle w:val="TableHeading"/>
              <w:rPr>
                <w:lang w:eastAsia="en-AU"/>
              </w:rPr>
            </w:pPr>
          </w:p>
        </w:tc>
        <w:tc>
          <w:tcPr>
            <w:tcW w:w="904" w:type="pct"/>
            <w:tcBorders>
              <w:top w:val="single" w:sz="8" w:space="0" w:color="auto"/>
              <w:left w:val="nil"/>
              <w:bottom w:val="nil"/>
              <w:right w:val="nil"/>
            </w:tcBorders>
            <w:tcMar>
              <w:top w:w="0" w:type="dxa"/>
              <w:left w:w="108" w:type="dxa"/>
              <w:bottom w:w="0" w:type="dxa"/>
              <w:right w:w="108" w:type="dxa"/>
            </w:tcMar>
            <w:hideMark/>
          </w:tcPr>
          <w:p w14:paraId="360888E9" w14:textId="77777777" w:rsidR="0016369A" w:rsidRPr="00445116" w:rsidRDefault="0016369A" w:rsidP="005001BB">
            <w:pPr>
              <w:pStyle w:val="TableHeading"/>
              <w:rPr>
                <w:lang w:eastAsia="en-AU"/>
              </w:rPr>
            </w:pPr>
            <w:r w:rsidRPr="00445116">
              <w:rPr>
                <w:lang w:eastAsia="en-AU"/>
              </w:rPr>
              <w:t>2016</w:t>
            </w:r>
          </w:p>
        </w:tc>
        <w:tc>
          <w:tcPr>
            <w:tcW w:w="904" w:type="pct"/>
            <w:tcBorders>
              <w:top w:val="single" w:sz="8" w:space="0" w:color="auto"/>
              <w:left w:val="nil"/>
              <w:bottom w:val="nil"/>
              <w:right w:val="nil"/>
            </w:tcBorders>
            <w:tcMar>
              <w:top w:w="0" w:type="dxa"/>
              <w:left w:w="108" w:type="dxa"/>
              <w:bottom w:w="0" w:type="dxa"/>
              <w:right w:w="108" w:type="dxa"/>
            </w:tcMar>
            <w:hideMark/>
          </w:tcPr>
          <w:p w14:paraId="00793195" w14:textId="77777777" w:rsidR="0016369A" w:rsidRPr="00445116" w:rsidRDefault="0016369A" w:rsidP="005001BB">
            <w:pPr>
              <w:pStyle w:val="TableHeading"/>
              <w:rPr>
                <w:lang w:eastAsia="en-AU"/>
              </w:rPr>
            </w:pPr>
            <w:r w:rsidRPr="00445116">
              <w:rPr>
                <w:lang w:eastAsia="en-AU"/>
              </w:rPr>
              <w:t>2018</w:t>
            </w:r>
          </w:p>
        </w:tc>
        <w:tc>
          <w:tcPr>
            <w:tcW w:w="859" w:type="pct"/>
            <w:tcBorders>
              <w:top w:val="single" w:sz="8" w:space="0" w:color="auto"/>
              <w:left w:val="nil"/>
              <w:bottom w:val="nil"/>
              <w:right w:val="nil"/>
            </w:tcBorders>
            <w:tcMar>
              <w:top w:w="0" w:type="dxa"/>
              <w:left w:w="108" w:type="dxa"/>
              <w:bottom w:w="0" w:type="dxa"/>
              <w:right w:w="108" w:type="dxa"/>
            </w:tcMar>
            <w:hideMark/>
          </w:tcPr>
          <w:p w14:paraId="446FD9ED" w14:textId="77777777" w:rsidR="0016369A" w:rsidRPr="00445116" w:rsidRDefault="0016369A" w:rsidP="005001BB">
            <w:pPr>
              <w:pStyle w:val="TableHeading"/>
              <w:rPr>
                <w:lang w:eastAsia="en-AU"/>
              </w:rPr>
            </w:pPr>
            <w:r w:rsidRPr="00445116">
              <w:rPr>
                <w:lang w:eastAsia="en-AU"/>
              </w:rPr>
              <w:t>2019</w:t>
            </w:r>
          </w:p>
        </w:tc>
        <w:tc>
          <w:tcPr>
            <w:tcW w:w="859" w:type="pct"/>
            <w:tcBorders>
              <w:top w:val="single" w:sz="8" w:space="0" w:color="auto"/>
              <w:left w:val="nil"/>
              <w:bottom w:val="nil"/>
              <w:right w:val="nil"/>
            </w:tcBorders>
            <w:tcMar>
              <w:top w:w="0" w:type="dxa"/>
              <w:left w:w="108" w:type="dxa"/>
              <w:bottom w:w="0" w:type="dxa"/>
              <w:right w:w="108" w:type="dxa"/>
            </w:tcMar>
            <w:hideMark/>
          </w:tcPr>
          <w:p w14:paraId="120826CD" w14:textId="77777777" w:rsidR="0016369A" w:rsidRPr="00445116" w:rsidRDefault="0016369A" w:rsidP="005001BB">
            <w:pPr>
              <w:pStyle w:val="TableHeading"/>
              <w:rPr>
                <w:lang w:eastAsia="en-AU"/>
              </w:rPr>
            </w:pPr>
            <w:r w:rsidRPr="00445116">
              <w:rPr>
                <w:lang w:eastAsia="en-AU"/>
              </w:rPr>
              <w:t>2020</w:t>
            </w:r>
          </w:p>
        </w:tc>
      </w:tr>
      <w:tr w:rsidR="0016369A" w:rsidRPr="00445116" w14:paraId="571C2562" w14:textId="77777777" w:rsidTr="005001BB">
        <w:trPr>
          <w:cantSplit/>
          <w:tblHeader/>
        </w:trPr>
        <w:tc>
          <w:tcPr>
            <w:tcW w:w="1474" w:type="pct"/>
            <w:tcBorders>
              <w:top w:val="nil"/>
              <w:left w:val="nil"/>
              <w:bottom w:val="single" w:sz="8" w:space="0" w:color="auto"/>
              <w:right w:val="nil"/>
            </w:tcBorders>
            <w:tcMar>
              <w:top w:w="0" w:type="dxa"/>
              <w:left w:w="108" w:type="dxa"/>
              <w:bottom w:w="0" w:type="dxa"/>
              <w:right w:w="108" w:type="dxa"/>
            </w:tcMar>
            <w:hideMark/>
          </w:tcPr>
          <w:p w14:paraId="7618853C" w14:textId="77777777" w:rsidR="0016369A" w:rsidRPr="00445116" w:rsidRDefault="0016369A" w:rsidP="005001BB">
            <w:pPr>
              <w:pStyle w:val="TableHeading"/>
              <w:rPr>
                <w:lang w:eastAsia="en-AU"/>
              </w:rPr>
            </w:pPr>
            <w:r w:rsidRPr="00445116">
              <w:rPr>
                <w:lang w:eastAsia="en-AU"/>
              </w:rPr>
              <w:t>Commodity</w:t>
            </w:r>
          </w:p>
        </w:tc>
        <w:tc>
          <w:tcPr>
            <w:tcW w:w="904" w:type="pct"/>
            <w:tcBorders>
              <w:top w:val="nil"/>
              <w:left w:val="nil"/>
              <w:bottom w:val="single" w:sz="8" w:space="0" w:color="auto"/>
              <w:right w:val="nil"/>
            </w:tcBorders>
            <w:tcMar>
              <w:top w:w="0" w:type="dxa"/>
              <w:left w:w="108" w:type="dxa"/>
              <w:bottom w:w="0" w:type="dxa"/>
              <w:right w:w="108" w:type="dxa"/>
            </w:tcMar>
            <w:hideMark/>
          </w:tcPr>
          <w:p w14:paraId="25BC42B6" w14:textId="77777777" w:rsidR="0016369A" w:rsidRPr="00445116" w:rsidRDefault="0016369A" w:rsidP="005001BB">
            <w:pPr>
              <w:pStyle w:val="TableHeading"/>
              <w:rPr>
                <w:lang w:eastAsia="en-AU"/>
              </w:rPr>
            </w:pPr>
            <w:r w:rsidRPr="00445116">
              <w:rPr>
                <w:lang w:eastAsia="en-AU"/>
              </w:rPr>
              <w:t>Volume (tonnes)</w:t>
            </w:r>
          </w:p>
        </w:tc>
        <w:tc>
          <w:tcPr>
            <w:tcW w:w="904" w:type="pct"/>
            <w:tcBorders>
              <w:top w:val="nil"/>
              <w:left w:val="nil"/>
              <w:bottom w:val="single" w:sz="8" w:space="0" w:color="auto"/>
              <w:right w:val="nil"/>
            </w:tcBorders>
            <w:tcMar>
              <w:top w:w="0" w:type="dxa"/>
              <w:left w:w="108" w:type="dxa"/>
              <w:bottom w:w="0" w:type="dxa"/>
              <w:right w:w="108" w:type="dxa"/>
            </w:tcMar>
            <w:hideMark/>
          </w:tcPr>
          <w:p w14:paraId="425819F5" w14:textId="77777777" w:rsidR="0016369A" w:rsidRPr="00445116" w:rsidRDefault="0016369A" w:rsidP="005001BB">
            <w:pPr>
              <w:pStyle w:val="TableHeading"/>
              <w:rPr>
                <w:lang w:eastAsia="en-AU"/>
              </w:rPr>
            </w:pPr>
            <w:r w:rsidRPr="00445116">
              <w:rPr>
                <w:lang w:eastAsia="en-AU"/>
              </w:rPr>
              <w:t>Volume (tonnes)</w:t>
            </w:r>
          </w:p>
        </w:tc>
        <w:tc>
          <w:tcPr>
            <w:tcW w:w="859" w:type="pct"/>
            <w:tcBorders>
              <w:top w:val="nil"/>
              <w:left w:val="nil"/>
              <w:bottom w:val="single" w:sz="8" w:space="0" w:color="auto"/>
              <w:right w:val="nil"/>
            </w:tcBorders>
            <w:tcMar>
              <w:top w:w="0" w:type="dxa"/>
              <w:left w:w="108" w:type="dxa"/>
              <w:bottom w:w="0" w:type="dxa"/>
              <w:right w:w="108" w:type="dxa"/>
            </w:tcMar>
            <w:hideMark/>
          </w:tcPr>
          <w:p w14:paraId="48E89DAD" w14:textId="77777777" w:rsidR="0016369A" w:rsidRPr="00445116" w:rsidRDefault="0016369A" w:rsidP="005001BB">
            <w:pPr>
              <w:pStyle w:val="TableHeading"/>
              <w:rPr>
                <w:rFonts w:ascii="Calibri Light" w:hAnsi="Calibri Light" w:cs="Calibri Light"/>
                <w:sz w:val="20"/>
                <w:szCs w:val="20"/>
                <w:lang w:eastAsia="en-AU"/>
              </w:rPr>
            </w:pPr>
            <w:r w:rsidRPr="00445116">
              <w:rPr>
                <w:lang w:eastAsia="en-AU"/>
              </w:rPr>
              <w:t>Volume (tonnes)</w:t>
            </w:r>
          </w:p>
        </w:tc>
        <w:tc>
          <w:tcPr>
            <w:tcW w:w="859" w:type="pct"/>
            <w:tcBorders>
              <w:top w:val="nil"/>
              <w:left w:val="nil"/>
              <w:bottom w:val="single" w:sz="8" w:space="0" w:color="auto"/>
              <w:right w:val="nil"/>
            </w:tcBorders>
            <w:tcMar>
              <w:top w:w="0" w:type="dxa"/>
              <w:left w:w="108" w:type="dxa"/>
              <w:bottom w:w="0" w:type="dxa"/>
              <w:right w:w="108" w:type="dxa"/>
            </w:tcMar>
            <w:hideMark/>
          </w:tcPr>
          <w:p w14:paraId="1EF5CF3D" w14:textId="77777777" w:rsidR="0016369A" w:rsidRPr="00445116" w:rsidRDefault="0016369A" w:rsidP="005001BB">
            <w:pPr>
              <w:pStyle w:val="TableHeading"/>
              <w:rPr>
                <w:rFonts w:cs="Calibri"/>
                <w:szCs w:val="18"/>
                <w:lang w:eastAsia="en-AU"/>
              </w:rPr>
            </w:pPr>
            <w:r w:rsidRPr="00445116">
              <w:rPr>
                <w:rFonts w:ascii="Calibri Light" w:hAnsi="Calibri Light" w:cs="Calibri Light"/>
                <w:szCs w:val="18"/>
                <w:lang w:eastAsia="en-AU"/>
              </w:rPr>
              <w:t>Volume (tonnes)</w:t>
            </w:r>
          </w:p>
        </w:tc>
      </w:tr>
      <w:tr w:rsidR="0016369A" w:rsidRPr="00445116" w14:paraId="0B71D975" w14:textId="77777777" w:rsidTr="005001BB">
        <w:tc>
          <w:tcPr>
            <w:tcW w:w="1474" w:type="pct"/>
            <w:tcMar>
              <w:top w:w="0" w:type="dxa"/>
              <w:left w:w="108" w:type="dxa"/>
              <w:bottom w:w="0" w:type="dxa"/>
              <w:right w:w="108" w:type="dxa"/>
            </w:tcMar>
            <w:hideMark/>
          </w:tcPr>
          <w:p w14:paraId="6DD312B7" w14:textId="77777777" w:rsidR="0016369A" w:rsidRPr="00445116" w:rsidRDefault="0016369A" w:rsidP="005001BB">
            <w:pPr>
              <w:pStyle w:val="TableText"/>
              <w:rPr>
                <w:b w:val="0"/>
                <w:bCs/>
                <w:lang w:eastAsia="en-AU"/>
              </w:rPr>
            </w:pPr>
            <w:r w:rsidRPr="00445116">
              <w:rPr>
                <w:b w:val="0"/>
                <w:bCs/>
              </w:rPr>
              <w:t>Cooked</w:t>
            </w:r>
          </w:p>
        </w:tc>
        <w:tc>
          <w:tcPr>
            <w:tcW w:w="904" w:type="pct"/>
            <w:tcMar>
              <w:top w:w="0" w:type="dxa"/>
              <w:left w:w="108" w:type="dxa"/>
              <w:bottom w:w="0" w:type="dxa"/>
              <w:right w:w="108" w:type="dxa"/>
            </w:tcMar>
            <w:hideMark/>
          </w:tcPr>
          <w:p w14:paraId="5581E8D2" w14:textId="77777777" w:rsidR="0016369A" w:rsidRPr="00445116" w:rsidRDefault="0016369A" w:rsidP="005001BB">
            <w:pPr>
              <w:pStyle w:val="TableText"/>
              <w:rPr>
                <w:b w:val="0"/>
                <w:bCs/>
              </w:rPr>
            </w:pPr>
            <w:r w:rsidRPr="00445116">
              <w:rPr>
                <w:b w:val="0"/>
                <w:bCs/>
              </w:rPr>
              <w:t xml:space="preserve">  9,588</w:t>
            </w:r>
          </w:p>
        </w:tc>
        <w:tc>
          <w:tcPr>
            <w:tcW w:w="904" w:type="pct"/>
            <w:tcMar>
              <w:top w:w="0" w:type="dxa"/>
              <w:left w:w="108" w:type="dxa"/>
              <w:bottom w:w="0" w:type="dxa"/>
              <w:right w:w="108" w:type="dxa"/>
            </w:tcMar>
            <w:hideMark/>
          </w:tcPr>
          <w:p w14:paraId="73CDA152" w14:textId="77777777" w:rsidR="0016369A" w:rsidRPr="00445116" w:rsidRDefault="0016369A" w:rsidP="005001BB">
            <w:pPr>
              <w:pStyle w:val="TableText"/>
              <w:rPr>
                <w:b w:val="0"/>
                <w:bCs/>
              </w:rPr>
            </w:pPr>
            <w:r w:rsidRPr="00445116">
              <w:rPr>
                <w:b w:val="0"/>
                <w:bCs/>
              </w:rPr>
              <w:t>15,755</w:t>
            </w:r>
          </w:p>
        </w:tc>
        <w:tc>
          <w:tcPr>
            <w:tcW w:w="859" w:type="pct"/>
            <w:tcMar>
              <w:top w:w="0" w:type="dxa"/>
              <w:left w:w="108" w:type="dxa"/>
              <w:bottom w:w="0" w:type="dxa"/>
              <w:right w:w="108" w:type="dxa"/>
            </w:tcMar>
            <w:hideMark/>
          </w:tcPr>
          <w:p w14:paraId="32B2A93F" w14:textId="77777777" w:rsidR="0016369A" w:rsidRPr="00445116" w:rsidRDefault="0016369A" w:rsidP="005001BB">
            <w:pPr>
              <w:pStyle w:val="TableText"/>
              <w:rPr>
                <w:b w:val="0"/>
                <w:bCs/>
              </w:rPr>
            </w:pPr>
            <w:r w:rsidRPr="00445116">
              <w:rPr>
                <w:b w:val="0"/>
                <w:bCs/>
              </w:rPr>
              <w:t>12,289</w:t>
            </w:r>
          </w:p>
        </w:tc>
        <w:tc>
          <w:tcPr>
            <w:tcW w:w="859" w:type="pct"/>
            <w:tcMar>
              <w:top w:w="0" w:type="dxa"/>
              <w:left w:w="108" w:type="dxa"/>
              <w:bottom w:w="0" w:type="dxa"/>
              <w:right w:w="108" w:type="dxa"/>
            </w:tcMar>
            <w:hideMark/>
          </w:tcPr>
          <w:p w14:paraId="0B13A371" w14:textId="77777777" w:rsidR="0016369A" w:rsidRPr="00445116" w:rsidRDefault="0016369A" w:rsidP="005001BB">
            <w:pPr>
              <w:pStyle w:val="TableText"/>
              <w:rPr>
                <w:b w:val="0"/>
                <w:bCs/>
              </w:rPr>
            </w:pPr>
            <w:r w:rsidRPr="00445116">
              <w:rPr>
                <w:b w:val="0"/>
                <w:bCs/>
              </w:rPr>
              <w:t>11,494</w:t>
            </w:r>
          </w:p>
        </w:tc>
      </w:tr>
      <w:tr w:rsidR="0016369A" w:rsidRPr="00445116" w14:paraId="66BD3646" w14:textId="77777777" w:rsidTr="005001BB">
        <w:tc>
          <w:tcPr>
            <w:tcW w:w="1474" w:type="pct"/>
            <w:tcMar>
              <w:top w:w="0" w:type="dxa"/>
              <w:left w:w="108" w:type="dxa"/>
              <w:bottom w:w="0" w:type="dxa"/>
              <w:right w:w="108" w:type="dxa"/>
            </w:tcMar>
            <w:hideMark/>
          </w:tcPr>
          <w:p w14:paraId="29B001D9" w14:textId="77777777" w:rsidR="0016369A" w:rsidRPr="00445116" w:rsidRDefault="0016369A" w:rsidP="005001BB">
            <w:pPr>
              <w:pStyle w:val="TableText"/>
              <w:rPr>
                <w:b w:val="0"/>
                <w:bCs/>
              </w:rPr>
            </w:pPr>
            <w:r w:rsidRPr="00445116">
              <w:rPr>
                <w:b w:val="0"/>
                <w:bCs/>
              </w:rPr>
              <w:t xml:space="preserve">Uncooked (raw) prawns </w:t>
            </w:r>
          </w:p>
        </w:tc>
        <w:tc>
          <w:tcPr>
            <w:tcW w:w="904" w:type="pct"/>
            <w:tcMar>
              <w:top w:w="0" w:type="dxa"/>
              <w:left w:w="108" w:type="dxa"/>
              <w:bottom w:w="0" w:type="dxa"/>
              <w:right w:w="108" w:type="dxa"/>
            </w:tcMar>
            <w:hideMark/>
          </w:tcPr>
          <w:p w14:paraId="604398FA" w14:textId="77777777" w:rsidR="0016369A" w:rsidRPr="00445116" w:rsidRDefault="0016369A" w:rsidP="005001BB">
            <w:pPr>
              <w:pStyle w:val="TableText"/>
              <w:rPr>
                <w:b w:val="0"/>
                <w:bCs/>
              </w:rPr>
            </w:pPr>
            <w:r w:rsidRPr="00445116">
              <w:rPr>
                <w:b w:val="0"/>
                <w:bCs/>
              </w:rPr>
              <w:t>17,125</w:t>
            </w:r>
          </w:p>
        </w:tc>
        <w:tc>
          <w:tcPr>
            <w:tcW w:w="904" w:type="pct"/>
            <w:tcMar>
              <w:top w:w="0" w:type="dxa"/>
              <w:left w:w="108" w:type="dxa"/>
              <w:bottom w:w="0" w:type="dxa"/>
              <w:right w:w="108" w:type="dxa"/>
            </w:tcMar>
            <w:hideMark/>
          </w:tcPr>
          <w:p w14:paraId="1C50A309" w14:textId="77777777" w:rsidR="0016369A" w:rsidRPr="00445116" w:rsidRDefault="0016369A" w:rsidP="005001BB">
            <w:pPr>
              <w:pStyle w:val="TableText"/>
              <w:rPr>
                <w:b w:val="0"/>
                <w:bCs/>
              </w:rPr>
            </w:pPr>
            <w:r w:rsidRPr="00445116">
              <w:rPr>
                <w:b w:val="0"/>
                <w:bCs/>
              </w:rPr>
              <w:t xml:space="preserve">  8,635</w:t>
            </w:r>
          </w:p>
        </w:tc>
        <w:tc>
          <w:tcPr>
            <w:tcW w:w="859" w:type="pct"/>
            <w:tcMar>
              <w:top w:w="0" w:type="dxa"/>
              <w:left w:w="108" w:type="dxa"/>
              <w:bottom w:w="0" w:type="dxa"/>
              <w:right w:w="108" w:type="dxa"/>
            </w:tcMar>
            <w:hideMark/>
          </w:tcPr>
          <w:p w14:paraId="5C8B5F8B" w14:textId="77777777" w:rsidR="0016369A" w:rsidRPr="00445116" w:rsidRDefault="0016369A" w:rsidP="005001BB">
            <w:pPr>
              <w:pStyle w:val="TableText"/>
              <w:rPr>
                <w:b w:val="0"/>
                <w:bCs/>
              </w:rPr>
            </w:pPr>
            <w:r w:rsidRPr="00445116">
              <w:rPr>
                <w:b w:val="0"/>
                <w:bCs/>
              </w:rPr>
              <w:t xml:space="preserve">  8,443</w:t>
            </w:r>
          </w:p>
        </w:tc>
        <w:tc>
          <w:tcPr>
            <w:tcW w:w="859" w:type="pct"/>
            <w:tcMar>
              <w:top w:w="0" w:type="dxa"/>
              <w:left w:w="108" w:type="dxa"/>
              <w:bottom w:w="0" w:type="dxa"/>
              <w:right w:w="108" w:type="dxa"/>
            </w:tcMar>
            <w:hideMark/>
          </w:tcPr>
          <w:p w14:paraId="69DD3814" w14:textId="77777777" w:rsidR="0016369A" w:rsidRPr="00445116" w:rsidRDefault="0016369A" w:rsidP="005001BB">
            <w:pPr>
              <w:pStyle w:val="TableText"/>
              <w:rPr>
                <w:b w:val="0"/>
                <w:bCs/>
              </w:rPr>
            </w:pPr>
            <w:r w:rsidRPr="00445116">
              <w:rPr>
                <w:b w:val="0"/>
                <w:bCs/>
              </w:rPr>
              <w:t xml:space="preserve">  7,752 </w:t>
            </w:r>
            <w:r w:rsidRPr="00445116">
              <w:rPr>
                <w:b w:val="0"/>
                <w:bCs/>
                <w:vertAlign w:val="superscript"/>
              </w:rPr>
              <w:t>a</w:t>
            </w:r>
          </w:p>
        </w:tc>
      </w:tr>
      <w:tr w:rsidR="0016369A" w:rsidRPr="00445116" w14:paraId="1FD18E8B" w14:textId="77777777" w:rsidTr="005001BB">
        <w:tc>
          <w:tcPr>
            <w:tcW w:w="1474" w:type="pct"/>
            <w:tcMar>
              <w:top w:w="0" w:type="dxa"/>
              <w:left w:w="108" w:type="dxa"/>
              <w:bottom w:w="0" w:type="dxa"/>
              <w:right w:w="108" w:type="dxa"/>
            </w:tcMar>
            <w:hideMark/>
          </w:tcPr>
          <w:p w14:paraId="03D80190" w14:textId="77777777" w:rsidR="0016369A" w:rsidRPr="00445116" w:rsidRDefault="0016369A" w:rsidP="005001BB">
            <w:pPr>
              <w:pStyle w:val="TableText"/>
              <w:rPr>
                <w:b w:val="0"/>
                <w:bCs/>
              </w:rPr>
            </w:pPr>
            <w:r w:rsidRPr="00445116">
              <w:rPr>
                <w:b w:val="0"/>
                <w:bCs/>
              </w:rPr>
              <w:t xml:space="preserve">Breaded, battered and crumbed </w:t>
            </w:r>
          </w:p>
        </w:tc>
        <w:tc>
          <w:tcPr>
            <w:tcW w:w="904" w:type="pct"/>
            <w:tcMar>
              <w:top w:w="0" w:type="dxa"/>
              <w:left w:w="108" w:type="dxa"/>
              <w:bottom w:w="0" w:type="dxa"/>
              <w:right w:w="108" w:type="dxa"/>
            </w:tcMar>
            <w:hideMark/>
          </w:tcPr>
          <w:p w14:paraId="10C09488" w14:textId="77777777" w:rsidR="0016369A" w:rsidRPr="00445116" w:rsidRDefault="0016369A" w:rsidP="005001BB">
            <w:pPr>
              <w:pStyle w:val="TableText"/>
              <w:rPr>
                <w:b w:val="0"/>
                <w:bCs/>
              </w:rPr>
            </w:pPr>
            <w:r w:rsidRPr="00445116">
              <w:rPr>
                <w:b w:val="0"/>
                <w:bCs/>
              </w:rPr>
              <w:t xml:space="preserve">  1,876</w:t>
            </w:r>
          </w:p>
        </w:tc>
        <w:tc>
          <w:tcPr>
            <w:tcW w:w="904" w:type="pct"/>
            <w:tcMar>
              <w:top w:w="0" w:type="dxa"/>
              <w:left w:w="108" w:type="dxa"/>
              <w:bottom w:w="0" w:type="dxa"/>
              <w:right w:w="108" w:type="dxa"/>
            </w:tcMar>
            <w:hideMark/>
          </w:tcPr>
          <w:p w14:paraId="470EE71E" w14:textId="77777777" w:rsidR="0016369A" w:rsidRPr="00445116" w:rsidRDefault="0016369A" w:rsidP="005001BB">
            <w:pPr>
              <w:pStyle w:val="TableText"/>
              <w:rPr>
                <w:b w:val="0"/>
                <w:bCs/>
              </w:rPr>
            </w:pPr>
            <w:r w:rsidRPr="00445116">
              <w:rPr>
                <w:b w:val="0"/>
                <w:bCs/>
              </w:rPr>
              <w:t xml:space="preserve">  3,087 </w:t>
            </w:r>
            <w:r w:rsidRPr="00445116">
              <w:rPr>
                <w:b w:val="0"/>
                <w:bCs/>
                <w:vertAlign w:val="superscript"/>
              </w:rPr>
              <w:t>b</w:t>
            </w:r>
          </w:p>
        </w:tc>
        <w:tc>
          <w:tcPr>
            <w:tcW w:w="859" w:type="pct"/>
            <w:tcMar>
              <w:top w:w="0" w:type="dxa"/>
              <w:left w:w="108" w:type="dxa"/>
              <w:bottom w:w="0" w:type="dxa"/>
              <w:right w:w="108" w:type="dxa"/>
            </w:tcMar>
            <w:hideMark/>
          </w:tcPr>
          <w:p w14:paraId="21C54F34" w14:textId="77777777" w:rsidR="0016369A" w:rsidRPr="00445116" w:rsidRDefault="0016369A" w:rsidP="005001BB">
            <w:pPr>
              <w:pStyle w:val="TableText"/>
              <w:rPr>
                <w:b w:val="0"/>
                <w:bCs/>
              </w:rPr>
            </w:pPr>
            <w:r w:rsidRPr="00445116">
              <w:rPr>
                <w:b w:val="0"/>
                <w:bCs/>
              </w:rPr>
              <w:t xml:space="preserve">  2,388 </w:t>
            </w:r>
          </w:p>
        </w:tc>
        <w:tc>
          <w:tcPr>
            <w:tcW w:w="859" w:type="pct"/>
            <w:tcMar>
              <w:top w:w="0" w:type="dxa"/>
              <w:left w:w="108" w:type="dxa"/>
              <w:bottom w:w="0" w:type="dxa"/>
              <w:right w:w="108" w:type="dxa"/>
            </w:tcMar>
            <w:hideMark/>
          </w:tcPr>
          <w:p w14:paraId="297C478C" w14:textId="77777777" w:rsidR="0016369A" w:rsidRPr="00445116" w:rsidRDefault="0016369A" w:rsidP="005001BB">
            <w:pPr>
              <w:pStyle w:val="TableText"/>
              <w:rPr>
                <w:b w:val="0"/>
                <w:bCs/>
              </w:rPr>
            </w:pPr>
            <w:r w:rsidRPr="00445116">
              <w:rPr>
                <w:b w:val="0"/>
                <w:bCs/>
              </w:rPr>
              <w:t xml:space="preserve">  2,318</w:t>
            </w:r>
          </w:p>
        </w:tc>
      </w:tr>
      <w:tr w:rsidR="0016369A" w:rsidRPr="00445116" w14:paraId="1B7C2D5C" w14:textId="77777777" w:rsidTr="005001BB">
        <w:tc>
          <w:tcPr>
            <w:tcW w:w="1474" w:type="pct"/>
            <w:tcMar>
              <w:top w:w="0" w:type="dxa"/>
              <w:left w:w="108" w:type="dxa"/>
              <w:bottom w:w="0" w:type="dxa"/>
              <w:right w:w="108" w:type="dxa"/>
            </w:tcMar>
            <w:hideMark/>
          </w:tcPr>
          <w:p w14:paraId="45562551" w14:textId="77777777" w:rsidR="0016369A" w:rsidRPr="00445116" w:rsidRDefault="0016369A" w:rsidP="005001BB">
            <w:pPr>
              <w:pStyle w:val="TableText"/>
              <w:rPr>
                <w:b w:val="0"/>
                <w:bCs/>
              </w:rPr>
            </w:pPr>
            <w:r w:rsidRPr="00445116">
              <w:rPr>
                <w:b w:val="0"/>
                <w:bCs/>
              </w:rPr>
              <w:t xml:space="preserve">Dumpling and dim sum-type product </w:t>
            </w:r>
          </w:p>
        </w:tc>
        <w:tc>
          <w:tcPr>
            <w:tcW w:w="904" w:type="pct"/>
            <w:tcMar>
              <w:top w:w="0" w:type="dxa"/>
              <w:left w:w="108" w:type="dxa"/>
              <w:bottom w:w="0" w:type="dxa"/>
              <w:right w:w="108" w:type="dxa"/>
            </w:tcMar>
            <w:hideMark/>
          </w:tcPr>
          <w:p w14:paraId="14E25E75" w14:textId="77777777" w:rsidR="0016369A" w:rsidRPr="00445116" w:rsidRDefault="0016369A" w:rsidP="005001BB">
            <w:pPr>
              <w:pStyle w:val="TableText"/>
              <w:rPr>
                <w:b w:val="0"/>
                <w:bCs/>
              </w:rPr>
            </w:pPr>
            <w:r w:rsidRPr="00445116">
              <w:rPr>
                <w:b w:val="0"/>
                <w:bCs/>
              </w:rPr>
              <w:t xml:space="preserve">    774</w:t>
            </w:r>
          </w:p>
        </w:tc>
        <w:tc>
          <w:tcPr>
            <w:tcW w:w="904" w:type="pct"/>
            <w:tcMar>
              <w:top w:w="0" w:type="dxa"/>
              <w:left w:w="108" w:type="dxa"/>
              <w:bottom w:w="0" w:type="dxa"/>
              <w:right w:w="108" w:type="dxa"/>
            </w:tcMar>
            <w:hideMark/>
          </w:tcPr>
          <w:p w14:paraId="4B4E73AA" w14:textId="77777777" w:rsidR="0016369A" w:rsidRPr="00445116" w:rsidRDefault="0016369A" w:rsidP="005001BB">
            <w:pPr>
              <w:pStyle w:val="TableText"/>
              <w:rPr>
                <w:b w:val="0"/>
                <w:bCs/>
              </w:rPr>
            </w:pPr>
            <w:r w:rsidRPr="00445116">
              <w:rPr>
                <w:b w:val="0"/>
                <w:bCs/>
              </w:rPr>
              <w:t xml:space="preserve">  1,119</w:t>
            </w:r>
          </w:p>
        </w:tc>
        <w:tc>
          <w:tcPr>
            <w:tcW w:w="859" w:type="pct"/>
            <w:tcMar>
              <w:top w:w="0" w:type="dxa"/>
              <w:left w:w="108" w:type="dxa"/>
              <w:bottom w:w="0" w:type="dxa"/>
              <w:right w:w="108" w:type="dxa"/>
            </w:tcMar>
            <w:hideMark/>
          </w:tcPr>
          <w:p w14:paraId="1BB80D56" w14:textId="77777777" w:rsidR="0016369A" w:rsidRPr="00445116" w:rsidRDefault="0016369A" w:rsidP="005001BB">
            <w:pPr>
              <w:pStyle w:val="TableText"/>
              <w:rPr>
                <w:b w:val="0"/>
                <w:bCs/>
              </w:rPr>
            </w:pPr>
            <w:r w:rsidRPr="00445116">
              <w:rPr>
                <w:b w:val="0"/>
                <w:bCs/>
              </w:rPr>
              <w:t xml:space="preserve">     761</w:t>
            </w:r>
          </w:p>
        </w:tc>
        <w:tc>
          <w:tcPr>
            <w:tcW w:w="859" w:type="pct"/>
            <w:tcMar>
              <w:top w:w="0" w:type="dxa"/>
              <w:left w:w="108" w:type="dxa"/>
              <w:bottom w:w="0" w:type="dxa"/>
              <w:right w:w="108" w:type="dxa"/>
            </w:tcMar>
            <w:hideMark/>
          </w:tcPr>
          <w:p w14:paraId="7EE46824" w14:textId="77777777" w:rsidR="0016369A" w:rsidRPr="00445116" w:rsidRDefault="0016369A" w:rsidP="005001BB">
            <w:pPr>
              <w:pStyle w:val="TableText"/>
              <w:rPr>
                <w:b w:val="0"/>
                <w:bCs/>
              </w:rPr>
            </w:pPr>
            <w:r w:rsidRPr="00445116">
              <w:rPr>
                <w:b w:val="0"/>
                <w:bCs/>
              </w:rPr>
              <w:t xml:space="preserve">     750</w:t>
            </w:r>
          </w:p>
        </w:tc>
      </w:tr>
      <w:tr w:rsidR="0016369A" w:rsidRPr="00445116" w14:paraId="213AB46F" w14:textId="77777777" w:rsidTr="005001BB">
        <w:tc>
          <w:tcPr>
            <w:tcW w:w="1474" w:type="pct"/>
            <w:tcBorders>
              <w:top w:val="nil"/>
              <w:left w:val="nil"/>
              <w:bottom w:val="single" w:sz="8" w:space="0" w:color="auto"/>
              <w:right w:val="nil"/>
            </w:tcBorders>
            <w:tcMar>
              <w:top w:w="0" w:type="dxa"/>
              <w:left w:w="108" w:type="dxa"/>
              <w:bottom w:w="0" w:type="dxa"/>
              <w:right w:w="108" w:type="dxa"/>
            </w:tcMar>
            <w:hideMark/>
          </w:tcPr>
          <w:p w14:paraId="05E4D4B4" w14:textId="77777777" w:rsidR="0016369A" w:rsidRPr="00445116" w:rsidRDefault="0016369A" w:rsidP="005001BB">
            <w:pPr>
              <w:pStyle w:val="TableText"/>
              <w:rPr>
                <w:b w:val="0"/>
                <w:bCs/>
                <w:vertAlign w:val="superscript"/>
              </w:rPr>
            </w:pPr>
            <w:r w:rsidRPr="00445116">
              <w:rPr>
                <w:b w:val="0"/>
                <w:bCs/>
              </w:rPr>
              <w:t xml:space="preserve">Other prawn products </w:t>
            </w:r>
            <w:r w:rsidRPr="00445116">
              <w:rPr>
                <w:b w:val="0"/>
                <w:bCs/>
                <w:vertAlign w:val="superscript"/>
              </w:rPr>
              <w:t>c</w:t>
            </w:r>
          </w:p>
        </w:tc>
        <w:tc>
          <w:tcPr>
            <w:tcW w:w="904" w:type="pct"/>
            <w:tcBorders>
              <w:top w:val="nil"/>
              <w:left w:val="nil"/>
              <w:bottom w:val="single" w:sz="8" w:space="0" w:color="auto"/>
              <w:right w:val="nil"/>
            </w:tcBorders>
            <w:tcMar>
              <w:top w:w="0" w:type="dxa"/>
              <w:left w:w="108" w:type="dxa"/>
              <w:bottom w:w="0" w:type="dxa"/>
              <w:right w:w="108" w:type="dxa"/>
            </w:tcMar>
            <w:hideMark/>
          </w:tcPr>
          <w:p w14:paraId="36C0AC4C" w14:textId="77777777" w:rsidR="0016369A" w:rsidRPr="00445116" w:rsidRDefault="0016369A" w:rsidP="005001BB">
            <w:pPr>
              <w:pStyle w:val="TableText"/>
              <w:rPr>
                <w:b w:val="0"/>
                <w:bCs/>
              </w:rPr>
            </w:pPr>
            <w:r w:rsidRPr="00445116">
              <w:rPr>
                <w:b w:val="0"/>
                <w:bCs/>
              </w:rPr>
              <w:t xml:space="preserve">  2,395</w:t>
            </w:r>
          </w:p>
        </w:tc>
        <w:tc>
          <w:tcPr>
            <w:tcW w:w="904" w:type="pct"/>
            <w:tcBorders>
              <w:top w:val="nil"/>
              <w:left w:val="nil"/>
              <w:bottom w:val="single" w:sz="8" w:space="0" w:color="auto"/>
              <w:right w:val="nil"/>
            </w:tcBorders>
            <w:tcMar>
              <w:top w:w="0" w:type="dxa"/>
              <w:left w:w="108" w:type="dxa"/>
              <w:bottom w:w="0" w:type="dxa"/>
              <w:right w:w="108" w:type="dxa"/>
            </w:tcMar>
            <w:hideMark/>
          </w:tcPr>
          <w:p w14:paraId="189EAE36" w14:textId="77777777" w:rsidR="0016369A" w:rsidRPr="00445116" w:rsidRDefault="0016369A" w:rsidP="005001BB">
            <w:pPr>
              <w:pStyle w:val="TableText"/>
              <w:rPr>
                <w:b w:val="0"/>
                <w:bCs/>
              </w:rPr>
            </w:pPr>
            <w:r w:rsidRPr="00445116">
              <w:rPr>
                <w:b w:val="0"/>
                <w:bCs/>
              </w:rPr>
              <w:t xml:space="preserve">     859</w:t>
            </w:r>
          </w:p>
        </w:tc>
        <w:tc>
          <w:tcPr>
            <w:tcW w:w="859" w:type="pct"/>
            <w:tcBorders>
              <w:top w:val="nil"/>
              <w:left w:val="nil"/>
              <w:bottom w:val="single" w:sz="8" w:space="0" w:color="auto"/>
              <w:right w:val="nil"/>
            </w:tcBorders>
            <w:tcMar>
              <w:top w:w="0" w:type="dxa"/>
              <w:left w:w="108" w:type="dxa"/>
              <w:bottom w:w="0" w:type="dxa"/>
              <w:right w:w="108" w:type="dxa"/>
            </w:tcMar>
            <w:hideMark/>
          </w:tcPr>
          <w:p w14:paraId="1A8E15DA" w14:textId="77777777" w:rsidR="0016369A" w:rsidRPr="00445116" w:rsidRDefault="0016369A" w:rsidP="005001BB">
            <w:pPr>
              <w:pStyle w:val="TableText"/>
              <w:rPr>
                <w:b w:val="0"/>
                <w:bCs/>
              </w:rPr>
            </w:pPr>
            <w:r w:rsidRPr="00445116">
              <w:rPr>
                <w:b w:val="0"/>
                <w:bCs/>
              </w:rPr>
              <w:t xml:space="preserve">   1,037</w:t>
            </w:r>
          </w:p>
        </w:tc>
        <w:tc>
          <w:tcPr>
            <w:tcW w:w="859" w:type="pct"/>
            <w:tcBorders>
              <w:top w:val="nil"/>
              <w:left w:val="nil"/>
              <w:bottom w:val="single" w:sz="8" w:space="0" w:color="auto"/>
              <w:right w:val="nil"/>
            </w:tcBorders>
            <w:tcMar>
              <w:top w:w="0" w:type="dxa"/>
              <w:left w:w="108" w:type="dxa"/>
              <w:bottom w:w="0" w:type="dxa"/>
              <w:right w:w="108" w:type="dxa"/>
            </w:tcMar>
            <w:hideMark/>
          </w:tcPr>
          <w:p w14:paraId="57E90391" w14:textId="77777777" w:rsidR="0016369A" w:rsidRPr="00445116" w:rsidRDefault="0016369A" w:rsidP="005001BB">
            <w:pPr>
              <w:pStyle w:val="TableText"/>
              <w:rPr>
                <w:b w:val="0"/>
                <w:bCs/>
              </w:rPr>
            </w:pPr>
            <w:r w:rsidRPr="00445116">
              <w:rPr>
                <w:b w:val="0"/>
                <w:bCs/>
              </w:rPr>
              <w:t xml:space="preserve">  1,815</w:t>
            </w:r>
          </w:p>
        </w:tc>
      </w:tr>
      <w:tr w:rsidR="0016369A" w:rsidRPr="00445116" w14:paraId="18225A85" w14:textId="77777777" w:rsidTr="005001BB">
        <w:tc>
          <w:tcPr>
            <w:tcW w:w="1474" w:type="pct"/>
            <w:tcBorders>
              <w:top w:val="nil"/>
              <w:left w:val="nil"/>
              <w:bottom w:val="single" w:sz="8" w:space="0" w:color="auto"/>
              <w:right w:val="nil"/>
            </w:tcBorders>
            <w:tcMar>
              <w:top w:w="0" w:type="dxa"/>
              <w:left w:w="108" w:type="dxa"/>
              <w:bottom w:w="0" w:type="dxa"/>
              <w:right w:w="108" w:type="dxa"/>
            </w:tcMar>
            <w:hideMark/>
          </w:tcPr>
          <w:p w14:paraId="6428C93C" w14:textId="77777777" w:rsidR="0016369A" w:rsidRPr="00445116" w:rsidRDefault="0016369A" w:rsidP="005001BB">
            <w:pPr>
              <w:pStyle w:val="TableText"/>
              <w:rPr>
                <w:rStyle w:val="Strong"/>
              </w:rPr>
            </w:pPr>
            <w:r w:rsidRPr="00445116">
              <w:rPr>
                <w:rStyle w:val="Strong"/>
              </w:rPr>
              <w:t>Total</w:t>
            </w:r>
          </w:p>
        </w:tc>
        <w:tc>
          <w:tcPr>
            <w:tcW w:w="904" w:type="pct"/>
            <w:tcBorders>
              <w:top w:val="nil"/>
              <w:left w:val="nil"/>
              <w:bottom w:val="single" w:sz="8" w:space="0" w:color="auto"/>
              <w:right w:val="nil"/>
            </w:tcBorders>
            <w:tcMar>
              <w:top w:w="0" w:type="dxa"/>
              <w:left w:w="108" w:type="dxa"/>
              <w:bottom w:w="0" w:type="dxa"/>
              <w:right w:w="108" w:type="dxa"/>
            </w:tcMar>
          </w:tcPr>
          <w:p w14:paraId="0BBCE482" w14:textId="77777777" w:rsidR="0016369A" w:rsidRPr="00445116" w:rsidRDefault="0016369A" w:rsidP="005001BB">
            <w:pPr>
              <w:pStyle w:val="TableText"/>
              <w:rPr>
                <w:b w:val="0"/>
                <w:bCs/>
                <w:lang w:eastAsia="en-AU"/>
              </w:rPr>
            </w:pPr>
            <w:r w:rsidRPr="00445116">
              <w:rPr>
                <w:b w:val="0"/>
                <w:bCs/>
                <w:lang w:eastAsia="en-AU"/>
              </w:rPr>
              <w:t>31,757</w:t>
            </w:r>
          </w:p>
        </w:tc>
        <w:tc>
          <w:tcPr>
            <w:tcW w:w="904" w:type="pct"/>
            <w:tcBorders>
              <w:top w:val="nil"/>
              <w:left w:val="nil"/>
              <w:bottom w:val="single" w:sz="8" w:space="0" w:color="auto"/>
              <w:right w:val="nil"/>
            </w:tcBorders>
            <w:tcMar>
              <w:top w:w="0" w:type="dxa"/>
              <w:left w:w="108" w:type="dxa"/>
              <w:bottom w:w="0" w:type="dxa"/>
              <w:right w:w="108" w:type="dxa"/>
            </w:tcMar>
            <w:hideMark/>
          </w:tcPr>
          <w:p w14:paraId="6896FD4E" w14:textId="77777777" w:rsidR="0016369A" w:rsidRPr="00445116" w:rsidRDefault="0016369A" w:rsidP="005001BB">
            <w:pPr>
              <w:pStyle w:val="TableText"/>
              <w:rPr>
                <w:b w:val="0"/>
                <w:bCs/>
              </w:rPr>
            </w:pPr>
            <w:r w:rsidRPr="00445116">
              <w:rPr>
                <w:b w:val="0"/>
                <w:bCs/>
              </w:rPr>
              <w:t>29,454</w:t>
            </w:r>
          </w:p>
        </w:tc>
        <w:tc>
          <w:tcPr>
            <w:tcW w:w="859" w:type="pct"/>
            <w:tcBorders>
              <w:top w:val="nil"/>
              <w:left w:val="nil"/>
              <w:bottom w:val="single" w:sz="8" w:space="0" w:color="auto"/>
              <w:right w:val="nil"/>
            </w:tcBorders>
            <w:tcMar>
              <w:top w:w="0" w:type="dxa"/>
              <w:left w:w="108" w:type="dxa"/>
              <w:bottom w:w="0" w:type="dxa"/>
              <w:right w:w="108" w:type="dxa"/>
            </w:tcMar>
            <w:hideMark/>
          </w:tcPr>
          <w:p w14:paraId="03808E61" w14:textId="77777777" w:rsidR="0016369A" w:rsidRPr="00445116" w:rsidRDefault="0016369A" w:rsidP="005001BB">
            <w:pPr>
              <w:pStyle w:val="TableText"/>
              <w:rPr>
                <w:b w:val="0"/>
                <w:bCs/>
              </w:rPr>
            </w:pPr>
            <w:r w:rsidRPr="00445116">
              <w:rPr>
                <w:b w:val="0"/>
                <w:bCs/>
              </w:rPr>
              <w:t>24,918</w:t>
            </w:r>
          </w:p>
        </w:tc>
        <w:tc>
          <w:tcPr>
            <w:tcW w:w="859" w:type="pct"/>
            <w:tcBorders>
              <w:top w:val="nil"/>
              <w:left w:val="nil"/>
              <w:bottom w:val="single" w:sz="8" w:space="0" w:color="auto"/>
              <w:right w:val="nil"/>
            </w:tcBorders>
            <w:tcMar>
              <w:top w:w="0" w:type="dxa"/>
              <w:left w:w="108" w:type="dxa"/>
              <w:bottom w:w="0" w:type="dxa"/>
              <w:right w:w="108" w:type="dxa"/>
            </w:tcMar>
            <w:hideMark/>
          </w:tcPr>
          <w:p w14:paraId="75E2C812" w14:textId="77777777" w:rsidR="0016369A" w:rsidRPr="00445116" w:rsidRDefault="0016369A" w:rsidP="005001BB">
            <w:pPr>
              <w:pStyle w:val="TableText"/>
              <w:rPr>
                <w:b w:val="0"/>
                <w:bCs/>
              </w:rPr>
            </w:pPr>
            <w:r w:rsidRPr="00445116">
              <w:rPr>
                <w:b w:val="0"/>
                <w:bCs/>
              </w:rPr>
              <w:t>24,128</w:t>
            </w:r>
          </w:p>
        </w:tc>
      </w:tr>
    </w:tbl>
    <w:p w14:paraId="78F75D15" w14:textId="77777777" w:rsidR="0016369A" w:rsidRPr="00445116" w:rsidRDefault="0016369A" w:rsidP="0016369A">
      <w:pPr>
        <w:ind w:left="720"/>
        <w:rPr>
          <w:rFonts w:ascii="Calibri Light" w:hAnsi="Calibri Light" w:cs="Calibri Light"/>
          <w:sz w:val="20"/>
          <w:szCs w:val="20"/>
        </w:rPr>
      </w:pPr>
      <w:proofErr w:type="spellStart"/>
      <w:proofErr w:type="gramStart"/>
      <w:r w:rsidRPr="00445116">
        <w:rPr>
          <w:rFonts w:ascii="Calibri Light" w:hAnsi="Calibri Light" w:cs="Calibri Light"/>
          <w:sz w:val="20"/>
          <w:szCs w:val="20"/>
          <w:vertAlign w:val="superscript"/>
        </w:rPr>
        <w:t>a</w:t>
      </w:r>
      <w:proofErr w:type="spellEnd"/>
      <w:proofErr w:type="gramEnd"/>
      <w:r w:rsidRPr="00445116">
        <w:rPr>
          <w:rFonts w:ascii="Calibri Light" w:hAnsi="Calibri Light" w:cs="Calibri Light"/>
          <w:sz w:val="20"/>
          <w:szCs w:val="20"/>
        </w:rPr>
        <w:t xml:space="preserve"> Import conditions for deveining of uncooked prawns implemented in July 2020</w:t>
      </w:r>
    </w:p>
    <w:p w14:paraId="44BAD462" w14:textId="77777777" w:rsidR="0016369A" w:rsidRPr="00445116" w:rsidRDefault="0016369A" w:rsidP="0016369A">
      <w:pPr>
        <w:ind w:left="720"/>
        <w:rPr>
          <w:rFonts w:ascii="Calibri Light" w:hAnsi="Calibri Light" w:cs="Calibri Light"/>
          <w:sz w:val="20"/>
          <w:szCs w:val="20"/>
        </w:rPr>
      </w:pPr>
      <w:r w:rsidRPr="00445116">
        <w:rPr>
          <w:rFonts w:ascii="Calibri Light" w:hAnsi="Calibri Light" w:cs="Calibri Light"/>
          <w:sz w:val="20"/>
          <w:szCs w:val="20"/>
          <w:vertAlign w:val="superscript"/>
        </w:rPr>
        <w:t xml:space="preserve">b </w:t>
      </w:r>
      <w:r w:rsidRPr="00445116">
        <w:rPr>
          <w:rFonts w:ascii="Calibri Light" w:hAnsi="Calibri Light" w:cs="Calibri Light"/>
          <w:sz w:val="20"/>
          <w:szCs w:val="20"/>
        </w:rPr>
        <w:t>Import conditions for breaded, battered and crumbed prawns implemented in September 2018</w:t>
      </w:r>
    </w:p>
    <w:p w14:paraId="4E7280DA" w14:textId="4865FF32" w:rsidR="0016369A" w:rsidRPr="00445116" w:rsidRDefault="0016369A" w:rsidP="0016369A">
      <w:pPr>
        <w:ind w:left="720"/>
        <w:rPr>
          <w:rFonts w:ascii="Calibri Light" w:hAnsi="Calibri Light" w:cs="Calibri Light"/>
          <w:sz w:val="20"/>
          <w:szCs w:val="20"/>
        </w:rPr>
      </w:pPr>
      <w:r w:rsidRPr="00445116">
        <w:rPr>
          <w:rFonts w:ascii="Calibri Light" w:hAnsi="Calibri Light" w:cs="Calibri Light"/>
          <w:sz w:val="20"/>
          <w:szCs w:val="20"/>
          <w:vertAlign w:val="superscript"/>
        </w:rPr>
        <w:t>c</w:t>
      </w:r>
      <w:r w:rsidRPr="00445116">
        <w:rPr>
          <w:rFonts w:ascii="Calibri Light" w:hAnsi="Calibri Light" w:cs="Calibri Light"/>
          <w:sz w:val="20"/>
          <w:szCs w:val="20"/>
        </w:rPr>
        <w:t xml:space="preserve"> Other prawn products refers to all shelf stable prawn products including dried shrimp, prawn crackers and shelf-stable prawn paste. An import permit is not required for these goods.</w:t>
      </w:r>
    </w:p>
    <w:p w14:paraId="0BFBFC0E" w14:textId="77777777" w:rsidR="00742570" w:rsidRPr="00445116" w:rsidRDefault="00742570" w:rsidP="0016369A">
      <w:pPr>
        <w:ind w:left="720"/>
        <w:rPr>
          <w:rFonts w:ascii="Calibri Light" w:hAnsi="Calibri Light" w:cs="Calibri Light"/>
          <w:sz w:val="20"/>
          <w:szCs w:val="20"/>
        </w:rPr>
      </w:pPr>
    </w:p>
    <w:p w14:paraId="1CFC7D42" w14:textId="10742B53" w:rsidR="00742570" w:rsidRPr="00445116" w:rsidRDefault="00672A79" w:rsidP="00742570">
      <w:pPr>
        <w:rPr>
          <w:bCs/>
        </w:rPr>
      </w:pPr>
      <w:r w:rsidRPr="00445116">
        <w:rPr>
          <w:bCs/>
        </w:rPr>
        <w:t>The figures for imports in Table 1 include Australian-caught prawns processed overseas and re-imported into Australia.  In 2019-20, this was 7.8% of the total imports, down from 9.9 % in the period of 2017-2019</w:t>
      </w:r>
      <w:r w:rsidR="000F0C07" w:rsidRPr="00445116">
        <w:rPr>
          <w:bCs/>
        </w:rPr>
        <w:t>.</w:t>
      </w:r>
      <w:r w:rsidR="00742570" w:rsidRPr="00445116">
        <w:rPr>
          <w:bCs/>
        </w:rPr>
        <w:t xml:space="preserve"> </w:t>
      </w:r>
    </w:p>
    <w:p w14:paraId="61F9EB55" w14:textId="5D016539" w:rsidR="00672A79" w:rsidRPr="00445116" w:rsidRDefault="00672A79" w:rsidP="00672A79">
      <w:pPr>
        <w:rPr>
          <w:bCs/>
        </w:rPr>
      </w:pPr>
      <w:r w:rsidRPr="00445116">
        <w:rPr>
          <w:bCs/>
        </w:rPr>
        <w:t xml:space="preserve">When all relevant information is brought together, it is evident that trade impacts (both domestic and imports) of biosecurity measures can be considerable.  Data from the </w:t>
      </w:r>
      <w:r w:rsidR="00DE40B3" w:rsidRPr="00445116">
        <w:rPr>
          <w:bCs/>
        </w:rPr>
        <w:t>D</w:t>
      </w:r>
      <w:r w:rsidRPr="00445116">
        <w:rPr>
          <w:bCs/>
        </w:rPr>
        <w:t xml:space="preserve">epartment for frozen, raw prawns (Table 1) shows the new biosecurity measures introduced in 2017 did lead to a considerable drop in volumes imported.  The magnitude of imports of raw prawns is yet to recover.  </w:t>
      </w:r>
    </w:p>
    <w:p w14:paraId="409BBD04" w14:textId="11C30814" w:rsidR="00192212" w:rsidRPr="00445116" w:rsidRDefault="00192212" w:rsidP="00926278">
      <w:pPr>
        <w:rPr>
          <w:bCs/>
        </w:rPr>
      </w:pPr>
      <w:r w:rsidRPr="00445116">
        <w:rPr>
          <w:bCs/>
        </w:rPr>
        <w:t>The extent of economic impacts on the Australian industry of an exotic pathogen outbreak can also be affected by the time it takes for aquaculture harvests to recover and on the impact of mortality in wild populations.  While the Draft Report refers to some overseas data that suggest that recovery in aquaculture can occur by restocking with resistant species, this was undertaken using prawn species not present in Australia.  Further, one stakeholder submission provided data that suggested that mortality of prawns in Morton Bay was affected by WSSV.  Given the importance of wild-caught prawns to the Australian industry (currently more than 75% of production)</w:t>
      </w:r>
      <w:r w:rsidR="00203D4D" w:rsidRPr="00445116">
        <w:rPr>
          <w:bCs/>
        </w:rPr>
        <w:t>,</w:t>
      </w:r>
      <w:r w:rsidRPr="00445116">
        <w:rPr>
          <w:bCs/>
        </w:rPr>
        <w:t xml:space="preserve"> the Department needs to </w:t>
      </w:r>
      <w:r w:rsidR="007A48D3" w:rsidRPr="00445116">
        <w:rPr>
          <w:bCs/>
        </w:rPr>
        <w:t>re</w:t>
      </w:r>
      <w:r w:rsidR="00451A96" w:rsidRPr="00445116">
        <w:rPr>
          <w:bCs/>
        </w:rPr>
        <w:t xml:space="preserve">consider </w:t>
      </w:r>
      <w:r w:rsidR="005A11CE" w:rsidRPr="00445116">
        <w:rPr>
          <w:bCs/>
        </w:rPr>
        <w:t xml:space="preserve">its comments on impacts on local production in light of new data </w:t>
      </w:r>
      <w:r w:rsidRPr="00445116">
        <w:rPr>
          <w:bCs/>
        </w:rPr>
        <w:t>provided</w:t>
      </w:r>
      <w:r w:rsidR="00451A96" w:rsidRPr="00445116">
        <w:rPr>
          <w:bCs/>
        </w:rPr>
        <w:t xml:space="preserve"> in submissions</w:t>
      </w:r>
      <w:r w:rsidR="00672A79" w:rsidRPr="00445116">
        <w:rPr>
          <w:bCs/>
        </w:rPr>
        <w:t xml:space="preserve"> and adjust if necessary</w:t>
      </w:r>
      <w:r w:rsidR="005A11CE" w:rsidRPr="00445116">
        <w:rPr>
          <w:bCs/>
        </w:rPr>
        <w:t xml:space="preserve">.  </w:t>
      </w:r>
    </w:p>
    <w:p w14:paraId="19B69297" w14:textId="0AD3A5A9" w:rsidR="00451A96" w:rsidRPr="00445116" w:rsidRDefault="00926278" w:rsidP="00926278">
      <w:pPr>
        <w:rPr>
          <w:bCs/>
        </w:rPr>
      </w:pPr>
      <w:r w:rsidRPr="00445116">
        <w:rPr>
          <w:bCs/>
        </w:rPr>
        <w:t xml:space="preserve">Also relevant to economic impact </w:t>
      </w:r>
      <w:r w:rsidR="00451A96" w:rsidRPr="00445116">
        <w:rPr>
          <w:bCs/>
        </w:rPr>
        <w:t xml:space="preserve">are </w:t>
      </w:r>
      <w:r w:rsidRPr="00445116">
        <w:rPr>
          <w:bCs/>
        </w:rPr>
        <w:t>the changes in local production costs (page 86</w:t>
      </w:r>
      <w:r w:rsidR="00451A96" w:rsidRPr="00445116">
        <w:rPr>
          <w:bCs/>
        </w:rPr>
        <w:t xml:space="preserve"> of the Draft Report</w:t>
      </w:r>
      <w:r w:rsidRPr="00445116">
        <w:rPr>
          <w:bCs/>
        </w:rPr>
        <w:t>) through extra biosecurity measures to prevent incursion from wild populations to farms, plus the possible loss of production.  The Expert Panel suggests that there is an opportunity to discuss the continuum of biosecurity and that no border can be risk free, either in practice or in terms of international trade rules</w:t>
      </w:r>
      <w:r w:rsidR="00451A96" w:rsidRPr="00445116">
        <w:rPr>
          <w:bCs/>
        </w:rPr>
        <w:t xml:space="preserve"> (see Section 2C)</w:t>
      </w:r>
      <w:r w:rsidRPr="00445116">
        <w:rPr>
          <w:bCs/>
        </w:rPr>
        <w:t xml:space="preserve">.  </w:t>
      </w:r>
    </w:p>
    <w:p w14:paraId="56086427" w14:textId="4769699D" w:rsidR="009D0471" w:rsidRPr="00445116" w:rsidRDefault="006975E7" w:rsidP="009D0471">
      <w:r w:rsidRPr="00445116">
        <w:rPr>
          <w:bCs/>
        </w:rPr>
        <w:lastRenderedPageBreak/>
        <w:t xml:space="preserve">There are no data provided on the cost/benefit of biosecurity measures.  The </w:t>
      </w:r>
      <w:r w:rsidR="00DF33FD" w:rsidRPr="00445116">
        <w:rPr>
          <w:bCs/>
        </w:rPr>
        <w:t>D</w:t>
      </w:r>
      <w:r w:rsidRPr="00445116">
        <w:rPr>
          <w:bCs/>
        </w:rPr>
        <w:t xml:space="preserve">epartment </w:t>
      </w:r>
      <w:r w:rsidR="009D0471" w:rsidRPr="00445116">
        <w:rPr>
          <w:bCs/>
        </w:rPr>
        <w:t xml:space="preserve">indicated </w:t>
      </w:r>
      <w:r w:rsidRPr="00445116">
        <w:rPr>
          <w:bCs/>
        </w:rPr>
        <w:t>to the Expert Panel</w:t>
      </w:r>
      <w:r w:rsidR="009D0471" w:rsidRPr="00445116">
        <w:rPr>
          <w:bCs/>
        </w:rPr>
        <w:t xml:space="preserve"> that it</w:t>
      </w:r>
      <w:r w:rsidR="0082209C" w:rsidRPr="00445116">
        <w:rPr>
          <w:bCs/>
        </w:rPr>
        <w:t xml:space="preserve">s risk assessments focus on </w:t>
      </w:r>
      <w:r w:rsidRPr="00445116">
        <w:t>whether a biosecurity measures achieves ALOP, if it is operationally implementable</w:t>
      </w:r>
      <w:r w:rsidR="0082209C" w:rsidRPr="00445116">
        <w:t>,</w:t>
      </w:r>
      <w:r w:rsidRPr="00445116">
        <w:t xml:space="preserve"> and if </w:t>
      </w:r>
      <w:r w:rsidR="009D0471" w:rsidRPr="00445116">
        <w:t xml:space="preserve">it </w:t>
      </w:r>
      <w:r w:rsidRPr="00445116">
        <w:t>can confirm that the measure would be properly implemented and would deliver the desired effect.</w:t>
      </w:r>
      <w:r w:rsidR="009D0471" w:rsidRPr="00445116">
        <w:t xml:space="preserve">  </w:t>
      </w:r>
    </w:p>
    <w:p w14:paraId="564FBDDD" w14:textId="0213B4DF" w:rsidR="009D0471" w:rsidRPr="00445116" w:rsidRDefault="009D0471" w:rsidP="009D0471">
      <w:pPr>
        <w:rPr>
          <w:i/>
          <w:iCs/>
        </w:rPr>
      </w:pPr>
      <w:r w:rsidRPr="00445116">
        <w:t xml:space="preserve">The Expert Panel agrees that the biosecurity measures outlined in the Draft Report offer a range of options to manage </w:t>
      </w:r>
      <w:r w:rsidR="006975E7" w:rsidRPr="00445116">
        <w:t xml:space="preserve">the biosecurity risk to importers, exporters and therefore consumers. </w:t>
      </w:r>
      <w:r w:rsidRPr="00445116">
        <w:t>It is a commercial decision as to what product type is imported into Australia and it is a user pays system, so the importers may determine whether the cost of importation makes the process worth it for them or not</w:t>
      </w:r>
      <w:r w:rsidRPr="00445116">
        <w:rPr>
          <w:i/>
          <w:iCs/>
        </w:rPr>
        <w:t>.</w:t>
      </w:r>
    </w:p>
    <w:p w14:paraId="71022EC9" w14:textId="32058D5E" w:rsidR="007D5094" w:rsidRPr="00445116" w:rsidRDefault="006975E7" w:rsidP="007D5094">
      <w:pPr>
        <w:rPr>
          <w:bCs/>
        </w:rPr>
      </w:pPr>
      <w:r w:rsidRPr="00445116">
        <w:rPr>
          <w:bCs/>
        </w:rPr>
        <w:t xml:space="preserve">The Expert Panel encourages the </w:t>
      </w:r>
      <w:r w:rsidR="00DF33FD" w:rsidRPr="00445116">
        <w:rPr>
          <w:bCs/>
        </w:rPr>
        <w:t>D</w:t>
      </w:r>
      <w:r w:rsidRPr="00445116">
        <w:rPr>
          <w:bCs/>
        </w:rPr>
        <w:t xml:space="preserve">epartment to make </w:t>
      </w:r>
      <w:r w:rsidR="006972E0" w:rsidRPr="00445116">
        <w:rPr>
          <w:bCs/>
        </w:rPr>
        <w:t xml:space="preserve">the intent of this </w:t>
      </w:r>
      <w:r w:rsidRPr="00445116">
        <w:rPr>
          <w:bCs/>
        </w:rPr>
        <w:t xml:space="preserve">advice explicit in the </w:t>
      </w:r>
      <w:r w:rsidR="00E076E2" w:rsidRPr="00445116">
        <w:rPr>
          <w:bCs/>
        </w:rPr>
        <w:t>Provisional Final Report</w:t>
      </w:r>
      <w:r w:rsidR="006972E0" w:rsidRPr="00445116">
        <w:rPr>
          <w:bCs/>
        </w:rPr>
        <w:t>, possibly as a preamble to Chapter 16 (Proposed biosecurity measures for imported prawns).</w:t>
      </w:r>
      <w:r w:rsidR="007D5094" w:rsidRPr="00445116">
        <w:rPr>
          <w:bCs/>
        </w:rPr>
        <w:t xml:space="preserve">  Frozen, raw prawns are used extensively in, and often preferred by the Australian catering and service industries </w:t>
      </w:r>
      <w:r w:rsidR="00E076E2" w:rsidRPr="00445116">
        <w:rPr>
          <w:bCs/>
        </w:rPr>
        <w:t xml:space="preserve">for use in </w:t>
      </w:r>
      <w:r w:rsidR="007D5094" w:rsidRPr="00445116">
        <w:rPr>
          <w:bCs/>
        </w:rPr>
        <w:t>many different seafood products and meals (</w:t>
      </w:r>
      <w:r w:rsidR="00704558" w:rsidRPr="00445116">
        <w:rPr>
          <w:bCs/>
        </w:rPr>
        <w:t>e.g.,</w:t>
      </w:r>
      <w:r w:rsidR="007D5094" w:rsidRPr="00445116">
        <w:rPr>
          <w:bCs/>
        </w:rPr>
        <w:t xml:space="preserve"> Asian cuisines).  The current Australian production cannot meet consumer demand, so </w:t>
      </w:r>
      <w:r w:rsidR="00E076E2" w:rsidRPr="00445116">
        <w:rPr>
          <w:bCs/>
        </w:rPr>
        <w:t xml:space="preserve">the </w:t>
      </w:r>
      <w:r w:rsidR="007D5094" w:rsidRPr="00445116">
        <w:rPr>
          <w:bCs/>
        </w:rPr>
        <w:t xml:space="preserve">proposed biosecurity </w:t>
      </w:r>
      <w:r w:rsidR="009D0471" w:rsidRPr="00445116">
        <w:rPr>
          <w:bCs/>
        </w:rPr>
        <w:t xml:space="preserve">measures allow importers to </w:t>
      </w:r>
      <w:r w:rsidR="00FA686D" w:rsidRPr="00445116">
        <w:rPr>
          <w:bCs/>
        </w:rPr>
        <w:t>meet the</w:t>
      </w:r>
      <w:r w:rsidR="00F254A1" w:rsidRPr="00445116">
        <w:rPr>
          <w:bCs/>
        </w:rPr>
        <w:t xml:space="preserve"> demand for</w:t>
      </w:r>
      <w:r w:rsidR="00451A96" w:rsidRPr="00445116">
        <w:rPr>
          <w:bCs/>
        </w:rPr>
        <w:t xml:space="preserve"> this type of</w:t>
      </w:r>
      <w:r w:rsidR="00E076E2" w:rsidRPr="00445116">
        <w:rPr>
          <w:bCs/>
        </w:rPr>
        <w:t xml:space="preserve"> product. </w:t>
      </w:r>
    </w:p>
    <w:tbl>
      <w:tblPr>
        <w:tblStyle w:val="TableGrid"/>
        <w:tblW w:w="0" w:type="auto"/>
        <w:tblLook w:val="04A0" w:firstRow="1" w:lastRow="0" w:firstColumn="1" w:lastColumn="0" w:noHBand="0" w:noVBand="1"/>
      </w:tblPr>
      <w:tblGrid>
        <w:gridCol w:w="9016"/>
      </w:tblGrid>
      <w:tr w:rsidR="0083272D" w:rsidRPr="00445116" w14:paraId="7E1892F2" w14:textId="77777777" w:rsidTr="0083272D">
        <w:tc>
          <w:tcPr>
            <w:tcW w:w="9016" w:type="dxa"/>
          </w:tcPr>
          <w:p w14:paraId="00B665D2" w14:textId="7495D8B2" w:rsidR="0083272D" w:rsidRPr="00445116" w:rsidRDefault="0083272D" w:rsidP="0016369A">
            <w:pPr>
              <w:rPr>
                <w:b/>
              </w:rPr>
            </w:pPr>
            <w:r w:rsidRPr="00445116">
              <w:rPr>
                <w:b/>
              </w:rPr>
              <w:t>Recommendation</w:t>
            </w:r>
            <w:r w:rsidR="00FA686D" w:rsidRPr="00445116">
              <w:rPr>
                <w:b/>
              </w:rPr>
              <w:t xml:space="preserve"> 3</w:t>
            </w:r>
            <w:r w:rsidRPr="00445116">
              <w:rPr>
                <w:b/>
              </w:rPr>
              <w:t xml:space="preserve">: </w:t>
            </w:r>
          </w:p>
          <w:p w14:paraId="12847210" w14:textId="2AF08118" w:rsidR="0083272D" w:rsidRPr="00445116" w:rsidRDefault="0083272D" w:rsidP="0083272D">
            <w:pPr>
              <w:rPr>
                <w:bCs/>
              </w:rPr>
            </w:pPr>
            <w:r w:rsidRPr="00445116">
              <w:rPr>
                <w:bCs/>
              </w:rPr>
              <w:t>The Provisional Final Report give</w:t>
            </w:r>
            <w:r w:rsidR="00DB79D8" w:rsidRPr="00445116">
              <w:rPr>
                <w:bCs/>
              </w:rPr>
              <w:t>s</w:t>
            </w:r>
            <w:r w:rsidRPr="00445116">
              <w:rPr>
                <w:bCs/>
              </w:rPr>
              <w:t xml:space="preserve"> a clearer account of the potential economic impacts of disease introduction to Australia.</w:t>
            </w:r>
          </w:p>
        </w:tc>
      </w:tr>
    </w:tbl>
    <w:p w14:paraId="4B48F215" w14:textId="33947478" w:rsidR="00D321B5" w:rsidRPr="00445116" w:rsidRDefault="00D321B5" w:rsidP="0016369A">
      <w:pPr>
        <w:rPr>
          <w:bCs/>
        </w:rPr>
      </w:pPr>
    </w:p>
    <w:p w14:paraId="7E7A3D56" w14:textId="28D27688" w:rsidR="0082354E" w:rsidRPr="00445116" w:rsidRDefault="0082354E" w:rsidP="00A82A48">
      <w:pPr>
        <w:pStyle w:val="Heading3"/>
      </w:pPr>
      <w:bookmarkStart w:id="19" w:name="_Toc72416535"/>
      <w:bookmarkStart w:id="20" w:name="_Toc72478342"/>
      <w:r w:rsidRPr="00445116">
        <w:t>(</w:t>
      </w:r>
      <w:r w:rsidR="007D5094" w:rsidRPr="00445116">
        <w:t>C</w:t>
      </w:r>
      <w:r w:rsidRPr="00445116">
        <w:t>)</w:t>
      </w:r>
      <w:r w:rsidR="001331CC">
        <w:t>.</w:t>
      </w:r>
      <w:r w:rsidRPr="00445116">
        <w:t xml:space="preserve"> That the conclusions of the draft prawn import review report are scientifically reasonable, based on the material presented, including consideration of material contained in stakeholder submissions to the draft report</w:t>
      </w:r>
      <w:bookmarkEnd w:id="19"/>
      <w:bookmarkEnd w:id="20"/>
    </w:p>
    <w:p w14:paraId="00EC3F3E" w14:textId="77777777" w:rsidR="0082354E" w:rsidRPr="00445116" w:rsidRDefault="0082354E" w:rsidP="008A24E6"/>
    <w:p w14:paraId="0C4D1AEE" w14:textId="17A14644" w:rsidR="00607A23" w:rsidRPr="00445116" w:rsidRDefault="00AB4F24" w:rsidP="00A82A48">
      <w:pPr>
        <w:pStyle w:val="Heading4"/>
      </w:pPr>
      <w:bookmarkStart w:id="21" w:name="_Toc72416536"/>
      <w:r w:rsidRPr="00445116">
        <w:t xml:space="preserve">Biosecurity </w:t>
      </w:r>
      <w:r w:rsidR="00FD7C71" w:rsidRPr="00445116">
        <w:t>measures</w:t>
      </w:r>
      <w:r w:rsidR="00E74264" w:rsidRPr="00445116">
        <w:t xml:space="preserve"> and </w:t>
      </w:r>
      <w:r w:rsidRPr="00445116">
        <w:t>treatment</w:t>
      </w:r>
      <w:r w:rsidR="00E74264" w:rsidRPr="00445116">
        <w:t>s</w:t>
      </w:r>
      <w:r w:rsidRPr="00445116">
        <w:t xml:space="preserve"> to reduce risk</w:t>
      </w:r>
      <w:r w:rsidR="00A7532B" w:rsidRPr="00445116">
        <w:t xml:space="preserve"> in </w:t>
      </w:r>
      <w:r w:rsidR="00DF33FD" w:rsidRPr="00445116">
        <w:t>p</w:t>
      </w:r>
      <w:r w:rsidR="00A7532B" w:rsidRPr="00445116">
        <w:t>rawns</w:t>
      </w:r>
      <w:bookmarkEnd w:id="21"/>
    </w:p>
    <w:p w14:paraId="69B2C31F" w14:textId="356E63DB" w:rsidR="0082354E" w:rsidRPr="00445116" w:rsidRDefault="00607A23" w:rsidP="00773F92">
      <w:pPr>
        <w:rPr>
          <w:bCs/>
        </w:rPr>
      </w:pPr>
      <w:r w:rsidRPr="00445116">
        <w:rPr>
          <w:bCs/>
        </w:rPr>
        <w:t xml:space="preserve">The proposed biosecurity </w:t>
      </w:r>
      <w:r w:rsidR="00DE40B3" w:rsidRPr="00445116">
        <w:rPr>
          <w:bCs/>
        </w:rPr>
        <w:t>measures</w:t>
      </w:r>
      <w:r w:rsidRPr="00445116">
        <w:rPr>
          <w:bCs/>
        </w:rPr>
        <w:t xml:space="preserve"> for the importation of prawns for human consumption into Australia give </w:t>
      </w:r>
      <w:r w:rsidR="00657D20" w:rsidRPr="00445116">
        <w:rPr>
          <w:bCs/>
        </w:rPr>
        <w:t xml:space="preserve">importers the choice of importing </w:t>
      </w:r>
      <w:r w:rsidR="00A667A1" w:rsidRPr="00445116">
        <w:rPr>
          <w:bCs/>
        </w:rPr>
        <w:t xml:space="preserve">frozen </w:t>
      </w:r>
      <w:r w:rsidRPr="00445116">
        <w:rPr>
          <w:bCs/>
        </w:rPr>
        <w:t>cooked</w:t>
      </w:r>
      <w:r w:rsidR="00255150" w:rsidRPr="00445116">
        <w:rPr>
          <w:bCs/>
        </w:rPr>
        <w:t>,</w:t>
      </w:r>
      <w:r w:rsidRPr="00445116">
        <w:rPr>
          <w:bCs/>
        </w:rPr>
        <w:t xml:space="preserve"> or </w:t>
      </w:r>
      <w:r w:rsidR="00A35ED5" w:rsidRPr="00445116">
        <w:rPr>
          <w:bCs/>
        </w:rPr>
        <w:t xml:space="preserve">head and shell removed plus deveined </w:t>
      </w:r>
      <w:r w:rsidRPr="00445116">
        <w:rPr>
          <w:bCs/>
        </w:rPr>
        <w:t>uncooked prawns</w:t>
      </w:r>
      <w:r w:rsidR="00255150" w:rsidRPr="00445116">
        <w:rPr>
          <w:bCs/>
        </w:rPr>
        <w:t>,</w:t>
      </w:r>
      <w:r w:rsidR="00657D20" w:rsidRPr="00445116">
        <w:rPr>
          <w:bCs/>
        </w:rPr>
        <w:t xml:space="preserve"> </w:t>
      </w:r>
      <w:r w:rsidR="00A35ED5" w:rsidRPr="00445116">
        <w:rPr>
          <w:bCs/>
        </w:rPr>
        <w:t>or prawns processed into a value-added product</w:t>
      </w:r>
      <w:r w:rsidR="00657D20" w:rsidRPr="00445116">
        <w:rPr>
          <w:bCs/>
        </w:rPr>
        <w:t xml:space="preserve"> to meet market demand. </w:t>
      </w:r>
      <w:r w:rsidRPr="00445116">
        <w:rPr>
          <w:bCs/>
        </w:rPr>
        <w:t xml:space="preserve"> </w:t>
      </w:r>
      <w:r w:rsidR="000060B5" w:rsidRPr="00445116">
        <w:rPr>
          <w:bCs/>
        </w:rPr>
        <w:t xml:space="preserve">To reduce the risk of the </w:t>
      </w:r>
      <w:r w:rsidR="00A7532B" w:rsidRPr="00445116">
        <w:rPr>
          <w:bCs/>
        </w:rPr>
        <w:t xml:space="preserve">ten </w:t>
      </w:r>
      <w:r w:rsidR="00740305" w:rsidRPr="00445116">
        <w:rPr>
          <w:bCs/>
        </w:rPr>
        <w:t xml:space="preserve">identified </w:t>
      </w:r>
      <w:r w:rsidR="00C2260A" w:rsidRPr="00445116">
        <w:rPr>
          <w:bCs/>
        </w:rPr>
        <w:t xml:space="preserve">hazards </w:t>
      </w:r>
      <w:r w:rsidR="000060B5" w:rsidRPr="00445116">
        <w:rPr>
          <w:bCs/>
        </w:rPr>
        <w:t>entering and infecting aquatic resources, the Draft Report proposes that all</w:t>
      </w:r>
      <w:r w:rsidR="00585FD1" w:rsidRPr="00445116">
        <w:rPr>
          <w:bCs/>
        </w:rPr>
        <w:t xml:space="preserve"> </w:t>
      </w:r>
      <w:r w:rsidR="00740305" w:rsidRPr="00445116">
        <w:rPr>
          <w:bCs/>
        </w:rPr>
        <w:t xml:space="preserve">uncooked prawns </w:t>
      </w:r>
      <w:r w:rsidR="00BE4543" w:rsidRPr="00445116">
        <w:rPr>
          <w:bCs/>
        </w:rPr>
        <w:t xml:space="preserve">imported </w:t>
      </w:r>
      <w:r w:rsidR="00740305" w:rsidRPr="00445116">
        <w:rPr>
          <w:bCs/>
        </w:rPr>
        <w:t xml:space="preserve">for human consumption </w:t>
      </w:r>
      <w:r w:rsidR="000060B5" w:rsidRPr="00445116">
        <w:rPr>
          <w:bCs/>
        </w:rPr>
        <w:t xml:space="preserve">be subject to </w:t>
      </w:r>
      <w:r w:rsidR="00D857B5" w:rsidRPr="00445116">
        <w:rPr>
          <w:bCs/>
        </w:rPr>
        <w:t xml:space="preserve">the </w:t>
      </w:r>
      <w:r w:rsidR="0082354E" w:rsidRPr="00445116">
        <w:rPr>
          <w:bCs/>
        </w:rPr>
        <w:t xml:space="preserve">following </w:t>
      </w:r>
      <w:r w:rsidR="00671605" w:rsidRPr="00445116">
        <w:rPr>
          <w:bCs/>
        </w:rPr>
        <w:t xml:space="preserve">attestations </w:t>
      </w:r>
      <w:r w:rsidR="000060B5" w:rsidRPr="00445116">
        <w:rPr>
          <w:bCs/>
        </w:rPr>
        <w:t xml:space="preserve">under the </w:t>
      </w:r>
      <w:r w:rsidR="00A7532B" w:rsidRPr="00445116">
        <w:rPr>
          <w:bCs/>
        </w:rPr>
        <w:t xml:space="preserve">official </w:t>
      </w:r>
      <w:r w:rsidR="002E063F" w:rsidRPr="00445116">
        <w:rPr>
          <w:bCs/>
        </w:rPr>
        <w:t>certification from</w:t>
      </w:r>
      <w:r w:rsidR="00A7532B" w:rsidRPr="00445116">
        <w:rPr>
          <w:bCs/>
        </w:rPr>
        <w:t xml:space="preserve"> </w:t>
      </w:r>
      <w:r w:rsidR="00D857B5" w:rsidRPr="00445116">
        <w:rPr>
          <w:bCs/>
        </w:rPr>
        <w:t xml:space="preserve">a </w:t>
      </w:r>
      <w:r w:rsidR="000060B5" w:rsidRPr="00445116">
        <w:rPr>
          <w:bCs/>
        </w:rPr>
        <w:t>Competent Authority (CA) in the exporting country</w:t>
      </w:r>
      <w:r w:rsidR="0082354E" w:rsidRPr="00445116">
        <w:rPr>
          <w:bCs/>
        </w:rPr>
        <w:t xml:space="preserve">.  </w:t>
      </w:r>
    </w:p>
    <w:p w14:paraId="7FF1AC46" w14:textId="5FCE8BD0" w:rsidR="00675497" w:rsidRPr="00445116" w:rsidRDefault="00067114" w:rsidP="00926278">
      <w:pPr>
        <w:pStyle w:val="ListParagraph"/>
        <w:numPr>
          <w:ilvl w:val="0"/>
          <w:numId w:val="25"/>
        </w:numPr>
        <w:rPr>
          <w:bCs/>
        </w:rPr>
      </w:pPr>
      <w:r w:rsidRPr="00445116">
        <w:rPr>
          <w:bCs/>
        </w:rPr>
        <w:t>All uncooked prawns are frozen and have had the head and shell removed (the last segment and tail fans permitted)</w:t>
      </w:r>
    </w:p>
    <w:p w14:paraId="57D921FC" w14:textId="11D685C1" w:rsidR="00067114" w:rsidRPr="00445116" w:rsidRDefault="00067114" w:rsidP="00926278">
      <w:pPr>
        <w:pStyle w:val="ListParagraph"/>
        <w:numPr>
          <w:ilvl w:val="0"/>
          <w:numId w:val="25"/>
        </w:numPr>
        <w:rPr>
          <w:bCs/>
        </w:rPr>
      </w:pPr>
      <w:r w:rsidRPr="00445116">
        <w:rPr>
          <w:bCs/>
        </w:rPr>
        <w:t>Have been deveined (removal of the digestive tract to at least the last shell segment)</w:t>
      </w:r>
    </w:p>
    <w:p w14:paraId="265403B8" w14:textId="6DD5F2C2" w:rsidR="00067114" w:rsidRPr="00445116" w:rsidRDefault="00067114" w:rsidP="00926278">
      <w:pPr>
        <w:pStyle w:val="ListParagraph"/>
        <w:numPr>
          <w:ilvl w:val="0"/>
          <w:numId w:val="25"/>
        </w:numPr>
        <w:rPr>
          <w:bCs/>
        </w:rPr>
      </w:pPr>
      <w:r w:rsidRPr="00445116">
        <w:rPr>
          <w:bCs/>
        </w:rPr>
        <w:t>Have been inspected and graded in premise</w:t>
      </w:r>
      <w:r w:rsidR="006C4565" w:rsidRPr="00445116">
        <w:rPr>
          <w:bCs/>
        </w:rPr>
        <w:t>s</w:t>
      </w:r>
      <w:r w:rsidRPr="00445116">
        <w:rPr>
          <w:bCs/>
        </w:rPr>
        <w:t xml:space="preserve"> approved by and under the control of the CA</w:t>
      </w:r>
    </w:p>
    <w:p w14:paraId="018D81A0" w14:textId="43CEFEC7" w:rsidR="00067114" w:rsidRPr="00445116" w:rsidRDefault="001D203F" w:rsidP="00926278">
      <w:pPr>
        <w:pStyle w:val="ListParagraph"/>
        <w:numPr>
          <w:ilvl w:val="0"/>
          <w:numId w:val="25"/>
        </w:numPr>
        <w:rPr>
          <w:bCs/>
        </w:rPr>
      </w:pPr>
      <w:r w:rsidRPr="00445116">
        <w:rPr>
          <w:bCs/>
        </w:rPr>
        <w:t>Are free from vi</w:t>
      </w:r>
      <w:r w:rsidR="00A60F49" w:rsidRPr="00445116">
        <w:rPr>
          <w:bCs/>
        </w:rPr>
        <w:t>s</w:t>
      </w:r>
      <w:r w:rsidRPr="00445116">
        <w:rPr>
          <w:bCs/>
        </w:rPr>
        <w:t>ible sign</w:t>
      </w:r>
      <w:r w:rsidR="004F738B" w:rsidRPr="00445116">
        <w:rPr>
          <w:bCs/>
        </w:rPr>
        <w:t>s</w:t>
      </w:r>
      <w:r w:rsidRPr="00445116">
        <w:rPr>
          <w:bCs/>
        </w:rPr>
        <w:t xml:space="preserve"> of infectious diseases</w:t>
      </w:r>
    </w:p>
    <w:p w14:paraId="610F8CB0" w14:textId="5F6DDC4C" w:rsidR="001D203F" w:rsidRPr="00445116" w:rsidRDefault="001D203F" w:rsidP="00926278">
      <w:pPr>
        <w:pStyle w:val="ListParagraph"/>
        <w:numPr>
          <w:ilvl w:val="0"/>
          <w:numId w:val="25"/>
        </w:numPr>
        <w:rPr>
          <w:bCs/>
        </w:rPr>
      </w:pPr>
      <w:r w:rsidRPr="00445116">
        <w:rPr>
          <w:bCs/>
        </w:rPr>
        <w:t>Are fit for human consumption</w:t>
      </w:r>
      <w:r w:rsidR="00FC0571" w:rsidRPr="00445116">
        <w:rPr>
          <w:bCs/>
        </w:rPr>
        <w:t>,</w:t>
      </w:r>
      <w:r w:rsidRPr="00445116">
        <w:rPr>
          <w:bCs/>
        </w:rPr>
        <w:t xml:space="preserve"> and</w:t>
      </w:r>
    </w:p>
    <w:p w14:paraId="3BC32A62" w14:textId="1C48ED09" w:rsidR="001D203F" w:rsidRPr="00445116" w:rsidRDefault="001D203F" w:rsidP="00926278">
      <w:pPr>
        <w:pStyle w:val="ListParagraph"/>
        <w:numPr>
          <w:ilvl w:val="0"/>
          <w:numId w:val="25"/>
        </w:numPr>
        <w:rPr>
          <w:bCs/>
        </w:rPr>
      </w:pPr>
      <w:r w:rsidRPr="00445116">
        <w:rPr>
          <w:bCs/>
        </w:rPr>
        <w:t>Are in packages marked with the words “For human consumption only. Not to be used as bait or feed for aquatic animals”.</w:t>
      </w:r>
    </w:p>
    <w:p w14:paraId="42B77B60" w14:textId="3264CB0C" w:rsidR="006D2DF2" w:rsidRPr="00445116" w:rsidRDefault="00B963DF" w:rsidP="00773F92">
      <w:pPr>
        <w:rPr>
          <w:bCs/>
        </w:rPr>
      </w:pPr>
      <w:r w:rsidRPr="00445116">
        <w:rPr>
          <w:bCs/>
        </w:rPr>
        <w:lastRenderedPageBreak/>
        <w:t xml:space="preserve">These </w:t>
      </w:r>
      <w:r w:rsidR="00FD7C71" w:rsidRPr="00445116">
        <w:rPr>
          <w:bCs/>
        </w:rPr>
        <w:t>measures</w:t>
      </w:r>
      <w:r w:rsidRPr="00445116">
        <w:rPr>
          <w:bCs/>
        </w:rPr>
        <w:t xml:space="preserve"> reduce</w:t>
      </w:r>
      <w:r w:rsidR="001102EE" w:rsidRPr="00445116">
        <w:rPr>
          <w:bCs/>
        </w:rPr>
        <w:t>d</w:t>
      </w:r>
      <w:r w:rsidRPr="00445116">
        <w:rPr>
          <w:bCs/>
        </w:rPr>
        <w:t xml:space="preserve"> the risk for </w:t>
      </w:r>
      <w:r w:rsidR="00A7532B" w:rsidRPr="00445116">
        <w:rPr>
          <w:bCs/>
        </w:rPr>
        <w:t xml:space="preserve">eight </w:t>
      </w:r>
      <w:r w:rsidR="00C2260A" w:rsidRPr="00445116">
        <w:rPr>
          <w:bCs/>
        </w:rPr>
        <w:t>of the hazards</w:t>
      </w:r>
      <w:r w:rsidR="003E15B4" w:rsidRPr="00445116">
        <w:rPr>
          <w:bCs/>
        </w:rPr>
        <w:t xml:space="preserve">, but for </w:t>
      </w:r>
      <w:r w:rsidRPr="00445116">
        <w:rPr>
          <w:bCs/>
        </w:rPr>
        <w:t xml:space="preserve">WSSV </w:t>
      </w:r>
      <w:r w:rsidR="003E15B4" w:rsidRPr="00445116">
        <w:rPr>
          <w:bCs/>
        </w:rPr>
        <w:t xml:space="preserve">the risk only reduces </w:t>
      </w:r>
      <w:r w:rsidRPr="00445116">
        <w:rPr>
          <w:bCs/>
        </w:rPr>
        <w:t xml:space="preserve">from extreme to high, while the risk rating of moderate for YHV1 did not change.  </w:t>
      </w:r>
      <w:r w:rsidR="0082354E" w:rsidRPr="00445116">
        <w:rPr>
          <w:bCs/>
        </w:rPr>
        <w:t>Thus, for WSSV and YHV1</w:t>
      </w:r>
      <w:r w:rsidR="004F738B" w:rsidRPr="00445116">
        <w:rPr>
          <w:bCs/>
        </w:rPr>
        <w:t>,</w:t>
      </w:r>
      <w:r w:rsidR="0082354E" w:rsidRPr="00445116">
        <w:rPr>
          <w:bCs/>
        </w:rPr>
        <w:t xml:space="preserve"> t</w:t>
      </w:r>
      <w:r w:rsidR="006D2DF2" w:rsidRPr="00445116">
        <w:rPr>
          <w:bCs/>
        </w:rPr>
        <w:t xml:space="preserve">he Draft Report has </w:t>
      </w:r>
      <w:r w:rsidR="00743BA3" w:rsidRPr="00445116">
        <w:rPr>
          <w:bCs/>
        </w:rPr>
        <w:t xml:space="preserve">proposed </w:t>
      </w:r>
      <w:r w:rsidR="00926278" w:rsidRPr="00445116">
        <w:rPr>
          <w:bCs/>
        </w:rPr>
        <w:t>additional treatments</w:t>
      </w:r>
      <w:r w:rsidR="006D2DF2" w:rsidRPr="00445116">
        <w:rPr>
          <w:bCs/>
        </w:rPr>
        <w:t xml:space="preserve"> to reduce the risk to </w:t>
      </w:r>
      <w:r w:rsidR="00A510C0" w:rsidRPr="00445116">
        <w:rPr>
          <w:bCs/>
        </w:rPr>
        <w:t xml:space="preserve">a level that achieves Australia’s ALOP. </w:t>
      </w:r>
      <w:r w:rsidR="00F26271" w:rsidRPr="00445116">
        <w:rPr>
          <w:bCs/>
        </w:rPr>
        <w:t xml:space="preserve"> </w:t>
      </w:r>
      <w:r w:rsidR="006D2DF2" w:rsidRPr="00445116">
        <w:rPr>
          <w:bCs/>
        </w:rPr>
        <w:t xml:space="preserve">As the </w:t>
      </w:r>
      <w:r w:rsidR="00C2260A" w:rsidRPr="00445116">
        <w:rPr>
          <w:bCs/>
        </w:rPr>
        <w:t xml:space="preserve">hazard </w:t>
      </w:r>
      <w:r w:rsidR="006D2DF2" w:rsidRPr="00445116">
        <w:rPr>
          <w:bCs/>
        </w:rPr>
        <w:t xml:space="preserve">is also located in the body (proteins) of the prawn, this is more difficult to achieve. </w:t>
      </w:r>
    </w:p>
    <w:p w14:paraId="6393A9C6" w14:textId="697A0C98" w:rsidR="003E15B4" w:rsidRPr="00445116" w:rsidRDefault="00926278" w:rsidP="00773F92">
      <w:pPr>
        <w:rPr>
          <w:bCs/>
        </w:rPr>
      </w:pPr>
      <w:r w:rsidRPr="00445116">
        <w:rPr>
          <w:bCs/>
        </w:rPr>
        <w:t>For uncooked</w:t>
      </w:r>
      <w:r w:rsidR="004F738B" w:rsidRPr="00445116">
        <w:rPr>
          <w:bCs/>
        </w:rPr>
        <w:t>,</w:t>
      </w:r>
      <w:r w:rsidR="008A29F6" w:rsidRPr="00445116">
        <w:rPr>
          <w:bCs/>
        </w:rPr>
        <w:t xml:space="preserve"> frozen</w:t>
      </w:r>
      <w:r w:rsidR="00E076E2" w:rsidRPr="00445116">
        <w:rPr>
          <w:bCs/>
        </w:rPr>
        <w:t>,</w:t>
      </w:r>
      <w:r w:rsidR="008A29F6" w:rsidRPr="00445116">
        <w:rPr>
          <w:bCs/>
        </w:rPr>
        <w:t xml:space="preserve"> </w:t>
      </w:r>
      <w:r w:rsidR="00743BA3" w:rsidRPr="00445116">
        <w:rPr>
          <w:bCs/>
        </w:rPr>
        <w:t xml:space="preserve">head and shell removed </w:t>
      </w:r>
      <w:r w:rsidR="008A29F6" w:rsidRPr="00445116">
        <w:rPr>
          <w:bCs/>
        </w:rPr>
        <w:t xml:space="preserve">prawns </w:t>
      </w:r>
      <w:r w:rsidR="006C4565" w:rsidRPr="00445116">
        <w:rPr>
          <w:bCs/>
        </w:rPr>
        <w:t xml:space="preserve">the </w:t>
      </w:r>
      <w:r w:rsidR="00743BA3" w:rsidRPr="00445116">
        <w:rPr>
          <w:bCs/>
        </w:rPr>
        <w:t>biosecurity measures</w:t>
      </w:r>
      <w:r w:rsidR="006C4565" w:rsidRPr="00445116">
        <w:rPr>
          <w:bCs/>
        </w:rPr>
        <w:t xml:space="preserve"> to manage the risk for WSSV and YHV1 also include</w:t>
      </w:r>
      <w:r w:rsidR="0082354E" w:rsidRPr="00445116">
        <w:rPr>
          <w:bCs/>
        </w:rPr>
        <w:t>:</w:t>
      </w:r>
    </w:p>
    <w:p w14:paraId="43F64D18" w14:textId="14A94AB8" w:rsidR="00A7532B" w:rsidRPr="00445116" w:rsidRDefault="00A7532B" w:rsidP="00926278">
      <w:pPr>
        <w:pStyle w:val="ListParagraph"/>
        <w:numPr>
          <w:ilvl w:val="0"/>
          <w:numId w:val="26"/>
        </w:numPr>
        <w:rPr>
          <w:bCs/>
        </w:rPr>
      </w:pPr>
      <w:r w:rsidRPr="00445116">
        <w:rPr>
          <w:bCs/>
        </w:rPr>
        <w:t>Product from each batch (refer to section on batch testing) has been found post-processing to be free of WSSV and YHV1, based on the sampling and testing method recognised by the OIE for demonstrating absence of disease</w:t>
      </w:r>
    </w:p>
    <w:p w14:paraId="2CFEC73D" w14:textId="3DA43907" w:rsidR="0082354E" w:rsidRPr="00445116" w:rsidRDefault="0082354E" w:rsidP="00926278">
      <w:pPr>
        <w:pStyle w:val="ListParagraph"/>
        <w:numPr>
          <w:ilvl w:val="0"/>
          <w:numId w:val="26"/>
        </w:numPr>
        <w:rPr>
          <w:bCs/>
        </w:rPr>
      </w:pPr>
      <w:r w:rsidRPr="00445116">
        <w:rPr>
          <w:bCs/>
        </w:rPr>
        <w:t xml:space="preserve">On arrival </w:t>
      </w:r>
      <w:r w:rsidR="008A29F6" w:rsidRPr="00445116">
        <w:rPr>
          <w:bCs/>
        </w:rPr>
        <w:t xml:space="preserve">in </w:t>
      </w:r>
      <w:r w:rsidRPr="00445116">
        <w:rPr>
          <w:bCs/>
        </w:rPr>
        <w:t>Australia, each batch of uncooked prawns will be subject to seals intact inspection and testing for WSSV and YHV1 at a screening laboratory approved by the Department</w:t>
      </w:r>
      <w:r w:rsidR="00FC0571" w:rsidRPr="00445116">
        <w:rPr>
          <w:bCs/>
        </w:rPr>
        <w:t>.</w:t>
      </w:r>
    </w:p>
    <w:p w14:paraId="272573F3" w14:textId="1AADA484" w:rsidR="008A29F6" w:rsidRPr="00445116" w:rsidRDefault="008A29F6" w:rsidP="00773F92">
      <w:pPr>
        <w:rPr>
          <w:bCs/>
        </w:rPr>
      </w:pPr>
      <w:r w:rsidRPr="00445116">
        <w:rPr>
          <w:bCs/>
        </w:rPr>
        <w:t xml:space="preserve">In addition, the CA in the exporting country </w:t>
      </w:r>
      <w:r w:rsidR="004316F5" w:rsidRPr="00445116">
        <w:rPr>
          <w:bCs/>
        </w:rPr>
        <w:t>can certify</w:t>
      </w:r>
      <w:r w:rsidRPr="00445116">
        <w:rPr>
          <w:bCs/>
        </w:rPr>
        <w:t xml:space="preserve"> that: </w:t>
      </w:r>
    </w:p>
    <w:p w14:paraId="23D12883" w14:textId="602CA69F" w:rsidR="008A29F6" w:rsidRPr="00445116" w:rsidRDefault="008A29F6" w:rsidP="00926278">
      <w:pPr>
        <w:pStyle w:val="ListParagraph"/>
        <w:numPr>
          <w:ilvl w:val="0"/>
          <w:numId w:val="27"/>
        </w:numPr>
        <w:rPr>
          <w:bCs/>
        </w:rPr>
      </w:pPr>
      <w:r w:rsidRPr="00445116">
        <w:rPr>
          <w:bCs/>
        </w:rPr>
        <w:t>Breaded, battered and crumbed prawns, have had the head and shell removed, and have undergone a par-cooking step after the prawn has been coated to ensure the coating is set and fully adheres to the prawn</w:t>
      </w:r>
    </w:p>
    <w:p w14:paraId="2A0BE635" w14:textId="2C00FCE0" w:rsidR="008A29F6" w:rsidRPr="00445116" w:rsidRDefault="008A29F6" w:rsidP="00926278">
      <w:pPr>
        <w:pStyle w:val="ListParagraph"/>
        <w:numPr>
          <w:ilvl w:val="0"/>
          <w:numId w:val="27"/>
        </w:numPr>
        <w:rPr>
          <w:bCs/>
        </w:rPr>
      </w:pPr>
      <w:r w:rsidRPr="00445116">
        <w:rPr>
          <w:bCs/>
        </w:rPr>
        <w:t xml:space="preserve">Dumpling and dim sum-type products have had the head and shell removed and have been processed </w:t>
      </w:r>
      <w:r w:rsidR="00743BA3" w:rsidRPr="00445116">
        <w:rPr>
          <w:bCs/>
        </w:rPr>
        <w:t xml:space="preserve">to the extent that no discernible pieces of meat are salvageable </w:t>
      </w:r>
      <w:r w:rsidRPr="00445116">
        <w:rPr>
          <w:bCs/>
        </w:rPr>
        <w:t xml:space="preserve">as a dumpling, spring roll, samosa, ball or other dim sum product </w:t>
      </w:r>
    </w:p>
    <w:p w14:paraId="258B5712" w14:textId="2D3E55FB" w:rsidR="008A29F6" w:rsidRPr="00445116" w:rsidRDefault="008A29F6" w:rsidP="00926278">
      <w:pPr>
        <w:pStyle w:val="ListParagraph"/>
        <w:numPr>
          <w:ilvl w:val="0"/>
          <w:numId w:val="27"/>
        </w:numPr>
        <w:rPr>
          <w:bCs/>
        </w:rPr>
      </w:pPr>
      <w:r w:rsidRPr="00445116">
        <w:rPr>
          <w:bCs/>
        </w:rPr>
        <w:t>Cooked prawns have had a cooking time necessary to achieve coagulation of the proteins</w:t>
      </w:r>
      <w:r w:rsidR="00E076E2" w:rsidRPr="00445116">
        <w:rPr>
          <w:bCs/>
        </w:rPr>
        <w:t xml:space="preserve"> and no raw prawn meat remains</w:t>
      </w:r>
      <w:r w:rsidRPr="00445116">
        <w:rPr>
          <w:bCs/>
        </w:rPr>
        <w:t>.</w:t>
      </w:r>
    </w:p>
    <w:p w14:paraId="77D00681" w14:textId="49D0D2DA" w:rsidR="00657D20" w:rsidRPr="00445116" w:rsidRDefault="00657D20" w:rsidP="00657D20">
      <w:pPr>
        <w:rPr>
          <w:bCs/>
        </w:rPr>
      </w:pPr>
      <w:r w:rsidRPr="00445116">
        <w:rPr>
          <w:bCs/>
        </w:rPr>
        <w:t xml:space="preserve">Thus, the Draft Report supports batch testing, monitoring and compliance </w:t>
      </w:r>
      <w:r w:rsidR="00451A96" w:rsidRPr="00445116">
        <w:rPr>
          <w:bCs/>
        </w:rPr>
        <w:t>of frozen</w:t>
      </w:r>
      <w:r w:rsidR="005E7DCD" w:rsidRPr="00445116">
        <w:rPr>
          <w:bCs/>
        </w:rPr>
        <w:t xml:space="preserve">, head and shell removed and deveined </w:t>
      </w:r>
      <w:r w:rsidRPr="00445116">
        <w:rPr>
          <w:bCs/>
        </w:rPr>
        <w:t xml:space="preserve">prawns as an acceptable alternative to cooking of whole prawns.  It accepts that some fishers will probably continue to use frozen prawns for bait and berley, even though a public education and awareness campaign </w:t>
      </w:r>
      <w:r w:rsidR="004F738B" w:rsidRPr="00445116">
        <w:rPr>
          <w:bCs/>
        </w:rPr>
        <w:t xml:space="preserve">advising </w:t>
      </w:r>
      <w:r w:rsidRPr="00445116">
        <w:rPr>
          <w:bCs/>
        </w:rPr>
        <w:t xml:space="preserve">against using imported prawns for bait continues.  </w:t>
      </w:r>
      <w:r w:rsidR="008D3516" w:rsidRPr="00445116">
        <w:rPr>
          <w:bCs/>
        </w:rPr>
        <w:t>However, stakeholders need to be reassured that the proposed biosecurity measures are not dependent on complete compliance by fishers</w:t>
      </w:r>
      <w:r w:rsidR="0083272D" w:rsidRPr="00445116">
        <w:rPr>
          <w:bCs/>
        </w:rPr>
        <w:t>.</w:t>
      </w:r>
    </w:p>
    <w:tbl>
      <w:tblPr>
        <w:tblStyle w:val="TableGrid"/>
        <w:tblW w:w="0" w:type="auto"/>
        <w:tblLook w:val="04A0" w:firstRow="1" w:lastRow="0" w:firstColumn="1" w:lastColumn="0" w:noHBand="0" w:noVBand="1"/>
      </w:tblPr>
      <w:tblGrid>
        <w:gridCol w:w="9016"/>
      </w:tblGrid>
      <w:tr w:rsidR="008D3516" w:rsidRPr="00445116" w14:paraId="6D9D4451" w14:textId="77777777" w:rsidTr="008D3516">
        <w:tc>
          <w:tcPr>
            <w:tcW w:w="9016" w:type="dxa"/>
          </w:tcPr>
          <w:p w14:paraId="128F28EC" w14:textId="1AA2E5E8" w:rsidR="008D3516" w:rsidRPr="00445116" w:rsidRDefault="008D3516" w:rsidP="007136FF">
            <w:pPr>
              <w:rPr>
                <w:b/>
              </w:rPr>
            </w:pPr>
            <w:r w:rsidRPr="00445116">
              <w:rPr>
                <w:b/>
              </w:rPr>
              <w:t>Recommendation</w:t>
            </w:r>
            <w:r w:rsidR="00FA686D" w:rsidRPr="00445116">
              <w:rPr>
                <w:b/>
              </w:rPr>
              <w:t xml:space="preserve"> 4</w:t>
            </w:r>
            <w:r w:rsidRPr="00445116">
              <w:rPr>
                <w:b/>
              </w:rPr>
              <w:t xml:space="preserve">: </w:t>
            </w:r>
          </w:p>
          <w:p w14:paraId="7D061695" w14:textId="27976D3C" w:rsidR="008D3516" w:rsidRPr="00445116" w:rsidRDefault="008D3516" w:rsidP="0083272D">
            <w:pPr>
              <w:rPr>
                <w:bCs/>
              </w:rPr>
            </w:pPr>
            <w:r w:rsidRPr="00445116">
              <w:rPr>
                <w:bCs/>
              </w:rPr>
              <w:t>The Provisional Final Report emphasise</w:t>
            </w:r>
            <w:r w:rsidR="00DB79D8" w:rsidRPr="00445116">
              <w:rPr>
                <w:bCs/>
              </w:rPr>
              <w:t>s</w:t>
            </w:r>
            <w:r w:rsidRPr="00445116">
              <w:rPr>
                <w:bCs/>
              </w:rPr>
              <w:t xml:space="preserve"> that the ‘very low’ risk rating for WSSV does not assume that recreational fishers will comply with the voluntary code not to use imported prawns for bait or berley</w:t>
            </w:r>
            <w:r w:rsidR="0083272D" w:rsidRPr="00445116">
              <w:rPr>
                <w:bCs/>
              </w:rPr>
              <w:t>.</w:t>
            </w:r>
          </w:p>
        </w:tc>
      </w:tr>
    </w:tbl>
    <w:p w14:paraId="6CB8AE8C" w14:textId="77777777" w:rsidR="008D3516" w:rsidRPr="00445116" w:rsidRDefault="008D3516" w:rsidP="00657D20">
      <w:pPr>
        <w:rPr>
          <w:bCs/>
        </w:rPr>
      </w:pPr>
    </w:p>
    <w:p w14:paraId="1D8CC5DC" w14:textId="43FC5AC2" w:rsidR="00657D20" w:rsidRPr="00445116" w:rsidRDefault="00657D20" w:rsidP="00A82A48">
      <w:pPr>
        <w:pStyle w:val="Heading4"/>
        <w:rPr>
          <w:bCs/>
        </w:rPr>
      </w:pPr>
      <w:bookmarkStart w:id="22" w:name="_Toc72416537"/>
      <w:r w:rsidRPr="00445116">
        <w:t xml:space="preserve">Cooking versus </w:t>
      </w:r>
      <w:r w:rsidR="008C4078" w:rsidRPr="00445116">
        <w:t>Testing for Disease</w:t>
      </w:r>
      <w:bookmarkEnd w:id="22"/>
      <w:r w:rsidR="008C4078" w:rsidRPr="00445116">
        <w:t xml:space="preserve"> </w:t>
      </w:r>
    </w:p>
    <w:p w14:paraId="2B2A2DC1" w14:textId="5FCE48F3" w:rsidR="00994812" w:rsidRPr="00445116" w:rsidRDefault="00994812" w:rsidP="00773F92">
      <w:pPr>
        <w:rPr>
          <w:bCs/>
        </w:rPr>
      </w:pPr>
      <w:r w:rsidRPr="00445116">
        <w:rPr>
          <w:bCs/>
        </w:rPr>
        <w:t xml:space="preserve">It is clear in the scientific literature that cooking for human consumption </w:t>
      </w:r>
      <w:r w:rsidR="00F2616D" w:rsidRPr="00445116">
        <w:rPr>
          <w:bCs/>
        </w:rPr>
        <w:t xml:space="preserve">(to the point of coagulation of all protein) </w:t>
      </w:r>
      <w:r w:rsidRPr="00445116">
        <w:rPr>
          <w:bCs/>
        </w:rPr>
        <w:t xml:space="preserve">does not inactivate WSSV completely, as the virus is located throughout the prawn and deep in the protein of the tail.  </w:t>
      </w:r>
      <w:r w:rsidR="002954A6" w:rsidRPr="00445116">
        <w:rPr>
          <w:bCs/>
        </w:rPr>
        <w:t>According to</w:t>
      </w:r>
      <w:r w:rsidR="009F276B" w:rsidRPr="00445116">
        <w:rPr>
          <w:bCs/>
        </w:rPr>
        <w:t xml:space="preserve"> a recent study (Aranguren </w:t>
      </w:r>
      <w:r w:rsidR="009F276B" w:rsidRPr="00445116">
        <w:rPr>
          <w:bCs/>
          <w:i/>
          <w:iCs/>
        </w:rPr>
        <w:t>et al</w:t>
      </w:r>
      <w:r w:rsidR="009F276B" w:rsidRPr="00445116">
        <w:rPr>
          <w:bCs/>
        </w:rPr>
        <w:t xml:space="preserve"> 2020</w:t>
      </w:r>
      <w:r w:rsidR="00FA686D" w:rsidRPr="00445116">
        <w:rPr>
          <w:bCs/>
        </w:rPr>
        <w:t>, cited by the Department</w:t>
      </w:r>
      <w:r w:rsidR="009F276B" w:rsidRPr="00445116">
        <w:rPr>
          <w:bCs/>
        </w:rPr>
        <w:t>)</w:t>
      </w:r>
      <w:r w:rsidR="002954A6" w:rsidRPr="00445116">
        <w:rPr>
          <w:bCs/>
        </w:rPr>
        <w:t>,</w:t>
      </w:r>
      <w:r w:rsidRPr="00445116">
        <w:rPr>
          <w:bCs/>
        </w:rPr>
        <w:t xml:space="preserve"> complete inactivat</w:t>
      </w:r>
      <w:r w:rsidR="002954A6" w:rsidRPr="00445116">
        <w:rPr>
          <w:bCs/>
        </w:rPr>
        <w:t>ion</w:t>
      </w:r>
      <w:r w:rsidRPr="00445116">
        <w:rPr>
          <w:bCs/>
        </w:rPr>
        <w:t xml:space="preserve"> </w:t>
      </w:r>
      <w:r w:rsidR="002954A6" w:rsidRPr="00445116">
        <w:rPr>
          <w:bCs/>
        </w:rPr>
        <w:t>of</w:t>
      </w:r>
      <w:r w:rsidRPr="00445116">
        <w:rPr>
          <w:bCs/>
        </w:rPr>
        <w:t xml:space="preserve"> the virus </w:t>
      </w:r>
      <w:r w:rsidR="002954A6" w:rsidRPr="00445116">
        <w:rPr>
          <w:bCs/>
        </w:rPr>
        <w:t xml:space="preserve">occurs when prawns are </w:t>
      </w:r>
      <w:r w:rsidR="002954A6" w:rsidRPr="00445116">
        <w:t xml:space="preserve">boiled at 100°C for 1min. </w:t>
      </w:r>
      <w:r w:rsidR="00FD7C71" w:rsidRPr="00445116">
        <w:t xml:space="preserve"> </w:t>
      </w:r>
      <w:r w:rsidR="002954A6" w:rsidRPr="00445116">
        <w:t>This</w:t>
      </w:r>
      <w:r w:rsidRPr="00445116">
        <w:rPr>
          <w:bCs/>
        </w:rPr>
        <w:t xml:space="preserve"> would require the prawn to be cooked to a point where the product would no longer be visually acceptable or palatable</w:t>
      </w:r>
      <w:r w:rsidR="00DB739D" w:rsidRPr="00445116">
        <w:rPr>
          <w:bCs/>
        </w:rPr>
        <w:t>.</w:t>
      </w:r>
      <w:r w:rsidRPr="00445116">
        <w:rPr>
          <w:bCs/>
        </w:rPr>
        <w:t xml:space="preserve"> </w:t>
      </w:r>
    </w:p>
    <w:p w14:paraId="11295B26" w14:textId="09F3B824" w:rsidR="006D2DF2" w:rsidRPr="00445116" w:rsidRDefault="006D2DF2" w:rsidP="00773F92">
      <w:pPr>
        <w:rPr>
          <w:bCs/>
        </w:rPr>
      </w:pPr>
      <w:r w:rsidRPr="00445116">
        <w:rPr>
          <w:bCs/>
        </w:rPr>
        <w:lastRenderedPageBreak/>
        <w:t xml:space="preserve">Stakeholders in general showed an acceptance of the need for shell and head removal and deveining.  Where Australian submissions disagreed with the recommended </w:t>
      </w:r>
      <w:r w:rsidR="009F276B" w:rsidRPr="00445116">
        <w:rPr>
          <w:bCs/>
        </w:rPr>
        <w:t xml:space="preserve">biosecurity measures </w:t>
      </w:r>
      <w:r w:rsidR="00FA686D" w:rsidRPr="00445116">
        <w:rPr>
          <w:bCs/>
        </w:rPr>
        <w:t>were</w:t>
      </w:r>
      <w:r w:rsidRPr="00445116">
        <w:rPr>
          <w:bCs/>
        </w:rPr>
        <w:t xml:space="preserve"> that the majority strongly supported the need to cook all prawn imports</w:t>
      </w:r>
      <w:r w:rsidR="00D857B5" w:rsidRPr="00445116">
        <w:rPr>
          <w:bCs/>
        </w:rPr>
        <w:t>,</w:t>
      </w:r>
      <w:r w:rsidRPr="00445116">
        <w:rPr>
          <w:bCs/>
        </w:rPr>
        <w:t xml:space="preserve"> as it both reduced the viral load and it deters </w:t>
      </w:r>
      <w:r w:rsidR="009F276B" w:rsidRPr="00445116">
        <w:rPr>
          <w:bCs/>
        </w:rPr>
        <w:t xml:space="preserve">the </w:t>
      </w:r>
      <w:r w:rsidRPr="00445116">
        <w:rPr>
          <w:bCs/>
        </w:rPr>
        <w:t>use of the product by recreational fishers as bait</w:t>
      </w:r>
      <w:r w:rsidR="009F276B" w:rsidRPr="00445116">
        <w:rPr>
          <w:bCs/>
        </w:rPr>
        <w:t xml:space="preserve"> or berley</w:t>
      </w:r>
      <w:r w:rsidRPr="00445116">
        <w:rPr>
          <w:bCs/>
        </w:rPr>
        <w:t xml:space="preserve">, which has been identified as a major pathway for disease spread.  They disputed that batch testing, monitoring and compliance for WSSV and YHV1 free imports would give adequate reduction in risk.  </w:t>
      </w:r>
      <w:r w:rsidR="00C2260A" w:rsidRPr="00445116">
        <w:rPr>
          <w:bCs/>
        </w:rPr>
        <w:t xml:space="preserve">The IGB Report 2017 demonstrated quite clearly that non-compliance had been a major problem and there was no pre-export and on-arrival testing at that </w:t>
      </w:r>
      <w:r w:rsidR="00FC0571" w:rsidRPr="00445116">
        <w:rPr>
          <w:bCs/>
        </w:rPr>
        <w:t>time,</w:t>
      </w:r>
      <w:r w:rsidR="00C2260A" w:rsidRPr="00445116">
        <w:rPr>
          <w:bCs/>
        </w:rPr>
        <w:t xml:space="preserve"> so it is understandable that Australian stakeholders remain sceptical in the absence of an explicit update on new procedures.</w:t>
      </w:r>
    </w:p>
    <w:p w14:paraId="6EBF7661" w14:textId="07D177F5" w:rsidR="008C4078" w:rsidRPr="00445116" w:rsidRDefault="008C4078" w:rsidP="008C4078">
      <w:pPr>
        <w:rPr>
          <w:bCs/>
        </w:rPr>
      </w:pPr>
      <w:r w:rsidRPr="00445116">
        <w:rPr>
          <w:bCs/>
        </w:rPr>
        <w:t xml:space="preserve">The Expert Panel accepts that cooking alone will reduce the risk of WSSV to </w:t>
      </w:r>
      <w:r w:rsidR="00677C08" w:rsidRPr="00445116">
        <w:rPr>
          <w:bCs/>
        </w:rPr>
        <w:t>very low</w:t>
      </w:r>
      <w:r w:rsidRPr="00445116">
        <w:rPr>
          <w:bCs/>
        </w:rPr>
        <w:t xml:space="preserve">, </w:t>
      </w:r>
      <w:r w:rsidR="00677C08" w:rsidRPr="00445116">
        <w:rPr>
          <w:bCs/>
        </w:rPr>
        <w:t>but that other biosecurity measures</w:t>
      </w:r>
      <w:r w:rsidRPr="00445116">
        <w:rPr>
          <w:bCs/>
        </w:rPr>
        <w:t xml:space="preserve"> can </w:t>
      </w:r>
      <w:r w:rsidR="002954A6" w:rsidRPr="00445116">
        <w:rPr>
          <w:bCs/>
        </w:rPr>
        <w:t xml:space="preserve">also </w:t>
      </w:r>
      <w:r w:rsidRPr="00445116">
        <w:rPr>
          <w:bCs/>
        </w:rPr>
        <w:t xml:space="preserve">provide </w:t>
      </w:r>
      <w:r w:rsidR="00B30737" w:rsidRPr="00445116">
        <w:rPr>
          <w:bCs/>
        </w:rPr>
        <w:t>equivalent risk mitigation</w:t>
      </w:r>
      <w:r w:rsidR="00DB739D" w:rsidRPr="00445116">
        <w:rPr>
          <w:bCs/>
        </w:rPr>
        <w:t>,</w:t>
      </w:r>
      <w:r w:rsidR="00B30737" w:rsidRPr="00445116">
        <w:rPr>
          <w:bCs/>
        </w:rPr>
        <w:t xml:space="preserve"> so that</w:t>
      </w:r>
      <w:r w:rsidRPr="00445116">
        <w:rPr>
          <w:bCs/>
        </w:rPr>
        <w:t xml:space="preserve"> raw prawn</w:t>
      </w:r>
      <w:r w:rsidR="00B30737" w:rsidRPr="00445116">
        <w:rPr>
          <w:bCs/>
        </w:rPr>
        <w:t xml:space="preserve"> import</w:t>
      </w:r>
      <w:r w:rsidRPr="00445116">
        <w:rPr>
          <w:bCs/>
        </w:rPr>
        <w:t xml:space="preserve">s </w:t>
      </w:r>
      <w:r w:rsidR="00B30737" w:rsidRPr="00445116">
        <w:rPr>
          <w:bCs/>
        </w:rPr>
        <w:t xml:space="preserve">also </w:t>
      </w:r>
      <w:r w:rsidRPr="00445116">
        <w:rPr>
          <w:bCs/>
        </w:rPr>
        <w:t xml:space="preserve">achieve </w:t>
      </w:r>
      <w:r w:rsidR="00B30737" w:rsidRPr="00445116">
        <w:rPr>
          <w:bCs/>
        </w:rPr>
        <w:t>Australia’s</w:t>
      </w:r>
      <w:r w:rsidRPr="00445116">
        <w:rPr>
          <w:bCs/>
        </w:rPr>
        <w:t xml:space="preserve"> ALOP</w:t>
      </w:r>
      <w:r w:rsidR="009F276B" w:rsidRPr="00445116">
        <w:rPr>
          <w:bCs/>
        </w:rPr>
        <w:t xml:space="preserve"> under the specified conditions.  </w:t>
      </w:r>
      <w:r w:rsidR="008127DC" w:rsidRPr="00445116">
        <w:rPr>
          <w:bCs/>
        </w:rPr>
        <w:t xml:space="preserve">  </w:t>
      </w:r>
    </w:p>
    <w:p w14:paraId="78D29918" w14:textId="77777777" w:rsidR="008C4078" w:rsidRPr="00445116" w:rsidRDefault="008C4078" w:rsidP="00A82A48">
      <w:pPr>
        <w:pStyle w:val="Heading4"/>
      </w:pPr>
      <w:bookmarkStart w:id="23" w:name="_Toc72416538"/>
      <w:r w:rsidRPr="00445116">
        <w:t>Batch Testing and Traceability</w:t>
      </w:r>
      <w:bookmarkEnd w:id="23"/>
    </w:p>
    <w:p w14:paraId="424828D3" w14:textId="00437063" w:rsidR="008C4078" w:rsidRPr="00445116" w:rsidRDefault="008C4078" w:rsidP="008C4078">
      <w:pPr>
        <w:rPr>
          <w:bCs/>
        </w:rPr>
      </w:pPr>
      <w:r w:rsidRPr="00445116">
        <w:rPr>
          <w:bCs/>
        </w:rPr>
        <w:t>The unit of testing is the ‘batch’.  It forms the basis for determining the size of samples taken</w:t>
      </w:r>
      <w:r w:rsidR="008127DC" w:rsidRPr="00445116">
        <w:rPr>
          <w:bCs/>
        </w:rPr>
        <w:t xml:space="preserve"> from a shipment (100% of batches from each imported shipment of raw prawns are sampled) </w:t>
      </w:r>
      <w:r w:rsidRPr="00445116">
        <w:rPr>
          <w:bCs/>
        </w:rPr>
        <w:t xml:space="preserve">and also can enable or limit the traceability of imported product back to particular farms or ponds from which diseased prawns may originate.  A clear understanding of what is a batch assists transparency and can build confidence in stakeholders that </w:t>
      </w:r>
      <w:r w:rsidR="00677C08" w:rsidRPr="00445116">
        <w:rPr>
          <w:bCs/>
        </w:rPr>
        <w:t>Australia’s</w:t>
      </w:r>
      <w:r w:rsidRPr="00445116">
        <w:rPr>
          <w:bCs/>
        </w:rPr>
        <w:t xml:space="preserve"> ALOP is being met in prawn imports.  </w:t>
      </w:r>
    </w:p>
    <w:p w14:paraId="65531146" w14:textId="15F859AE" w:rsidR="008C4078" w:rsidRPr="00445116" w:rsidRDefault="008127DC" w:rsidP="008C4078">
      <w:pPr>
        <w:rPr>
          <w:bCs/>
        </w:rPr>
      </w:pPr>
      <w:r w:rsidRPr="00445116">
        <w:rPr>
          <w:bCs/>
        </w:rPr>
        <w:t>‘</w:t>
      </w:r>
      <w:r w:rsidR="008C4078" w:rsidRPr="00445116">
        <w:rPr>
          <w:bCs/>
        </w:rPr>
        <w:t>Batch</w:t>
      </w:r>
      <w:r w:rsidRPr="00445116">
        <w:rPr>
          <w:bCs/>
        </w:rPr>
        <w:t>’</w:t>
      </w:r>
      <w:r w:rsidR="008C4078" w:rsidRPr="00445116">
        <w:rPr>
          <w:bCs/>
        </w:rPr>
        <w:t xml:space="preserve"> </w:t>
      </w:r>
      <w:r w:rsidRPr="00445116">
        <w:rPr>
          <w:bCs/>
        </w:rPr>
        <w:t>was</w:t>
      </w:r>
      <w:r w:rsidR="008C4078" w:rsidRPr="00445116">
        <w:rPr>
          <w:bCs/>
        </w:rPr>
        <w:t xml:space="preserve"> only defined in Appendix 4 </w:t>
      </w:r>
      <w:r w:rsidRPr="00445116">
        <w:rPr>
          <w:bCs/>
        </w:rPr>
        <w:t xml:space="preserve">of the Draft Report </w:t>
      </w:r>
      <w:r w:rsidR="008C4078" w:rsidRPr="00445116">
        <w:rPr>
          <w:bCs/>
        </w:rPr>
        <w:t xml:space="preserve">and this can be easily missed by stakeholders.  The Panel suggests such a critical definition be given </w:t>
      </w:r>
      <w:r w:rsidR="00991616" w:rsidRPr="00445116">
        <w:rPr>
          <w:bCs/>
        </w:rPr>
        <w:t xml:space="preserve">in the Provisional Final Report </w:t>
      </w:r>
      <w:r w:rsidR="008C4078" w:rsidRPr="00445116">
        <w:rPr>
          <w:bCs/>
        </w:rPr>
        <w:t xml:space="preserve">as a more explicit statement in the </w:t>
      </w:r>
      <w:r w:rsidR="00153059" w:rsidRPr="00445116">
        <w:rPr>
          <w:bCs/>
        </w:rPr>
        <w:t xml:space="preserve">proposed </w:t>
      </w:r>
      <w:r w:rsidR="008C4078" w:rsidRPr="00445116">
        <w:rPr>
          <w:bCs/>
        </w:rPr>
        <w:t xml:space="preserve">new chapter on sampling and testing.   </w:t>
      </w:r>
    </w:p>
    <w:p w14:paraId="3ECA967A" w14:textId="46FE61FA" w:rsidR="008C4078" w:rsidRPr="00445116" w:rsidRDefault="008C4078" w:rsidP="008C4078">
      <w:pPr>
        <w:rPr>
          <w:bCs/>
        </w:rPr>
      </w:pPr>
      <w:r w:rsidRPr="00445116">
        <w:rPr>
          <w:bCs/>
        </w:rPr>
        <w:t xml:space="preserve">Stakeholders also raised concerns about the adequacy of batch testing, in which up to five prawn samples are pooled before testing.  </w:t>
      </w:r>
      <w:r w:rsidR="007A48D3" w:rsidRPr="00445116">
        <w:rPr>
          <w:bCs/>
        </w:rPr>
        <w:t xml:space="preserve">The Panel </w:t>
      </w:r>
      <w:r w:rsidRPr="00445116">
        <w:rPr>
          <w:bCs/>
        </w:rPr>
        <w:t xml:space="preserve">received advice </w:t>
      </w:r>
      <w:r w:rsidR="007A48D3" w:rsidRPr="00445116">
        <w:rPr>
          <w:bCs/>
        </w:rPr>
        <w:t xml:space="preserve">from an aquatic disease expert </w:t>
      </w:r>
      <w:r w:rsidRPr="00445116">
        <w:rPr>
          <w:bCs/>
        </w:rPr>
        <w:t xml:space="preserve">that this is now much less of an issue than even a few years ago, given the </w:t>
      </w:r>
      <w:r w:rsidR="007A48D3" w:rsidRPr="00445116">
        <w:rPr>
          <w:bCs/>
        </w:rPr>
        <w:t xml:space="preserve">high </w:t>
      </w:r>
      <w:r w:rsidRPr="00445116">
        <w:rPr>
          <w:bCs/>
        </w:rPr>
        <w:t xml:space="preserve">sensitivity of modern PCR and genomic testing.  </w:t>
      </w:r>
    </w:p>
    <w:p w14:paraId="62E7AD15" w14:textId="77777777" w:rsidR="00991616" w:rsidRPr="00445116" w:rsidRDefault="00991616" w:rsidP="00A82A48">
      <w:pPr>
        <w:pStyle w:val="Heading4"/>
      </w:pPr>
      <w:bookmarkStart w:id="24" w:name="_Toc72416539"/>
      <w:r w:rsidRPr="00445116">
        <w:t>Sampling for batch testing</w:t>
      </w:r>
      <w:bookmarkEnd w:id="24"/>
    </w:p>
    <w:p w14:paraId="6CE7DD90" w14:textId="5EEC8FC4" w:rsidR="00991616" w:rsidRPr="00445116" w:rsidRDefault="00991616" w:rsidP="00991616">
      <w:pPr>
        <w:rPr>
          <w:bCs/>
        </w:rPr>
      </w:pPr>
      <w:r w:rsidRPr="00445116">
        <w:rPr>
          <w:bCs/>
        </w:rPr>
        <w:t>The sampling procedures (random or systematic sampling, sample size) all need to be adequate to ensure that stakeholders have confidence in the testing procedure</w:t>
      </w:r>
      <w:r w:rsidR="00FA686D" w:rsidRPr="00445116">
        <w:rPr>
          <w:bCs/>
        </w:rPr>
        <w:t xml:space="preserve"> to detect the prevalence of the target hazard.  </w:t>
      </w:r>
    </w:p>
    <w:p w14:paraId="162BBC79" w14:textId="77777777" w:rsidR="00991616" w:rsidRPr="00445116" w:rsidRDefault="00991616" w:rsidP="00991616">
      <w:pPr>
        <w:rPr>
          <w:bCs/>
        </w:rPr>
      </w:pPr>
      <w:r w:rsidRPr="00445116">
        <w:rPr>
          <w:bCs/>
        </w:rPr>
        <w:t xml:space="preserve">The sampling design implemented by the Department gives 95% confidence that WSSV and YHV1 will be detected in a batch, if it is present at a prevalence of 5% or greater.  This design has been statistically reviewed and appears to meet the testing requirements.  It may be desirable by some stakeholders to increase the required standard to 98-99% confidence, but this would require a significant increase in pre-export and on-arrival testing and cost.  </w:t>
      </w:r>
    </w:p>
    <w:p w14:paraId="26EA3BCF" w14:textId="6310C9A7" w:rsidR="00991616" w:rsidRPr="00445116" w:rsidRDefault="00991616" w:rsidP="00991616">
      <w:pPr>
        <w:rPr>
          <w:bCs/>
        </w:rPr>
      </w:pPr>
      <w:r w:rsidRPr="00445116">
        <w:rPr>
          <w:bCs/>
        </w:rPr>
        <w:t xml:space="preserve">The Expert Panel suggests that the Department ensures that its testing regime, including batch sample strategy, is fit for purpose.  The </w:t>
      </w:r>
      <w:r w:rsidR="00C2260A" w:rsidRPr="00445116">
        <w:rPr>
          <w:bCs/>
        </w:rPr>
        <w:t xml:space="preserve">Provisional Final </w:t>
      </w:r>
      <w:r w:rsidRPr="00445116">
        <w:rPr>
          <w:bCs/>
        </w:rPr>
        <w:t xml:space="preserve">Report needs to give clear guidance on why a 5% prevalence of pathogen detection was chosen rather than 2% as suggested by some stakeholders.  If the 5% prevalence does not make a material difference </w:t>
      </w:r>
      <w:r w:rsidRPr="00445116">
        <w:rPr>
          <w:bCs/>
        </w:rPr>
        <w:lastRenderedPageBreak/>
        <w:t xml:space="preserve">in detection, but is more cost effective than 2%, this needs to be clear.  This issue was a particular sticking point for a number of submissions, so clarity is required on how the sampling procedure provides confidence that Australia’s ALOP is being met.  </w:t>
      </w:r>
    </w:p>
    <w:p w14:paraId="0305437A" w14:textId="05BBC0C5" w:rsidR="00991616" w:rsidRPr="00445116" w:rsidRDefault="00991616" w:rsidP="00991616">
      <w:pPr>
        <w:rPr>
          <w:bCs/>
        </w:rPr>
      </w:pPr>
      <w:r w:rsidRPr="00445116">
        <w:rPr>
          <w:bCs/>
        </w:rPr>
        <w:t>The Department should reconsider the sample size of batch testing for the presence of WSSV and YHV1 and allow for some of these prawns to be tested for a range of other diseases (</w:t>
      </w:r>
      <w:r w:rsidR="00FC0571" w:rsidRPr="00445116">
        <w:rPr>
          <w:bCs/>
        </w:rPr>
        <w:t>e.g.,</w:t>
      </w:r>
      <w:r w:rsidRPr="00445116">
        <w:rPr>
          <w:bCs/>
        </w:rPr>
        <w:t xml:space="preserve"> CMNV and DIV1).</w:t>
      </w:r>
    </w:p>
    <w:p w14:paraId="332E99C3" w14:textId="75721E20" w:rsidR="009E7192" w:rsidRPr="00445116" w:rsidRDefault="009E7192" w:rsidP="00FA686D">
      <w:r w:rsidRPr="00445116">
        <w:t xml:space="preserve">One </w:t>
      </w:r>
      <w:r w:rsidR="00FA686D" w:rsidRPr="00445116">
        <w:t xml:space="preserve">aquaculture </w:t>
      </w:r>
      <w:r w:rsidRPr="00445116">
        <w:t xml:space="preserve">expert the </w:t>
      </w:r>
      <w:r w:rsidR="005379EE" w:rsidRPr="00445116">
        <w:t xml:space="preserve">Expert </w:t>
      </w:r>
      <w:r w:rsidRPr="00445116">
        <w:t xml:space="preserve">Panel interviewed indicated that the Australian Centre for Disease </w:t>
      </w:r>
      <w:r w:rsidR="007D7434" w:rsidRPr="00445116">
        <w:t>Preparedness</w:t>
      </w:r>
      <w:r w:rsidRPr="00445116">
        <w:t xml:space="preserve"> had </w:t>
      </w:r>
      <w:r w:rsidR="005379EE" w:rsidRPr="00445116">
        <w:t xml:space="preserve">worked with the Department to review the proficiency of </w:t>
      </w:r>
      <w:r w:rsidR="006573DD" w:rsidRPr="00445116">
        <w:t>testing laboratories</w:t>
      </w:r>
      <w:r w:rsidRPr="00445116">
        <w:t xml:space="preserve"> in exporting </w:t>
      </w:r>
      <w:r w:rsidR="006573DD" w:rsidRPr="00445116">
        <w:t xml:space="preserve">countries </w:t>
      </w:r>
      <w:r w:rsidR="005379EE" w:rsidRPr="00445116">
        <w:t xml:space="preserve">to </w:t>
      </w:r>
      <w:r w:rsidRPr="00445116">
        <w:t xml:space="preserve">meet the OIE standards.  This gave the Panel confidence that </w:t>
      </w:r>
      <w:r w:rsidR="005379EE" w:rsidRPr="00445116">
        <w:t xml:space="preserve">some oversight is being provided to monitor that </w:t>
      </w:r>
      <w:r w:rsidRPr="00445116">
        <w:t xml:space="preserve">pre-border testing </w:t>
      </w:r>
      <w:r w:rsidR="005379EE" w:rsidRPr="00445116">
        <w:t xml:space="preserve">can </w:t>
      </w:r>
      <w:r w:rsidRPr="00445116">
        <w:t>meet the requirements of the proposed biosecurity</w:t>
      </w:r>
      <w:r w:rsidR="005379EE" w:rsidRPr="00445116">
        <w:t xml:space="preserve"> measures.  We note that on-arrival testing also adds further validation of the prevalence of the hazard.  </w:t>
      </w:r>
    </w:p>
    <w:tbl>
      <w:tblPr>
        <w:tblStyle w:val="TableGrid"/>
        <w:tblW w:w="0" w:type="auto"/>
        <w:tblLook w:val="04A0" w:firstRow="1" w:lastRow="0" w:firstColumn="1" w:lastColumn="0" w:noHBand="0" w:noVBand="1"/>
      </w:tblPr>
      <w:tblGrid>
        <w:gridCol w:w="9016"/>
      </w:tblGrid>
      <w:tr w:rsidR="00C80A1A" w:rsidRPr="00445116" w14:paraId="2D826609" w14:textId="77777777" w:rsidTr="00C80A1A">
        <w:tc>
          <w:tcPr>
            <w:tcW w:w="9016" w:type="dxa"/>
          </w:tcPr>
          <w:p w14:paraId="1B59F309" w14:textId="033E0721" w:rsidR="00C80A1A" w:rsidRPr="00445116" w:rsidRDefault="00C80A1A" w:rsidP="009E7192">
            <w:pPr>
              <w:rPr>
                <w:b/>
              </w:rPr>
            </w:pPr>
            <w:r w:rsidRPr="00445116">
              <w:rPr>
                <w:b/>
              </w:rPr>
              <w:t>Recommendation</w:t>
            </w:r>
            <w:r w:rsidR="00DB79D8" w:rsidRPr="00445116">
              <w:rPr>
                <w:b/>
              </w:rPr>
              <w:t xml:space="preserve"> 5</w:t>
            </w:r>
            <w:r w:rsidRPr="00445116">
              <w:rPr>
                <w:b/>
              </w:rPr>
              <w:t>:</w:t>
            </w:r>
          </w:p>
          <w:p w14:paraId="4D68188B" w14:textId="4DBCE759" w:rsidR="00C80A1A" w:rsidRPr="00445116" w:rsidRDefault="00C80A1A" w:rsidP="009E7192">
            <w:pPr>
              <w:rPr>
                <w:bCs/>
              </w:rPr>
            </w:pPr>
            <w:r w:rsidRPr="00445116">
              <w:rPr>
                <w:bCs/>
              </w:rPr>
              <w:t xml:space="preserve">The Provisional Final Report includes the design and implementation plan for a random batch testing program to monitor for </w:t>
            </w:r>
            <w:r w:rsidR="00DB739D" w:rsidRPr="00445116">
              <w:rPr>
                <w:bCs/>
              </w:rPr>
              <w:t xml:space="preserve">other </w:t>
            </w:r>
            <w:r w:rsidRPr="00445116">
              <w:rPr>
                <w:bCs/>
              </w:rPr>
              <w:t>exotic diseases (CMNV, DIV1, EHP, IMNV and TSV) in prawns imported for human consumption</w:t>
            </w:r>
            <w:r w:rsidR="00C26E0B" w:rsidRPr="00445116">
              <w:rPr>
                <w:bCs/>
              </w:rPr>
              <w:t>.</w:t>
            </w:r>
          </w:p>
        </w:tc>
      </w:tr>
    </w:tbl>
    <w:p w14:paraId="757A2BB1" w14:textId="77777777" w:rsidR="00C80A1A" w:rsidRPr="00445116" w:rsidRDefault="00C80A1A" w:rsidP="009E7192">
      <w:pPr>
        <w:rPr>
          <w:bCs/>
        </w:rPr>
      </w:pPr>
    </w:p>
    <w:p w14:paraId="07138414" w14:textId="01884A8E" w:rsidR="009E7192" w:rsidRPr="00445116" w:rsidRDefault="009E7192" w:rsidP="00A82A48">
      <w:pPr>
        <w:pStyle w:val="Heading4"/>
      </w:pPr>
      <w:bookmarkStart w:id="25" w:name="_Toc72416540"/>
      <w:r w:rsidRPr="00445116">
        <w:t xml:space="preserve">Test Results in Australia for </w:t>
      </w:r>
      <w:r w:rsidR="00E43BED" w:rsidRPr="00445116">
        <w:t>WSSV since</w:t>
      </w:r>
      <w:r w:rsidRPr="00445116">
        <w:t xml:space="preserve"> 2016</w:t>
      </w:r>
      <w:bookmarkEnd w:id="25"/>
    </w:p>
    <w:p w14:paraId="1599E3A6" w14:textId="6D096053" w:rsidR="00926278" w:rsidRPr="00445116" w:rsidRDefault="008C4078" w:rsidP="00DB4B9E">
      <w:r w:rsidRPr="00445116">
        <w:rPr>
          <w:bCs/>
        </w:rPr>
        <w:t xml:space="preserve">The Expert Panel suggests that the </w:t>
      </w:r>
      <w:r w:rsidR="0098310C" w:rsidRPr="00445116">
        <w:rPr>
          <w:bCs/>
        </w:rPr>
        <w:t xml:space="preserve">Provisional Final </w:t>
      </w:r>
      <w:r w:rsidRPr="00445116">
        <w:rPr>
          <w:bCs/>
        </w:rPr>
        <w:t xml:space="preserve">Report provides an update on the results of </w:t>
      </w:r>
      <w:r w:rsidR="00F2616D" w:rsidRPr="00445116">
        <w:rPr>
          <w:bCs/>
        </w:rPr>
        <w:t xml:space="preserve">on-arrival </w:t>
      </w:r>
      <w:r w:rsidRPr="00445116">
        <w:rPr>
          <w:bCs/>
        </w:rPr>
        <w:t xml:space="preserve">testing for WSSV </w:t>
      </w:r>
      <w:r w:rsidR="0046383E" w:rsidRPr="00445116">
        <w:rPr>
          <w:bCs/>
        </w:rPr>
        <w:t>in imported prawns</w:t>
      </w:r>
      <w:r w:rsidRPr="00445116">
        <w:rPr>
          <w:bCs/>
        </w:rPr>
        <w:t xml:space="preserve"> undertaken since 201</w:t>
      </w:r>
      <w:r w:rsidR="00672A79" w:rsidRPr="00445116">
        <w:rPr>
          <w:bCs/>
        </w:rPr>
        <w:t>7</w:t>
      </w:r>
      <w:r w:rsidRPr="00445116">
        <w:rPr>
          <w:bCs/>
        </w:rPr>
        <w:t xml:space="preserve">.  </w:t>
      </w:r>
      <w:r w:rsidR="00926278" w:rsidRPr="00445116">
        <w:t>The Department informed the Panel</w:t>
      </w:r>
      <w:r w:rsidR="008127DC" w:rsidRPr="00445116">
        <w:t xml:space="preserve"> that sin</w:t>
      </w:r>
      <w:r w:rsidR="00926278" w:rsidRPr="00445116">
        <w:t xml:space="preserve">ce the resumption of trade in July 2017, 1.23 per cent (31/2,530) of </w:t>
      </w:r>
      <w:r w:rsidR="00CF0383" w:rsidRPr="00445116">
        <w:t>consignments</w:t>
      </w:r>
      <w:r w:rsidR="00926278" w:rsidRPr="00445116">
        <w:t xml:space="preserve"> have been found positive on-arrival for</w:t>
      </w:r>
      <w:r w:rsidR="00FD7C71" w:rsidRPr="00445116">
        <w:t xml:space="preserve"> </w:t>
      </w:r>
      <w:r w:rsidR="00926278" w:rsidRPr="00445116">
        <w:t>WSSV</w:t>
      </w:r>
      <w:r w:rsidR="008127DC" w:rsidRPr="00445116">
        <w:t>.</w:t>
      </w:r>
      <w:r w:rsidR="00926278" w:rsidRPr="00445116">
        <w:t xml:space="preserve">  For the financial year to date, 0.81 per cent of prawn consignments (5/619) tested positive for WSSV on-arrival (current 18 March 2021).</w:t>
      </w:r>
      <w:r w:rsidR="00DB4B9E" w:rsidRPr="00445116">
        <w:t xml:space="preserve">  </w:t>
      </w:r>
      <w:r w:rsidR="00926278" w:rsidRPr="00445116">
        <w:t xml:space="preserve">The </w:t>
      </w:r>
      <w:r w:rsidR="00F9722E" w:rsidRPr="00445116">
        <w:t>D</w:t>
      </w:r>
      <w:r w:rsidR="00926278" w:rsidRPr="00445116">
        <w:t xml:space="preserve">epartment </w:t>
      </w:r>
      <w:r w:rsidR="00FD7C71" w:rsidRPr="00445116">
        <w:t xml:space="preserve">advised that it </w:t>
      </w:r>
      <w:r w:rsidR="00926278" w:rsidRPr="00445116">
        <w:t xml:space="preserve">monitors the performance of all trading partners and provides feedback to overseas authorities seeking corrective action as necessary. The </w:t>
      </w:r>
      <w:r w:rsidR="00F9722E" w:rsidRPr="00445116">
        <w:t>D</w:t>
      </w:r>
      <w:r w:rsidR="00926278" w:rsidRPr="00445116">
        <w:t xml:space="preserve">epartment is also working with its trading partners to ensure overseas suppliers remain compliant with Australia’s import conditions. </w:t>
      </w:r>
    </w:p>
    <w:p w14:paraId="64BCE11A" w14:textId="7A753553" w:rsidR="00A7084D" w:rsidRPr="00445116" w:rsidRDefault="00A7084D" w:rsidP="00773F92">
      <w:pPr>
        <w:rPr>
          <w:bCs/>
        </w:rPr>
      </w:pPr>
      <w:r w:rsidRPr="00445116">
        <w:rPr>
          <w:bCs/>
        </w:rPr>
        <w:t xml:space="preserve">The risk rating </w:t>
      </w:r>
      <w:r w:rsidR="0046383E" w:rsidRPr="00445116">
        <w:rPr>
          <w:bCs/>
        </w:rPr>
        <w:t xml:space="preserve">of WSSV and YHV1 </w:t>
      </w:r>
      <w:r w:rsidRPr="00445116">
        <w:rPr>
          <w:bCs/>
        </w:rPr>
        <w:t xml:space="preserve">with the </w:t>
      </w:r>
      <w:r w:rsidR="0046383E" w:rsidRPr="00445116">
        <w:rPr>
          <w:bCs/>
        </w:rPr>
        <w:t xml:space="preserve">application </w:t>
      </w:r>
      <w:r w:rsidRPr="00445116">
        <w:rPr>
          <w:bCs/>
        </w:rPr>
        <w:t>of</w:t>
      </w:r>
      <w:r w:rsidR="00216D37" w:rsidRPr="00445116">
        <w:rPr>
          <w:bCs/>
        </w:rPr>
        <w:t xml:space="preserve"> head and shell removal in combination with pre-export and</w:t>
      </w:r>
      <w:r w:rsidRPr="00445116">
        <w:rPr>
          <w:bCs/>
        </w:rPr>
        <w:t xml:space="preserve"> on-arrival testing has been estimated as ‘very low’. </w:t>
      </w:r>
      <w:r w:rsidR="00FD7C71" w:rsidRPr="00445116">
        <w:rPr>
          <w:bCs/>
        </w:rPr>
        <w:t xml:space="preserve"> </w:t>
      </w:r>
      <w:r w:rsidRPr="00445116">
        <w:rPr>
          <w:bCs/>
        </w:rPr>
        <w:t>The results from independent on-arrival testing supports this risk rating.</w:t>
      </w:r>
    </w:p>
    <w:p w14:paraId="62C57D2E" w14:textId="1BC13F33" w:rsidR="00C80A1A" w:rsidRPr="00445116" w:rsidRDefault="00BA0F2D" w:rsidP="00DB4B9E">
      <w:pPr>
        <w:rPr>
          <w:bCs/>
        </w:rPr>
      </w:pPr>
      <w:bookmarkStart w:id="26" w:name="_Hlk69906603"/>
      <w:r w:rsidRPr="00445116">
        <w:t xml:space="preserve">The Department informed the </w:t>
      </w:r>
      <w:r w:rsidR="006573DD" w:rsidRPr="00445116">
        <w:t>P</w:t>
      </w:r>
      <w:r w:rsidRPr="00445116">
        <w:t xml:space="preserve">anel that it has </w:t>
      </w:r>
      <w:r w:rsidR="00F254A1" w:rsidRPr="00445116">
        <w:t xml:space="preserve">also </w:t>
      </w:r>
      <w:r w:rsidRPr="00445116">
        <w:t>undertaken testing of imported prawns sold in Australian supermarkets since May 2018.  The most recent testing conducted in July 2019 found no evidence of WSSV in the 35 samples tested (data sourced from the Department, March 2</w:t>
      </w:r>
      <w:r w:rsidR="00F9722E" w:rsidRPr="00445116">
        <w:t>1</w:t>
      </w:r>
      <w:r w:rsidRPr="00445116">
        <w:t xml:space="preserve">).  </w:t>
      </w:r>
      <w:bookmarkStart w:id="27" w:name="_Hlk69901600"/>
      <w:r w:rsidRPr="00445116">
        <w:t>Testing in 2018 found 2 out of 101 sample</w:t>
      </w:r>
      <w:r w:rsidR="00F9722E" w:rsidRPr="00445116">
        <w:t>s</w:t>
      </w:r>
      <w:r w:rsidRPr="00445116">
        <w:t xml:space="preserve">, both from the same exporter, tested </w:t>
      </w:r>
      <w:r w:rsidR="007A471C" w:rsidRPr="00445116">
        <w:t xml:space="preserve">strong </w:t>
      </w:r>
      <w:r w:rsidRPr="00445116">
        <w:t>positive</w:t>
      </w:r>
      <w:r w:rsidRPr="00445116">
        <w:rPr>
          <w:sz w:val="22"/>
          <w:szCs w:val="21"/>
        </w:rPr>
        <w:t xml:space="preserve">. </w:t>
      </w:r>
      <w:r w:rsidR="005379EE" w:rsidRPr="00445116">
        <w:rPr>
          <w:sz w:val="22"/>
          <w:szCs w:val="21"/>
        </w:rPr>
        <w:t xml:space="preserve"> T</w:t>
      </w:r>
      <w:r w:rsidR="00DB4B9E" w:rsidRPr="00445116">
        <w:rPr>
          <w:szCs w:val="24"/>
        </w:rPr>
        <w:t xml:space="preserve">he importer elected to dispose of the remaining </w:t>
      </w:r>
      <w:r w:rsidR="005379EE" w:rsidRPr="00445116">
        <w:rPr>
          <w:szCs w:val="24"/>
        </w:rPr>
        <w:t xml:space="preserve">40 cartons that were in storage.  </w:t>
      </w:r>
      <w:r w:rsidR="00C80A1A" w:rsidRPr="00445116">
        <w:rPr>
          <w:bCs/>
        </w:rPr>
        <w:t xml:space="preserve"> </w:t>
      </w:r>
    </w:p>
    <w:bookmarkEnd w:id="26"/>
    <w:bookmarkEnd w:id="27"/>
    <w:p w14:paraId="37C16DB8" w14:textId="1162369A" w:rsidR="00786FD4" w:rsidRPr="00445116" w:rsidRDefault="00786FD4" w:rsidP="00786FD4">
      <w:pPr>
        <w:rPr>
          <w:bCs/>
        </w:rPr>
      </w:pPr>
      <w:r w:rsidRPr="00445116">
        <w:rPr>
          <w:bCs/>
        </w:rPr>
        <w:t xml:space="preserve">Concerns have been raised by stakeholders and </w:t>
      </w:r>
      <w:r w:rsidR="00F254A1" w:rsidRPr="00445116">
        <w:rPr>
          <w:bCs/>
        </w:rPr>
        <w:t>by the Inspector General Biosecurity</w:t>
      </w:r>
      <w:r w:rsidR="00F9722E" w:rsidRPr="00445116">
        <w:rPr>
          <w:bCs/>
        </w:rPr>
        <w:t xml:space="preserve"> </w:t>
      </w:r>
      <w:r w:rsidRPr="00445116">
        <w:rPr>
          <w:bCs/>
        </w:rPr>
        <w:t>(</w:t>
      </w:r>
      <w:r w:rsidR="0017506E" w:rsidRPr="00445116">
        <w:rPr>
          <w:bCs/>
        </w:rPr>
        <w:t xml:space="preserve">IGB Report </w:t>
      </w:r>
      <w:r w:rsidRPr="00445116">
        <w:rPr>
          <w:bCs/>
        </w:rPr>
        <w:t xml:space="preserve">2017) that detected </w:t>
      </w:r>
      <w:r w:rsidR="0046383E" w:rsidRPr="00445116">
        <w:rPr>
          <w:bCs/>
        </w:rPr>
        <w:t xml:space="preserve">WSSV-positive </w:t>
      </w:r>
      <w:r w:rsidRPr="00445116">
        <w:rPr>
          <w:bCs/>
        </w:rPr>
        <w:t>prawn shipment</w:t>
      </w:r>
      <w:r w:rsidR="003B3D0A" w:rsidRPr="00445116">
        <w:rPr>
          <w:bCs/>
        </w:rPr>
        <w:t>s</w:t>
      </w:r>
      <w:r w:rsidRPr="00445116">
        <w:rPr>
          <w:bCs/>
        </w:rPr>
        <w:t xml:space="preserve"> that </w:t>
      </w:r>
      <w:r w:rsidR="00C2260A" w:rsidRPr="00445116">
        <w:rPr>
          <w:bCs/>
        </w:rPr>
        <w:t xml:space="preserve">were </w:t>
      </w:r>
      <w:r w:rsidRPr="00445116">
        <w:rPr>
          <w:bCs/>
        </w:rPr>
        <w:t xml:space="preserve">re-exported </w:t>
      </w:r>
      <w:r w:rsidR="00C2260A" w:rsidRPr="00445116">
        <w:rPr>
          <w:bCs/>
        </w:rPr>
        <w:t xml:space="preserve">were </w:t>
      </w:r>
      <w:r w:rsidRPr="00445116">
        <w:rPr>
          <w:bCs/>
        </w:rPr>
        <w:t xml:space="preserve">being returned to Australia in a different shipment. </w:t>
      </w:r>
      <w:r w:rsidR="00153059" w:rsidRPr="00445116">
        <w:rPr>
          <w:bCs/>
        </w:rPr>
        <w:t xml:space="preserve"> </w:t>
      </w:r>
      <w:r w:rsidRPr="00445116">
        <w:rPr>
          <w:bCs/>
        </w:rPr>
        <w:t xml:space="preserve">Shipments re-exported from Australia due to </w:t>
      </w:r>
      <w:r w:rsidR="0046383E" w:rsidRPr="00445116">
        <w:rPr>
          <w:bCs/>
        </w:rPr>
        <w:t xml:space="preserve">WSSV </w:t>
      </w:r>
      <w:r w:rsidRPr="00445116">
        <w:rPr>
          <w:bCs/>
        </w:rPr>
        <w:t xml:space="preserve">detection should have their packaging marked to identify the product as </w:t>
      </w:r>
      <w:r w:rsidRPr="00445116">
        <w:rPr>
          <w:bCs/>
        </w:rPr>
        <w:lastRenderedPageBreak/>
        <w:t>having been rejected.</w:t>
      </w:r>
      <w:r w:rsidR="006573DD" w:rsidRPr="00445116">
        <w:rPr>
          <w:bCs/>
        </w:rPr>
        <w:t xml:space="preserve">  </w:t>
      </w:r>
      <w:r w:rsidRPr="00445116">
        <w:rPr>
          <w:bCs/>
        </w:rPr>
        <w:t xml:space="preserve">In light of these concerns, consideration also needs to be given </w:t>
      </w:r>
      <w:r w:rsidR="00AC569D" w:rsidRPr="00445116">
        <w:rPr>
          <w:bCs/>
        </w:rPr>
        <w:t xml:space="preserve">to </w:t>
      </w:r>
      <w:r w:rsidRPr="00445116">
        <w:rPr>
          <w:bCs/>
        </w:rPr>
        <w:t>following up on Recommendation 12 of the</w:t>
      </w:r>
      <w:r w:rsidR="0017506E" w:rsidRPr="00445116">
        <w:rPr>
          <w:bCs/>
        </w:rPr>
        <w:t xml:space="preserve"> IGB</w:t>
      </w:r>
      <w:r w:rsidRPr="00445116">
        <w:rPr>
          <w:bCs/>
        </w:rPr>
        <w:t xml:space="preserve"> Report</w:t>
      </w:r>
      <w:r w:rsidR="006573DD" w:rsidRPr="00445116">
        <w:rPr>
          <w:bCs/>
        </w:rPr>
        <w:t xml:space="preserve"> </w:t>
      </w:r>
      <w:r w:rsidR="0017506E" w:rsidRPr="00445116">
        <w:rPr>
          <w:bCs/>
        </w:rPr>
        <w:t>2017</w:t>
      </w:r>
      <w:r w:rsidR="006573DD" w:rsidRPr="00445116">
        <w:rPr>
          <w:bCs/>
        </w:rPr>
        <w:t xml:space="preserve"> </w:t>
      </w:r>
      <w:r w:rsidRPr="00445116">
        <w:rPr>
          <w:bCs/>
        </w:rPr>
        <w:t>to ensure penalties for non-compliance by importers are set at an appropriate level.</w:t>
      </w:r>
    </w:p>
    <w:p w14:paraId="6C0EAECB" w14:textId="501096D3" w:rsidR="009E7192" w:rsidRPr="00445116" w:rsidRDefault="009E7192" w:rsidP="009E7192">
      <w:pPr>
        <w:rPr>
          <w:bCs/>
        </w:rPr>
      </w:pPr>
      <w:r w:rsidRPr="00445116">
        <w:rPr>
          <w:bCs/>
        </w:rPr>
        <w:t xml:space="preserve">In summary, confidence in Australian stakeholders is dependent on the quality of the monitoring and compliance programs that support truthful reporting and sampling. </w:t>
      </w:r>
      <w:r w:rsidR="00F26271" w:rsidRPr="00445116">
        <w:rPr>
          <w:bCs/>
        </w:rPr>
        <w:t xml:space="preserve"> </w:t>
      </w:r>
      <w:r w:rsidRPr="00445116">
        <w:rPr>
          <w:bCs/>
        </w:rPr>
        <w:t xml:space="preserve">The Expert Panel recommends that reporting arrangements are strengthened for batch testing. </w:t>
      </w:r>
      <w:r w:rsidR="00F26271" w:rsidRPr="00445116">
        <w:rPr>
          <w:bCs/>
        </w:rPr>
        <w:t xml:space="preserve"> </w:t>
      </w:r>
      <w:r w:rsidRPr="00445116">
        <w:rPr>
          <w:bCs/>
        </w:rPr>
        <w:t xml:space="preserve">There needs to be improved governance in relation to batch identification pre-export to ensure product is not being falsely claimed as one batch and that the origin of the prawns </w:t>
      </w:r>
      <w:r w:rsidR="003B3D0A" w:rsidRPr="00445116">
        <w:rPr>
          <w:bCs/>
        </w:rPr>
        <w:t>is</w:t>
      </w:r>
      <w:r w:rsidRPr="00445116">
        <w:rPr>
          <w:bCs/>
        </w:rPr>
        <w:t xml:space="preserve"> traceable through improved pre-export recording systems. </w:t>
      </w:r>
      <w:r w:rsidR="00F26271" w:rsidRPr="00445116">
        <w:rPr>
          <w:bCs/>
        </w:rPr>
        <w:t xml:space="preserve"> </w:t>
      </w:r>
      <w:r w:rsidRPr="00445116">
        <w:rPr>
          <w:bCs/>
        </w:rPr>
        <w:t xml:space="preserve">Pre-export testing laboratories must be approved by the Certifying Authority in that country and conform to </w:t>
      </w:r>
      <w:r w:rsidR="00DB4B9E" w:rsidRPr="00445116">
        <w:rPr>
          <w:bCs/>
        </w:rPr>
        <w:t xml:space="preserve">recognised </w:t>
      </w:r>
      <w:r w:rsidRPr="00445116">
        <w:rPr>
          <w:bCs/>
        </w:rPr>
        <w:t>standards.</w:t>
      </w:r>
      <w:r w:rsidR="00F26271" w:rsidRPr="00445116">
        <w:rPr>
          <w:bCs/>
        </w:rPr>
        <w:t xml:space="preserve"> </w:t>
      </w:r>
      <w:r w:rsidRPr="00445116">
        <w:rPr>
          <w:bCs/>
        </w:rPr>
        <w:t xml:space="preserve"> Testing certificates should be provided for each batch.</w:t>
      </w:r>
      <w:r w:rsidRPr="00445116" w:rsidDel="0017506E">
        <w:rPr>
          <w:bCs/>
        </w:rPr>
        <w:t xml:space="preserve"> </w:t>
      </w:r>
    </w:p>
    <w:tbl>
      <w:tblPr>
        <w:tblStyle w:val="TableGrid"/>
        <w:tblW w:w="0" w:type="auto"/>
        <w:tblLook w:val="04A0" w:firstRow="1" w:lastRow="0" w:firstColumn="1" w:lastColumn="0" w:noHBand="0" w:noVBand="1"/>
      </w:tblPr>
      <w:tblGrid>
        <w:gridCol w:w="9016"/>
      </w:tblGrid>
      <w:tr w:rsidR="005379EE" w:rsidRPr="00445116" w14:paraId="6CBA9AE9" w14:textId="77777777" w:rsidTr="0098231E">
        <w:tc>
          <w:tcPr>
            <w:tcW w:w="9016" w:type="dxa"/>
          </w:tcPr>
          <w:p w14:paraId="2865F39F" w14:textId="13D547AC" w:rsidR="005379EE" w:rsidRPr="00445116" w:rsidRDefault="005379EE" w:rsidP="0098231E">
            <w:pPr>
              <w:rPr>
                <w:b/>
              </w:rPr>
            </w:pPr>
            <w:r w:rsidRPr="00445116">
              <w:rPr>
                <w:b/>
              </w:rPr>
              <w:t>Recommendation</w:t>
            </w:r>
            <w:r w:rsidR="00DB79D8" w:rsidRPr="00445116">
              <w:rPr>
                <w:b/>
              </w:rPr>
              <w:t xml:space="preserve"> 6</w:t>
            </w:r>
            <w:r w:rsidRPr="00445116">
              <w:rPr>
                <w:b/>
              </w:rPr>
              <w:t xml:space="preserve">: </w:t>
            </w:r>
          </w:p>
          <w:p w14:paraId="32AE8895" w14:textId="54582BCE" w:rsidR="005379EE" w:rsidRPr="00445116" w:rsidRDefault="005379EE" w:rsidP="00C26E0B">
            <w:r w:rsidRPr="00445116">
              <w:rPr>
                <w:bCs/>
              </w:rPr>
              <w:t xml:space="preserve">The Provisional Final Report </w:t>
            </w:r>
            <w:r w:rsidR="00DB79D8" w:rsidRPr="00445116">
              <w:rPr>
                <w:bCs/>
              </w:rPr>
              <w:t>outlines</w:t>
            </w:r>
            <w:r w:rsidRPr="00445116">
              <w:rPr>
                <w:bCs/>
              </w:rPr>
              <w:t xml:space="preserve"> the Department’s extensive actions undertaken since the 2016 incursion and in response to the recommendations of the IGB Report 2017</w:t>
            </w:r>
            <w:r w:rsidR="00C26E0B" w:rsidRPr="00445116">
              <w:rPr>
                <w:bCs/>
              </w:rPr>
              <w:t>.</w:t>
            </w:r>
          </w:p>
        </w:tc>
      </w:tr>
    </w:tbl>
    <w:p w14:paraId="100AE6A4" w14:textId="77777777" w:rsidR="005379EE" w:rsidRPr="00445116" w:rsidRDefault="005379EE" w:rsidP="009E7192">
      <w:pPr>
        <w:rPr>
          <w:bCs/>
        </w:rPr>
      </w:pPr>
    </w:p>
    <w:p w14:paraId="02005710" w14:textId="40C80B5E" w:rsidR="001D7831" w:rsidRPr="00445116" w:rsidRDefault="00032AF6" w:rsidP="00A82A48">
      <w:pPr>
        <w:pStyle w:val="Heading4"/>
      </w:pPr>
      <w:bookmarkStart w:id="28" w:name="_Toc72416541"/>
      <w:r w:rsidRPr="00445116">
        <w:t>Disease pathways</w:t>
      </w:r>
      <w:r w:rsidR="00F254A1" w:rsidRPr="00445116">
        <w:t xml:space="preserve"> and the Biosecurity Continuum</w:t>
      </w:r>
      <w:bookmarkEnd w:id="28"/>
    </w:p>
    <w:p w14:paraId="68D312C3" w14:textId="362CCBCC" w:rsidR="00F254A1" w:rsidRPr="00445116" w:rsidRDefault="00F254A1" w:rsidP="00F254A1">
      <w:pPr>
        <w:rPr>
          <w:bCs/>
        </w:rPr>
      </w:pPr>
      <w:r w:rsidRPr="00445116">
        <w:rPr>
          <w:bCs/>
        </w:rPr>
        <w:t xml:space="preserve">The Expert Panel agrees with the </w:t>
      </w:r>
      <w:r w:rsidR="008C5EA2" w:rsidRPr="00445116">
        <w:rPr>
          <w:bCs/>
        </w:rPr>
        <w:t>D</w:t>
      </w:r>
      <w:r w:rsidRPr="00445116">
        <w:rPr>
          <w:bCs/>
        </w:rPr>
        <w:t>epartment that the source of the 2016 outbreak of WSSV cannot be known definitively.  However, we suggest that on the balance of probabilities</w:t>
      </w:r>
      <w:r w:rsidR="00153059" w:rsidRPr="00445116">
        <w:rPr>
          <w:bCs/>
        </w:rPr>
        <w:t>,</w:t>
      </w:r>
      <w:r w:rsidRPr="00445116">
        <w:rPr>
          <w:bCs/>
        </w:rPr>
        <w:t xml:space="preserve"> the most likely route is through the use of imported raw prawns for bait and berley.  The </w:t>
      </w:r>
      <w:r w:rsidR="00DB4B9E" w:rsidRPr="00445116">
        <w:rPr>
          <w:bCs/>
        </w:rPr>
        <w:t xml:space="preserve">Provisional </w:t>
      </w:r>
      <w:r w:rsidR="00A60FC0" w:rsidRPr="00445116">
        <w:rPr>
          <w:bCs/>
        </w:rPr>
        <w:t xml:space="preserve">Final </w:t>
      </w:r>
      <w:r w:rsidR="00DB4B9E" w:rsidRPr="00445116">
        <w:rPr>
          <w:bCs/>
        </w:rPr>
        <w:t xml:space="preserve">Report </w:t>
      </w:r>
      <w:r w:rsidRPr="00445116">
        <w:rPr>
          <w:bCs/>
        </w:rPr>
        <w:t xml:space="preserve">would be improved if it updated the Department’s assessment of the likely pathway using updated information provided by stakeholders.  At the very least, it </w:t>
      </w:r>
      <w:r w:rsidR="00153059" w:rsidRPr="00445116">
        <w:rPr>
          <w:bCs/>
        </w:rPr>
        <w:t>should</w:t>
      </w:r>
      <w:r w:rsidRPr="00445116">
        <w:rPr>
          <w:bCs/>
        </w:rPr>
        <w:t xml:space="preserve"> discard a number of </w:t>
      </w:r>
      <w:r w:rsidR="008C5EA2" w:rsidRPr="00445116">
        <w:rPr>
          <w:bCs/>
        </w:rPr>
        <w:t xml:space="preserve">alternative </w:t>
      </w:r>
      <w:r w:rsidRPr="00445116">
        <w:rPr>
          <w:bCs/>
        </w:rPr>
        <w:t xml:space="preserve">pathways.  </w:t>
      </w:r>
    </w:p>
    <w:tbl>
      <w:tblPr>
        <w:tblStyle w:val="TableGrid"/>
        <w:tblW w:w="0" w:type="auto"/>
        <w:tblLook w:val="04A0" w:firstRow="1" w:lastRow="0" w:firstColumn="1" w:lastColumn="0" w:noHBand="0" w:noVBand="1"/>
      </w:tblPr>
      <w:tblGrid>
        <w:gridCol w:w="9016"/>
      </w:tblGrid>
      <w:tr w:rsidR="009B33B1" w:rsidRPr="00445116" w14:paraId="4F3D30A7" w14:textId="77777777" w:rsidTr="009B33B1">
        <w:tc>
          <w:tcPr>
            <w:tcW w:w="9016" w:type="dxa"/>
          </w:tcPr>
          <w:p w14:paraId="13827FDD" w14:textId="0B087111" w:rsidR="009B33B1" w:rsidRPr="00445116" w:rsidRDefault="009B33B1" w:rsidP="009B33B1">
            <w:pPr>
              <w:rPr>
                <w:b/>
              </w:rPr>
            </w:pPr>
            <w:r w:rsidRPr="00445116">
              <w:rPr>
                <w:b/>
              </w:rPr>
              <w:t>Recommendation</w:t>
            </w:r>
            <w:r w:rsidR="000C6E64" w:rsidRPr="00445116">
              <w:rPr>
                <w:b/>
              </w:rPr>
              <w:t xml:space="preserve"> 7</w:t>
            </w:r>
            <w:r w:rsidR="00C80A1A" w:rsidRPr="00445116">
              <w:rPr>
                <w:b/>
              </w:rPr>
              <w:t>:</w:t>
            </w:r>
            <w:r w:rsidRPr="00445116">
              <w:rPr>
                <w:b/>
              </w:rPr>
              <w:t xml:space="preserve"> </w:t>
            </w:r>
          </w:p>
          <w:p w14:paraId="31561A56" w14:textId="5A5C2161" w:rsidR="009B33B1" w:rsidRPr="00445116" w:rsidRDefault="009B33B1" w:rsidP="00767BF1">
            <w:pPr>
              <w:rPr>
                <w:bCs/>
              </w:rPr>
            </w:pPr>
            <w:r w:rsidRPr="00445116">
              <w:rPr>
                <w:bCs/>
              </w:rPr>
              <w:t>The Provisional Final Report acknowledg</w:t>
            </w:r>
            <w:r w:rsidR="00DB79D8" w:rsidRPr="00445116">
              <w:rPr>
                <w:bCs/>
              </w:rPr>
              <w:t>es</w:t>
            </w:r>
            <w:r w:rsidRPr="00445116">
              <w:rPr>
                <w:bCs/>
              </w:rPr>
              <w:t xml:space="preserve"> that, on the balance of probabilities, the use of imported prawns for bait and berley by recreational fishers is a likely pathway of the 2016 disease incursion</w:t>
            </w:r>
            <w:r w:rsidR="00C26E0B" w:rsidRPr="00445116">
              <w:rPr>
                <w:bCs/>
              </w:rPr>
              <w:t>.</w:t>
            </w:r>
          </w:p>
        </w:tc>
      </w:tr>
    </w:tbl>
    <w:p w14:paraId="24D6E0EC" w14:textId="77777777" w:rsidR="00DB4B9E" w:rsidRPr="00445116" w:rsidRDefault="00DB4B9E" w:rsidP="00F254A1">
      <w:pPr>
        <w:rPr>
          <w:bCs/>
        </w:rPr>
      </w:pPr>
    </w:p>
    <w:p w14:paraId="7B625354" w14:textId="515D2C81" w:rsidR="00032AF6" w:rsidRPr="00445116" w:rsidRDefault="00032AF6" w:rsidP="00773F92">
      <w:pPr>
        <w:rPr>
          <w:bCs/>
        </w:rPr>
      </w:pPr>
      <w:r w:rsidRPr="00445116">
        <w:rPr>
          <w:bCs/>
        </w:rPr>
        <w:t xml:space="preserve">As raw prawns have greater appeal as bait than cooked prawns, the pre-export and on-arrival testing should ensure the risk of WSSV </w:t>
      </w:r>
      <w:r w:rsidR="00291813" w:rsidRPr="00445116">
        <w:rPr>
          <w:bCs/>
        </w:rPr>
        <w:t xml:space="preserve">and YHV1 </w:t>
      </w:r>
      <w:r w:rsidRPr="00445116">
        <w:rPr>
          <w:bCs/>
        </w:rPr>
        <w:t>remains very low.  However, all jurisdictions have a role in regulating recreational fishing and better education around bait sources and use will assist in addressing this pathway.</w:t>
      </w:r>
      <w:r w:rsidR="00D57ABB" w:rsidRPr="00445116">
        <w:rPr>
          <w:bCs/>
        </w:rPr>
        <w:t xml:space="preserve"> </w:t>
      </w:r>
      <w:r w:rsidR="005522EA" w:rsidRPr="00445116">
        <w:rPr>
          <w:bCs/>
        </w:rPr>
        <w:t xml:space="preserve"> </w:t>
      </w:r>
      <w:r w:rsidR="00D57ABB" w:rsidRPr="00445116">
        <w:rPr>
          <w:bCs/>
        </w:rPr>
        <w:t>Aquaculture operators, aquariums and aquatic research institutions also need to improve their general biosecurity protocols and not use imported seafood as a food source, unless specifically imported for that use.</w:t>
      </w:r>
      <w:r w:rsidR="0073569D" w:rsidRPr="00445116">
        <w:rPr>
          <w:bCs/>
        </w:rPr>
        <w:t xml:space="preserve"> </w:t>
      </w:r>
      <w:r w:rsidR="005522EA" w:rsidRPr="00445116">
        <w:rPr>
          <w:bCs/>
        </w:rPr>
        <w:t xml:space="preserve"> </w:t>
      </w:r>
      <w:r w:rsidR="0073569D" w:rsidRPr="00445116">
        <w:rPr>
          <w:bCs/>
        </w:rPr>
        <w:t>This issue is similar to swill feeding for pigs, where the inclusion of meat or meat products is prohi</w:t>
      </w:r>
      <w:r w:rsidR="007019D0" w:rsidRPr="00445116">
        <w:rPr>
          <w:bCs/>
        </w:rPr>
        <w:t>bi</w:t>
      </w:r>
      <w:r w:rsidR="0073569D" w:rsidRPr="00445116">
        <w:rPr>
          <w:bCs/>
        </w:rPr>
        <w:t>ted in Australia, due to the threat from Foot and Mouth Disease (FMD).</w:t>
      </w:r>
    </w:p>
    <w:p w14:paraId="46160848" w14:textId="1F901FD5" w:rsidR="006573DD" w:rsidRPr="00445116" w:rsidRDefault="006573DD" w:rsidP="006573DD">
      <w:pPr>
        <w:rPr>
          <w:bCs/>
        </w:rPr>
      </w:pPr>
      <w:r w:rsidRPr="00445116">
        <w:rPr>
          <w:bCs/>
        </w:rPr>
        <w:t xml:space="preserve">Biosecurity is not the sole responsibility of the Federal Government.  The Expert Panel suggests that the </w:t>
      </w:r>
      <w:r w:rsidR="009B33B1" w:rsidRPr="00445116">
        <w:rPr>
          <w:bCs/>
        </w:rPr>
        <w:t xml:space="preserve">Provisional Final Report comment </w:t>
      </w:r>
      <w:r w:rsidRPr="00445116">
        <w:rPr>
          <w:bCs/>
        </w:rPr>
        <w:t>on the need for a range of complementary post-border biosecurity measures, as biosecurity cannot be only managed at the border.  State</w:t>
      </w:r>
      <w:r w:rsidR="005522EA" w:rsidRPr="00445116">
        <w:rPr>
          <w:bCs/>
        </w:rPr>
        <w:t xml:space="preserve"> and Territory</w:t>
      </w:r>
      <w:r w:rsidRPr="00445116">
        <w:rPr>
          <w:bCs/>
        </w:rPr>
        <w:t xml:space="preserve"> Governments, peak industry bodies and individual industry players all have a role in ensuring local production includes strategies to prevent the </w:t>
      </w:r>
      <w:r w:rsidR="006D742F" w:rsidRPr="00445116">
        <w:rPr>
          <w:bCs/>
        </w:rPr>
        <w:t xml:space="preserve">introduction and </w:t>
      </w:r>
      <w:r w:rsidRPr="00445116">
        <w:rPr>
          <w:bCs/>
        </w:rPr>
        <w:t>spread of disease</w:t>
      </w:r>
      <w:r w:rsidR="007D7434" w:rsidRPr="00445116">
        <w:rPr>
          <w:bCs/>
        </w:rPr>
        <w:t>,</w:t>
      </w:r>
      <w:r w:rsidRPr="00445116">
        <w:rPr>
          <w:bCs/>
        </w:rPr>
        <w:t xml:space="preserve"> if a problem arises in the future. </w:t>
      </w:r>
    </w:p>
    <w:p w14:paraId="0A546EA3" w14:textId="322EEB33" w:rsidR="007019D0" w:rsidRPr="00445116" w:rsidRDefault="007019D0" w:rsidP="00A82A48">
      <w:pPr>
        <w:pStyle w:val="Heading4"/>
      </w:pPr>
      <w:bookmarkStart w:id="29" w:name="_Toc72416542"/>
      <w:r w:rsidRPr="00445116">
        <w:lastRenderedPageBreak/>
        <w:t>A</w:t>
      </w:r>
      <w:r w:rsidR="005522EA" w:rsidRPr="00445116">
        <w:t>ppropriate</w:t>
      </w:r>
      <w:r w:rsidRPr="00445116">
        <w:t xml:space="preserve"> Level of Protection (ALOP)</w:t>
      </w:r>
      <w:r w:rsidR="00786FD4" w:rsidRPr="00445116">
        <w:t xml:space="preserve"> – Consistency among commodities</w:t>
      </w:r>
      <w:bookmarkEnd w:id="29"/>
    </w:p>
    <w:p w14:paraId="04D627DC" w14:textId="2EFCB5B9" w:rsidR="007019D0" w:rsidRPr="00445116" w:rsidRDefault="000E0F1B" w:rsidP="00773F92">
      <w:pPr>
        <w:rPr>
          <w:bCs/>
        </w:rPr>
      </w:pPr>
      <w:proofErr w:type="gramStart"/>
      <w:r w:rsidRPr="00445116">
        <w:rPr>
          <w:bCs/>
        </w:rPr>
        <w:t>A number of</w:t>
      </w:r>
      <w:proofErr w:type="gramEnd"/>
      <w:r w:rsidRPr="00445116">
        <w:rPr>
          <w:bCs/>
        </w:rPr>
        <w:t xml:space="preserve"> submission</w:t>
      </w:r>
      <w:r w:rsidR="0036674D" w:rsidRPr="00445116">
        <w:rPr>
          <w:bCs/>
        </w:rPr>
        <w:t>s</w:t>
      </w:r>
      <w:r w:rsidRPr="00445116">
        <w:rPr>
          <w:bCs/>
        </w:rPr>
        <w:t xml:space="preserve"> raised the issue of consistency with the </w:t>
      </w:r>
      <w:r w:rsidR="00335840" w:rsidRPr="00445116">
        <w:rPr>
          <w:bCs/>
        </w:rPr>
        <w:t xml:space="preserve">application of </w:t>
      </w:r>
      <w:r w:rsidRPr="00445116">
        <w:rPr>
          <w:bCs/>
        </w:rPr>
        <w:t xml:space="preserve">ALOP in allowing </w:t>
      </w:r>
      <w:r w:rsidR="00024BAB" w:rsidRPr="00445116">
        <w:rPr>
          <w:bCs/>
        </w:rPr>
        <w:t xml:space="preserve">non-viable, </w:t>
      </w:r>
      <w:r w:rsidRPr="00445116">
        <w:rPr>
          <w:bCs/>
        </w:rPr>
        <w:t xml:space="preserve">frozen, uncooked, whole prawns to be imported into Australia, as there is a belief that other </w:t>
      </w:r>
      <w:r w:rsidR="00C10EBD" w:rsidRPr="00445116">
        <w:rPr>
          <w:bCs/>
        </w:rPr>
        <w:t xml:space="preserve">raw </w:t>
      </w:r>
      <w:r w:rsidRPr="00445116">
        <w:rPr>
          <w:bCs/>
        </w:rPr>
        <w:t>products, such as meat and salmon are greatly restricted.</w:t>
      </w:r>
      <w:r w:rsidR="00C277E1" w:rsidRPr="00445116">
        <w:rPr>
          <w:bCs/>
        </w:rPr>
        <w:t xml:space="preserve">  The Expert Panel found no inconsistency is the way the </w:t>
      </w:r>
      <w:r w:rsidR="00024BAB" w:rsidRPr="00445116">
        <w:rPr>
          <w:bCs/>
        </w:rPr>
        <w:t>D</w:t>
      </w:r>
      <w:r w:rsidR="00C277E1" w:rsidRPr="00445116">
        <w:rPr>
          <w:bCs/>
        </w:rPr>
        <w:t>epartment has app</w:t>
      </w:r>
      <w:r w:rsidR="00B616CC" w:rsidRPr="00445116">
        <w:rPr>
          <w:bCs/>
        </w:rPr>
        <w:t>l</w:t>
      </w:r>
      <w:r w:rsidR="00C277E1" w:rsidRPr="00445116">
        <w:rPr>
          <w:bCs/>
        </w:rPr>
        <w:t>ied the ALOP for prawn products.</w:t>
      </w:r>
      <w:r w:rsidR="00B44E18" w:rsidRPr="00445116">
        <w:rPr>
          <w:bCs/>
        </w:rPr>
        <w:t xml:space="preserve"> </w:t>
      </w:r>
    </w:p>
    <w:p w14:paraId="6921747E" w14:textId="6219E276" w:rsidR="00BE7FE5" w:rsidRPr="00445116" w:rsidRDefault="00BE7FE5" w:rsidP="007136FF">
      <w:r w:rsidRPr="00445116">
        <w:t>The Department informed the Panel</w:t>
      </w:r>
      <w:r w:rsidR="009B33B1" w:rsidRPr="00445116">
        <w:t xml:space="preserve"> that no</w:t>
      </w:r>
      <w:r w:rsidRPr="00445116">
        <w:t xml:space="preserve">t all meat imported into Australia is cooked. </w:t>
      </w:r>
      <w:r w:rsidR="006D5474" w:rsidRPr="00445116">
        <w:t xml:space="preserve"> </w:t>
      </w:r>
      <w:r w:rsidRPr="00445116">
        <w:t xml:space="preserve">For example, uncooked beef is permitted from Japan and New Zealand. </w:t>
      </w:r>
      <w:r w:rsidR="006D5474" w:rsidRPr="00445116">
        <w:t xml:space="preserve"> </w:t>
      </w:r>
      <w:r w:rsidRPr="00445116">
        <w:t>For pork products, the requirements are disease specific and include cooking for some diseases, but for others, removal of the risk tissue is sufficient to manage risk</w:t>
      </w:r>
      <w:r w:rsidR="009B33B1" w:rsidRPr="00445116">
        <w:t xml:space="preserve">.  </w:t>
      </w:r>
    </w:p>
    <w:tbl>
      <w:tblPr>
        <w:tblStyle w:val="TableGrid"/>
        <w:tblW w:w="0" w:type="auto"/>
        <w:tblLook w:val="04A0" w:firstRow="1" w:lastRow="0" w:firstColumn="1" w:lastColumn="0" w:noHBand="0" w:noVBand="1"/>
      </w:tblPr>
      <w:tblGrid>
        <w:gridCol w:w="9016"/>
      </w:tblGrid>
      <w:tr w:rsidR="009B33B1" w:rsidRPr="00445116" w14:paraId="755BD3E2" w14:textId="77777777" w:rsidTr="009B33B1">
        <w:tc>
          <w:tcPr>
            <w:tcW w:w="9016" w:type="dxa"/>
          </w:tcPr>
          <w:p w14:paraId="4F0EB481" w14:textId="4E2B1CA3" w:rsidR="00767BF1" w:rsidRPr="00445116" w:rsidRDefault="009B33B1" w:rsidP="009B33B1">
            <w:pPr>
              <w:rPr>
                <w:b/>
              </w:rPr>
            </w:pPr>
            <w:r w:rsidRPr="00445116">
              <w:rPr>
                <w:b/>
              </w:rPr>
              <w:t>Recommendation</w:t>
            </w:r>
            <w:r w:rsidR="0083272D" w:rsidRPr="00445116">
              <w:rPr>
                <w:b/>
              </w:rPr>
              <w:t xml:space="preserve"> </w:t>
            </w:r>
            <w:r w:rsidR="0086697D" w:rsidRPr="00445116">
              <w:rPr>
                <w:b/>
              </w:rPr>
              <w:t>8</w:t>
            </w:r>
            <w:r w:rsidR="008D3516" w:rsidRPr="00445116">
              <w:rPr>
                <w:b/>
              </w:rPr>
              <w:t>:</w:t>
            </w:r>
            <w:r w:rsidRPr="00445116">
              <w:rPr>
                <w:b/>
              </w:rPr>
              <w:t xml:space="preserve">  </w:t>
            </w:r>
          </w:p>
          <w:p w14:paraId="31E9E751" w14:textId="43AB1F46" w:rsidR="009B33B1" w:rsidRPr="00445116" w:rsidRDefault="009B33B1" w:rsidP="009B33B1">
            <w:r w:rsidRPr="00445116">
              <w:rPr>
                <w:bCs/>
              </w:rPr>
              <w:t>The Provisional Final Report indicate</w:t>
            </w:r>
            <w:r w:rsidR="00DB79D8" w:rsidRPr="00445116">
              <w:rPr>
                <w:bCs/>
              </w:rPr>
              <w:t>s</w:t>
            </w:r>
            <w:r w:rsidRPr="00445116">
              <w:rPr>
                <w:bCs/>
              </w:rPr>
              <w:t xml:space="preserve"> how the </w:t>
            </w:r>
            <w:r w:rsidR="00153059" w:rsidRPr="00445116">
              <w:rPr>
                <w:bCs/>
              </w:rPr>
              <w:t>biosecurity</w:t>
            </w:r>
            <w:r w:rsidRPr="00445116">
              <w:rPr>
                <w:bCs/>
              </w:rPr>
              <w:t xml:space="preserve"> arrangements for </w:t>
            </w:r>
            <w:r w:rsidR="00652CC2" w:rsidRPr="00445116">
              <w:rPr>
                <w:bCs/>
              </w:rPr>
              <w:t xml:space="preserve">imported </w:t>
            </w:r>
            <w:r w:rsidRPr="00445116">
              <w:rPr>
                <w:bCs/>
              </w:rPr>
              <w:t xml:space="preserve">prawns are consistent with that taken for other </w:t>
            </w:r>
            <w:r w:rsidR="00652CC2" w:rsidRPr="00445116">
              <w:rPr>
                <w:bCs/>
              </w:rPr>
              <w:t xml:space="preserve">imported </w:t>
            </w:r>
            <w:r w:rsidRPr="00445116">
              <w:rPr>
                <w:bCs/>
              </w:rPr>
              <w:t>meat products (beef, pork and chicken).</w:t>
            </w:r>
          </w:p>
        </w:tc>
      </w:tr>
    </w:tbl>
    <w:p w14:paraId="6082C1A6" w14:textId="77777777" w:rsidR="00767BF1" w:rsidRPr="00445116" w:rsidRDefault="00767BF1" w:rsidP="00DB79D8"/>
    <w:p w14:paraId="40C4E501" w14:textId="736232FF" w:rsidR="00287595" w:rsidRPr="00445116" w:rsidRDefault="00B44E18">
      <w:pPr>
        <w:rPr>
          <w:bCs/>
        </w:rPr>
      </w:pPr>
      <w:r w:rsidRPr="00445116">
        <w:rPr>
          <w:bCs/>
        </w:rPr>
        <w:t>The Queensland Government has directed that all prawn products from the</w:t>
      </w:r>
      <w:r w:rsidR="00905436" w:rsidRPr="00445116">
        <w:rPr>
          <w:bCs/>
        </w:rPr>
        <w:t xml:space="preserve"> WSSV</w:t>
      </w:r>
      <w:r w:rsidRPr="00445116">
        <w:rPr>
          <w:bCs/>
        </w:rPr>
        <w:t xml:space="preserve"> control zone in the Logan Shire must be cooked </w:t>
      </w:r>
      <w:r w:rsidR="000F059D" w:rsidRPr="00445116">
        <w:rPr>
          <w:bCs/>
        </w:rPr>
        <w:t>(</w:t>
      </w:r>
      <w:r w:rsidR="00D91A60" w:rsidRPr="00445116">
        <w:rPr>
          <w:bCs/>
        </w:rPr>
        <w:t>or irradiated</w:t>
      </w:r>
      <w:r w:rsidR="000F059D" w:rsidRPr="00445116">
        <w:rPr>
          <w:bCs/>
        </w:rPr>
        <w:t xml:space="preserve"> in the case of bait prawns)</w:t>
      </w:r>
      <w:r w:rsidR="00D91A60" w:rsidRPr="00445116">
        <w:rPr>
          <w:bCs/>
        </w:rPr>
        <w:t xml:space="preserve"> </w:t>
      </w:r>
      <w:r w:rsidRPr="00445116">
        <w:rPr>
          <w:bCs/>
        </w:rPr>
        <w:t xml:space="preserve">before being sold outside this control zone. </w:t>
      </w:r>
      <w:r w:rsidR="005522EA" w:rsidRPr="00445116">
        <w:rPr>
          <w:bCs/>
        </w:rPr>
        <w:t xml:space="preserve"> </w:t>
      </w:r>
      <w:r w:rsidRPr="00445116">
        <w:rPr>
          <w:bCs/>
        </w:rPr>
        <w:t xml:space="preserve">That is a reasonable </w:t>
      </w:r>
      <w:r w:rsidR="00905436" w:rsidRPr="00445116">
        <w:rPr>
          <w:bCs/>
        </w:rPr>
        <w:t xml:space="preserve">biosecurity </w:t>
      </w:r>
      <w:r w:rsidRPr="00445116">
        <w:rPr>
          <w:bCs/>
        </w:rPr>
        <w:t>control</w:t>
      </w:r>
      <w:r w:rsidR="00580502" w:rsidRPr="00445116">
        <w:rPr>
          <w:bCs/>
        </w:rPr>
        <w:t>,</w:t>
      </w:r>
      <w:r w:rsidRPr="00445116">
        <w:rPr>
          <w:bCs/>
        </w:rPr>
        <w:t xml:space="preserve"> when understanding that </w:t>
      </w:r>
      <w:r w:rsidR="0082209C" w:rsidRPr="00445116">
        <w:rPr>
          <w:bCs/>
        </w:rPr>
        <w:t xml:space="preserve">some </w:t>
      </w:r>
      <w:r w:rsidRPr="00445116">
        <w:rPr>
          <w:bCs/>
        </w:rPr>
        <w:t xml:space="preserve">recreational fishers in </w:t>
      </w:r>
      <w:r w:rsidR="00767AB2" w:rsidRPr="00445116">
        <w:rPr>
          <w:bCs/>
        </w:rPr>
        <w:t xml:space="preserve">south-east </w:t>
      </w:r>
      <w:r w:rsidRPr="00445116">
        <w:rPr>
          <w:bCs/>
        </w:rPr>
        <w:t>Queensland</w:t>
      </w:r>
      <w:r w:rsidR="00767AB2" w:rsidRPr="00445116">
        <w:rPr>
          <w:bCs/>
        </w:rPr>
        <w:t xml:space="preserve"> (and elsewhere) </w:t>
      </w:r>
      <w:r w:rsidRPr="00445116">
        <w:rPr>
          <w:bCs/>
        </w:rPr>
        <w:t xml:space="preserve">use raw prawns for bait and </w:t>
      </w:r>
      <w:r w:rsidR="00580502" w:rsidRPr="00445116">
        <w:rPr>
          <w:bCs/>
        </w:rPr>
        <w:t>b</w:t>
      </w:r>
      <w:r w:rsidR="00767AB2" w:rsidRPr="00445116">
        <w:rPr>
          <w:bCs/>
        </w:rPr>
        <w:t>e</w:t>
      </w:r>
      <w:r w:rsidR="00580502" w:rsidRPr="00445116">
        <w:rPr>
          <w:bCs/>
        </w:rPr>
        <w:t>rley</w:t>
      </w:r>
      <w:r w:rsidR="00905436" w:rsidRPr="00445116">
        <w:rPr>
          <w:bCs/>
        </w:rPr>
        <w:t xml:space="preserve"> and is not inconsistent with the ALOP in determining that frozen, uncooked, </w:t>
      </w:r>
      <w:r w:rsidR="005644E3" w:rsidRPr="00445116">
        <w:rPr>
          <w:bCs/>
        </w:rPr>
        <w:t>shelled</w:t>
      </w:r>
      <w:r w:rsidR="008F1711" w:rsidRPr="00445116">
        <w:rPr>
          <w:bCs/>
        </w:rPr>
        <w:t>, de</w:t>
      </w:r>
      <w:r w:rsidR="008920F0" w:rsidRPr="00445116">
        <w:rPr>
          <w:bCs/>
        </w:rPr>
        <w:t>-</w:t>
      </w:r>
      <w:r w:rsidR="008F1711" w:rsidRPr="00445116">
        <w:rPr>
          <w:bCs/>
        </w:rPr>
        <w:t>headed, deveined prawns</w:t>
      </w:r>
      <w:r w:rsidR="00905436" w:rsidRPr="00445116">
        <w:rPr>
          <w:bCs/>
        </w:rPr>
        <w:t xml:space="preserve"> can be imported, so long as pre-export and on-arrival testing for WSSV </w:t>
      </w:r>
      <w:r w:rsidR="00D91A60" w:rsidRPr="00445116">
        <w:rPr>
          <w:bCs/>
        </w:rPr>
        <w:t>and YHV1</w:t>
      </w:r>
      <w:r w:rsidR="00905436" w:rsidRPr="00445116">
        <w:rPr>
          <w:bCs/>
        </w:rPr>
        <w:t xml:space="preserve"> is conducted.</w:t>
      </w:r>
      <w:r w:rsidR="00BE7FE5" w:rsidRPr="00445116">
        <w:rPr>
          <w:bCs/>
        </w:rPr>
        <w:t xml:space="preserve"> </w:t>
      </w:r>
      <w:r w:rsidR="00F26271" w:rsidRPr="00445116">
        <w:rPr>
          <w:bCs/>
        </w:rPr>
        <w:t xml:space="preserve"> </w:t>
      </w:r>
      <w:r w:rsidR="00BE7FE5" w:rsidRPr="00445116">
        <w:rPr>
          <w:bCs/>
        </w:rPr>
        <w:t xml:space="preserve">However, there is an opportunity for testing regimes to be developed for prawns from south east Queensland </w:t>
      </w:r>
      <w:r w:rsidR="00DB79D8" w:rsidRPr="00445116">
        <w:rPr>
          <w:bCs/>
        </w:rPr>
        <w:t>t</w:t>
      </w:r>
      <w:r w:rsidR="00BE7FE5" w:rsidRPr="00445116">
        <w:rPr>
          <w:bCs/>
        </w:rPr>
        <w:t xml:space="preserve">hat enable raw prawns to be moved interstate if </w:t>
      </w:r>
      <w:r w:rsidR="00161E02" w:rsidRPr="00445116">
        <w:rPr>
          <w:bCs/>
        </w:rPr>
        <w:t>they</w:t>
      </w:r>
      <w:r w:rsidR="00BE7FE5" w:rsidRPr="00445116">
        <w:rPr>
          <w:bCs/>
        </w:rPr>
        <w:t xml:space="preserve"> meet ALOP requirements.</w:t>
      </w:r>
    </w:p>
    <w:p w14:paraId="3CA49DA9" w14:textId="369C22AB" w:rsidR="0086697D" w:rsidRPr="00445116" w:rsidRDefault="00DB79D8" w:rsidP="00A82A48">
      <w:pPr>
        <w:pStyle w:val="Heading4"/>
      </w:pPr>
      <w:bookmarkStart w:id="30" w:name="_Toc72416543"/>
      <w:r w:rsidRPr="00445116">
        <w:t>Final Observations</w:t>
      </w:r>
      <w:bookmarkEnd w:id="30"/>
    </w:p>
    <w:p w14:paraId="1EEABFA8" w14:textId="11455B53" w:rsidR="00DB79D8" w:rsidRPr="00445116" w:rsidRDefault="00DB79D8" w:rsidP="00DB79D8">
      <w:r w:rsidRPr="00445116">
        <w:t>The Expert Panel concluded that overall, the Draft Report provide</w:t>
      </w:r>
      <w:r w:rsidR="00701EB6" w:rsidRPr="00445116">
        <w:t>s</w:t>
      </w:r>
      <w:r w:rsidRPr="00445116">
        <w:t xml:space="preserve"> a comprehensive assessment of the biosecurity hazards to </w:t>
      </w:r>
      <w:r w:rsidR="008902B8" w:rsidRPr="00445116">
        <w:t xml:space="preserve">the </w:t>
      </w:r>
      <w:r w:rsidRPr="00445116">
        <w:t>Australian prawn industry.  We note that since the outbreak of W</w:t>
      </w:r>
      <w:r w:rsidR="005E7DCD" w:rsidRPr="00445116">
        <w:t>S</w:t>
      </w:r>
      <w:r w:rsidRPr="00445116">
        <w:t xml:space="preserve">SV in SE Queensland in 2016, the Department has undertaken a range of activities to address the deficiencies detected in the biosecurity measures for prawn imports.  </w:t>
      </w:r>
      <w:proofErr w:type="gramStart"/>
      <w:r w:rsidRPr="00445116">
        <w:t>In particular, it</w:t>
      </w:r>
      <w:proofErr w:type="gramEnd"/>
      <w:r w:rsidRPr="00445116">
        <w:t xml:space="preserve"> has identified the need to do on-arrival testing of </w:t>
      </w:r>
      <w:r w:rsidR="005E7DCD" w:rsidRPr="00445116">
        <w:t xml:space="preserve">100 per cent of uncooked </w:t>
      </w:r>
      <w:r w:rsidRPr="00445116">
        <w:t>prawn</w:t>
      </w:r>
      <w:r w:rsidR="005E7DCD" w:rsidRPr="00445116">
        <w:t xml:space="preserve"> consignments</w:t>
      </w:r>
      <w:r w:rsidRPr="00445116">
        <w:t xml:space="preserve"> and for </w:t>
      </w:r>
      <w:r w:rsidR="008902B8" w:rsidRPr="00445116">
        <w:t xml:space="preserve">the </w:t>
      </w:r>
      <w:r w:rsidRPr="00445116">
        <w:t>procedures for sampling</w:t>
      </w:r>
      <w:r w:rsidR="008902B8" w:rsidRPr="00445116">
        <w:t xml:space="preserve"> to be revised.</w:t>
      </w:r>
      <w:r w:rsidRPr="00445116">
        <w:t xml:space="preserve">  The proposed biosecurity measures in the Draft Report codify these and other measures into the proposed import conditions for prawn products exported to Australia for human consumption.   </w:t>
      </w:r>
    </w:p>
    <w:p w14:paraId="3AD11432" w14:textId="0CC6CD7C" w:rsidR="00DB79D8" w:rsidRPr="00445116" w:rsidRDefault="00DB79D8" w:rsidP="00DB79D8">
      <w:r w:rsidRPr="00445116">
        <w:t xml:space="preserve">If these new measures for the importation of frozen, raw prawns </w:t>
      </w:r>
      <w:r w:rsidR="008902B8" w:rsidRPr="00445116">
        <w:t xml:space="preserve">for human consumption </w:t>
      </w:r>
      <w:r w:rsidR="00701EB6" w:rsidRPr="00445116">
        <w:t xml:space="preserve">are to meet Australia’s ALOP, it is important that sampling, testing and ongoing review of the biosecurity measures be properly resourced.  Confidence by stakeholders in the biosecurity measures needs to be re-established and they will expect that biosecurity hazards for prawns will not endanger the Australian industry.  The Expert Panel believes that the Provisional Final Report has an opportunity to address the concerns of stakeholders </w:t>
      </w:r>
      <w:r w:rsidR="00701EB6" w:rsidRPr="00445116">
        <w:lastRenderedPageBreak/>
        <w:t xml:space="preserve">while </w:t>
      </w:r>
      <w:r w:rsidR="000C6E64" w:rsidRPr="00445116">
        <w:t xml:space="preserve">proposing biosecurity measures that give </w:t>
      </w:r>
      <w:r w:rsidR="00701EB6" w:rsidRPr="00445116">
        <w:t xml:space="preserve">importers the choice of equivalent biosecurity measures that meet Australia’s ALOP.    </w:t>
      </w:r>
    </w:p>
    <w:tbl>
      <w:tblPr>
        <w:tblStyle w:val="TableGrid"/>
        <w:tblW w:w="0" w:type="auto"/>
        <w:tblLook w:val="04A0" w:firstRow="1" w:lastRow="0" w:firstColumn="1" w:lastColumn="0" w:noHBand="0" w:noVBand="1"/>
      </w:tblPr>
      <w:tblGrid>
        <w:gridCol w:w="9016"/>
      </w:tblGrid>
      <w:tr w:rsidR="0086697D" w:rsidRPr="00445116" w14:paraId="2D9ECF4E" w14:textId="77777777" w:rsidTr="0086697D">
        <w:tc>
          <w:tcPr>
            <w:tcW w:w="9016" w:type="dxa"/>
          </w:tcPr>
          <w:p w14:paraId="1B04F54B" w14:textId="352D5945" w:rsidR="0086697D" w:rsidRPr="00445116" w:rsidRDefault="0086697D" w:rsidP="0086697D">
            <w:pPr>
              <w:rPr>
                <w:b/>
              </w:rPr>
            </w:pPr>
            <w:r w:rsidRPr="00445116">
              <w:rPr>
                <w:b/>
              </w:rPr>
              <w:t xml:space="preserve">Recommendation 9: </w:t>
            </w:r>
          </w:p>
          <w:p w14:paraId="7B880E70" w14:textId="1B7965ED" w:rsidR="0086697D" w:rsidRPr="00445116" w:rsidRDefault="0086697D" w:rsidP="00C26E0B">
            <w:pPr>
              <w:rPr>
                <w:bCs/>
              </w:rPr>
            </w:pPr>
            <w:r w:rsidRPr="00445116">
              <w:rPr>
                <w:bCs/>
              </w:rPr>
              <w:t>Ensure that the biosecurity measures given in the Draft Report are properly resourced and monitored.</w:t>
            </w:r>
          </w:p>
        </w:tc>
      </w:tr>
    </w:tbl>
    <w:p w14:paraId="2067A00F" w14:textId="6B39835C" w:rsidR="0086697D" w:rsidRPr="00445116" w:rsidRDefault="0086697D">
      <w:pPr>
        <w:rPr>
          <w:bCs/>
        </w:rPr>
      </w:pPr>
    </w:p>
    <w:p w14:paraId="43D812B4" w14:textId="77777777" w:rsidR="00701EB6" w:rsidRPr="00445116" w:rsidRDefault="00701EB6">
      <w:pPr>
        <w:rPr>
          <w:bCs/>
        </w:rPr>
      </w:pPr>
    </w:p>
    <w:p w14:paraId="72ACF0C1" w14:textId="1ED6CCB0" w:rsidR="00287595" w:rsidRPr="00A82A48" w:rsidRDefault="00287595" w:rsidP="00A82A48">
      <w:pPr>
        <w:pStyle w:val="Heading2"/>
      </w:pPr>
      <w:bookmarkStart w:id="31" w:name="_Toc72416544"/>
      <w:bookmarkStart w:id="32" w:name="_Toc72478343"/>
      <w:r w:rsidRPr="00A82A48">
        <w:t>References</w:t>
      </w:r>
      <w:bookmarkEnd w:id="31"/>
      <w:bookmarkEnd w:id="32"/>
    </w:p>
    <w:p w14:paraId="2676AFB7" w14:textId="6107636A" w:rsidR="009F276B" w:rsidRPr="00445116" w:rsidRDefault="009F276B">
      <w:pPr>
        <w:rPr>
          <w:bCs/>
        </w:rPr>
      </w:pPr>
      <w:r w:rsidRPr="00445116">
        <w:t xml:space="preserve">Aranguren, LFC, Mai, HN, Nunan, L, Lin, J, Noble, B &amp; Dhar, AK 2020, ‘Assessment of transmission risk in WSSV‐infected shrimp </w:t>
      </w:r>
      <w:proofErr w:type="spellStart"/>
      <w:r w:rsidRPr="00445116">
        <w:t>Litopenaeus</w:t>
      </w:r>
      <w:proofErr w:type="spellEnd"/>
      <w:r w:rsidRPr="00445116">
        <w:t xml:space="preserve"> </w:t>
      </w:r>
      <w:proofErr w:type="spellStart"/>
      <w:r w:rsidRPr="00445116">
        <w:t>vannamei</w:t>
      </w:r>
      <w:proofErr w:type="spellEnd"/>
      <w:r w:rsidRPr="00445116">
        <w:t xml:space="preserve"> upon cooking’, Journal of Fish Diseases [</w:t>
      </w:r>
      <w:proofErr w:type="spellStart"/>
      <w:r w:rsidRPr="00445116">
        <w:t>epub</w:t>
      </w:r>
      <w:proofErr w:type="spellEnd"/>
      <w:r w:rsidRPr="00445116">
        <w:t xml:space="preserve"> ahead of print]. available at </w:t>
      </w:r>
      <w:proofErr w:type="spellStart"/>
      <w:r w:rsidRPr="00445116">
        <w:t>doi</w:t>
      </w:r>
      <w:proofErr w:type="spellEnd"/>
      <w:r w:rsidRPr="00445116">
        <w:t>: 10.1111/jfd.13128</w:t>
      </w:r>
    </w:p>
    <w:p w14:paraId="55D47838" w14:textId="77777777" w:rsidR="009F276B" w:rsidRPr="00445116" w:rsidRDefault="009F276B">
      <w:pPr>
        <w:rPr>
          <w:bCs/>
        </w:rPr>
      </w:pPr>
    </w:p>
    <w:p w14:paraId="13A91071" w14:textId="323FD4D3" w:rsidR="00F24EB0" w:rsidRPr="00445116" w:rsidRDefault="00287595">
      <w:pPr>
        <w:rPr>
          <w:bCs/>
        </w:rPr>
      </w:pPr>
      <w:r w:rsidRPr="00445116">
        <w:rPr>
          <w:bCs/>
        </w:rPr>
        <w:t xml:space="preserve">Scott-Orr, H., </w:t>
      </w:r>
      <w:r w:rsidR="00271666" w:rsidRPr="00445116">
        <w:rPr>
          <w:bCs/>
        </w:rPr>
        <w:t xml:space="preserve">Jones, B. and N. Bhatia </w:t>
      </w:r>
      <w:r w:rsidR="00ED4A43" w:rsidRPr="00445116">
        <w:rPr>
          <w:bCs/>
        </w:rPr>
        <w:t xml:space="preserve">(2017): </w:t>
      </w:r>
      <w:r w:rsidR="00271666" w:rsidRPr="00445116">
        <w:rPr>
          <w:bCs/>
        </w:rPr>
        <w:t>Uncooked prawn imports: Effectiveness of biosecurity controls. Review Report No. 18/01. Inspector-General of Biosecurity. Australian Government</w:t>
      </w:r>
    </w:p>
    <w:p w14:paraId="0B5ED824" w14:textId="77777777" w:rsidR="00F24EB0" w:rsidRPr="00445116" w:rsidRDefault="00F24EB0">
      <w:pPr>
        <w:rPr>
          <w:bCs/>
        </w:rPr>
      </w:pPr>
    </w:p>
    <w:p w14:paraId="623DDF3C" w14:textId="51B7E172" w:rsidR="00740305" w:rsidRPr="00445116" w:rsidRDefault="00740305" w:rsidP="00740305">
      <w:pPr>
        <w:rPr>
          <w:bCs/>
        </w:rPr>
      </w:pPr>
    </w:p>
    <w:p w14:paraId="236003C6" w14:textId="57E871B4" w:rsidR="00476164" w:rsidRPr="00445116" w:rsidRDefault="00476164">
      <w:pPr>
        <w:rPr>
          <w:bCs/>
        </w:rPr>
      </w:pPr>
      <w:r w:rsidRPr="00445116">
        <w:rPr>
          <w:bCs/>
        </w:rPr>
        <w:br w:type="page"/>
      </w:r>
    </w:p>
    <w:p w14:paraId="4529432A" w14:textId="6469B97A" w:rsidR="00476164" w:rsidRPr="00445116" w:rsidRDefault="00476164" w:rsidP="00A82A48">
      <w:pPr>
        <w:pStyle w:val="Heading2"/>
        <w:rPr>
          <w:b w:val="0"/>
          <w:bCs/>
        </w:rPr>
      </w:pPr>
      <w:bookmarkStart w:id="33" w:name="_Toc72416545"/>
      <w:bookmarkStart w:id="34" w:name="_Toc72478344"/>
      <w:r w:rsidRPr="00A82A48">
        <w:lastRenderedPageBreak/>
        <w:t>Appendix 1:</w:t>
      </w:r>
      <w:bookmarkEnd w:id="33"/>
      <w:r w:rsidRPr="00A82A48">
        <w:t xml:space="preserve"> </w:t>
      </w:r>
      <w:r w:rsidRPr="00445116">
        <w:rPr>
          <w:bCs/>
        </w:rPr>
        <w:t xml:space="preserve">High priority pathogenic agents of prawns of </w:t>
      </w:r>
      <w:r w:rsidR="00701EB6" w:rsidRPr="00445116">
        <w:rPr>
          <w:bCs/>
        </w:rPr>
        <w:t xml:space="preserve">concern </w:t>
      </w:r>
      <w:r w:rsidRPr="00445116">
        <w:rPr>
          <w:bCs/>
        </w:rPr>
        <w:t xml:space="preserve">for management of biosecurity risks (from </w:t>
      </w:r>
      <w:r w:rsidR="00FC0571" w:rsidRPr="00445116">
        <w:rPr>
          <w:bCs/>
        </w:rPr>
        <w:t>D</w:t>
      </w:r>
      <w:r w:rsidRPr="00445116">
        <w:rPr>
          <w:bCs/>
        </w:rPr>
        <w:t xml:space="preserve">raft </w:t>
      </w:r>
      <w:r w:rsidR="00FC0571" w:rsidRPr="00445116">
        <w:rPr>
          <w:bCs/>
        </w:rPr>
        <w:t>R</w:t>
      </w:r>
      <w:r w:rsidRPr="00445116">
        <w:rPr>
          <w:bCs/>
        </w:rPr>
        <w:t>eport).</w:t>
      </w:r>
      <w:bookmarkEnd w:id="34"/>
    </w:p>
    <w:tbl>
      <w:tblPr>
        <w:tblStyle w:val="TableGrid"/>
        <w:tblW w:w="9777" w:type="dxa"/>
        <w:tblLook w:val="04A0" w:firstRow="1" w:lastRow="0" w:firstColumn="1" w:lastColumn="0" w:noHBand="0" w:noVBand="1"/>
      </w:tblPr>
      <w:tblGrid>
        <w:gridCol w:w="2386"/>
        <w:gridCol w:w="1201"/>
        <w:gridCol w:w="1650"/>
        <w:gridCol w:w="1756"/>
        <w:gridCol w:w="1387"/>
        <w:gridCol w:w="1397"/>
      </w:tblGrid>
      <w:tr w:rsidR="00476164" w:rsidRPr="00445116" w14:paraId="201BD9FE" w14:textId="77777777" w:rsidTr="005001BB">
        <w:tc>
          <w:tcPr>
            <w:tcW w:w="2405" w:type="dxa"/>
          </w:tcPr>
          <w:p w14:paraId="5B027AAC" w14:textId="77777777" w:rsidR="00476164" w:rsidRPr="00445116" w:rsidRDefault="00476164" w:rsidP="005001BB">
            <w:pPr>
              <w:rPr>
                <w:bCs/>
                <w:sz w:val="22"/>
              </w:rPr>
            </w:pPr>
            <w:r w:rsidRPr="00445116">
              <w:rPr>
                <w:bCs/>
                <w:sz w:val="22"/>
              </w:rPr>
              <w:t>Agent</w:t>
            </w:r>
          </w:p>
        </w:tc>
        <w:tc>
          <w:tcPr>
            <w:tcW w:w="1122" w:type="dxa"/>
          </w:tcPr>
          <w:p w14:paraId="0928FF37" w14:textId="77777777" w:rsidR="00476164" w:rsidRPr="00445116" w:rsidRDefault="00476164" w:rsidP="005001BB">
            <w:pPr>
              <w:rPr>
                <w:bCs/>
                <w:sz w:val="22"/>
              </w:rPr>
            </w:pPr>
            <w:r w:rsidRPr="00445116">
              <w:rPr>
                <w:bCs/>
                <w:sz w:val="22"/>
              </w:rPr>
              <w:t>OIE listed</w:t>
            </w:r>
          </w:p>
          <w:p w14:paraId="04D39596" w14:textId="77777777" w:rsidR="00476164" w:rsidRPr="00445116" w:rsidRDefault="00476164" w:rsidP="005001BB">
            <w:pPr>
              <w:rPr>
                <w:bCs/>
                <w:sz w:val="22"/>
              </w:rPr>
            </w:pPr>
            <w:r w:rsidRPr="00445116">
              <w:rPr>
                <w:bCs/>
                <w:sz w:val="22"/>
              </w:rPr>
              <w:t>(</w:t>
            </w:r>
            <w:proofErr w:type="gramStart"/>
            <w:r w:rsidRPr="00445116">
              <w:rPr>
                <w:bCs/>
                <w:sz w:val="22"/>
              </w:rPr>
              <w:t>Y,N</w:t>
            </w:r>
            <w:proofErr w:type="gramEnd"/>
            <w:r w:rsidRPr="00445116">
              <w:rPr>
                <w:bCs/>
                <w:sz w:val="22"/>
              </w:rPr>
              <w:t>)</w:t>
            </w:r>
          </w:p>
        </w:tc>
        <w:tc>
          <w:tcPr>
            <w:tcW w:w="1667" w:type="dxa"/>
          </w:tcPr>
          <w:p w14:paraId="441E3C3C" w14:textId="77777777" w:rsidR="00476164" w:rsidRPr="00445116" w:rsidRDefault="00476164" w:rsidP="005001BB">
            <w:pPr>
              <w:rPr>
                <w:bCs/>
                <w:sz w:val="22"/>
              </w:rPr>
            </w:pPr>
            <w:r w:rsidRPr="00445116">
              <w:rPr>
                <w:bCs/>
                <w:sz w:val="22"/>
              </w:rPr>
              <w:t>Australia’s national disease list (</w:t>
            </w:r>
            <w:proofErr w:type="gramStart"/>
            <w:r w:rsidRPr="00445116">
              <w:rPr>
                <w:bCs/>
                <w:sz w:val="22"/>
              </w:rPr>
              <w:t>Y,N</w:t>
            </w:r>
            <w:proofErr w:type="gramEnd"/>
            <w:r w:rsidRPr="00445116">
              <w:rPr>
                <w:bCs/>
                <w:sz w:val="22"/>
              </w:rPr>
              <w:t>)</w:t>
            </w:r>
          </w:p>
        </w:tc>
        <w:tc>
          <w:tcPr>
            <w:tcW w:w="1781" w:type="dxa"/>
          </w:tcPr>
          <w:p w14:paraId="56F9B219" w14:textId="77777777" w:rsidR="00476164" w:rsidRPr="00445116" w:rsidRDefault="00476164" w:rsidP="005001BB">
            <w:pPr>
              <w:rPr>
                <w:bCs/>
                <w:sz w:val="22"/>
              </w:rPr>
            </w:pPr>
            <w:r w:rsidRPr="00445116">
              <w:rPr>
                <w:bCs/>
                <w:sz w:val="22"/>
              </w:rPr>
              <w:t>Host range (Low, Medium, High)</w:t>
            </w:r>
          </w:p>
          <w:p w14:paraId="44323CED" w14:textId="77777777" w:rsidR="00476164" w:rsidRPr="00445116" w:rsidRDefault="00476164" w:rsidP="005001BB">
            <w:pPr>
              <w:rPr>
                <w:bCs/>
                <w:sz w:val="22"/>
              </w:rPr>
            </w:pPr>
          </w:p>
        </w:tc>
        <w:tc>
          <w:tcPr>
            <w:tcW w:w="1397" w:type="dxa"/>
          </w:tcPr>
          <w:p w14:paraId="565833C0" w14:textId="77777777" w:rsidR="00476164" w:rsidRPr="00445116" w:rsidRDefault="00476164" w:rsidP="005001BB">
            <w:pPr>
              <w:rPr>
                <w:bCs/>
                <w:sz w:val="22"/>
              </w:rPr>
            </w:pPr>
            <w:r w:rsidRPr="00445116">
              <w:rPr>
                <w:bCs/>
                <w:sz w:val="22"/>
              </w:rPr>
              <w:t>Annual likelihood of entry1</w:t>
            </w:r>
          </w:p>
        </w:tc>
        <w:tc>
          <w:tcPr>
            <w:tcW w:w="1405" w:type="dxa"/>
          </w:tcPr>
          <w:p w14:paraId="10C63CEC" w14:textId="77777777" w:rsidR="00476164" w:rsidRPr="00445116" w:rsidRDefault="00476164" w:rsidP="005001BB">
            <w:pPr>
              <w:rPr>
                <w:bCs/>
                <w:sz w:val="22"/>
              </w:rPr>
            </w:pPr>
            <w:r w:rsidRPr="00445116">
              <w:rPr>
                <w:bCs/>
                <w:sz w:val="22"/>
              </w:rPr>
              <w:t>Estimation of overall annual risk2</w:t>
            </w:r>
          </w:p>
        </w:tc>
      </w:tr>
      <w:tr w:rsidR="00476164" w:rsidRPr="00445116" w14:paraId="7C6799D1" w14:textId="77777777" w:rsidTr="005001BB">
        <w:tc>
          <w:tcPr>
            <w:tcW w:w="2405" w:type="dxa"/>
          </w:tcPr>
          <w:p w14:paraId="678697D9" w14:textId="77777777" w:rsidR="00476164" w:rsidRPr="00445116" w:rsidRDefault="00476164" w:rsidP="005001BB">
            <w:pPr>
              <w:rPr>
                <w:bCs/>
                <w:sz w:val="22"/>
              </w:rPr>
            </w:pPr>
            <w:r w:rsidRPr="00445116">
              <w:rPr>
                <w:i/>
                <w:sz w:val="22"/>
              </w:rPr>
              <w:t xml:space="preserve">Candidatus </w:t>
            </w:r>
            <w:r w:rsidRPr="00445116">
              <w:rPr>
                <w:bCs/>
                <w:sz w:val="22"/>
              </w:rPr>
              <w:t>Hepatobacter penaei (Ca. H. penaei)</w:t>
            </w:r>
          </w:p>
          <w:p w14:paraId="317C50FA" w14:textId="77777777" w:rsidR="00476164" w:rsidRPr="00445116" w:rsidRDefault="00476164" w:rsidP="005001BB">
            <w:pPr>
              <w:rPr>
                <w:bCs/>
                <w:sz w:val="22"/>
              </w:rPr>
            </w:pPr>
          </w:p>
        </w:tc>
        <w:tc>
          <w:tcPr>
            <w:tcW w:w="1122" w:type="dxa"/>
          </w:tcPr>
          <w:p w14:paraId="093B44F1" w14:textId="77777777" w:rsidR="00476164" w:rsidRPr="00445116" w:rsidRDefault="00476164" w:rsidP="005001BB">
            <w:pPr>
              <w:rPr>
                <w:bCs/>
                <w:sz w:val="22"/>
              </w:rPr>
            </w:pPr>
            <w:r w:rsidRPr="00445116">
              <w:rPr>
                <w:bCs/>
                <w:sz w:val="22"/>
              </w:rPr>
              <w:t>Y</w:t>
            </w:r>
          </w:p>
        </w:tc>
        <w:tc>
          <w:tcPr>
            <w:tcW w:w="1667" w:type="dxa"/>
          </w:tcPr>
          <w:p w14:paraId="41D074EB" w14:textId="77777777" w:rsidR="00476164" w:rsidRPr="00445116" w:rsidRDefault="00476164" w:rsidP="005001BB">
            <w:pPr>
              <w:rPr>
                <w:bCs/>
                <w:sz w:val="22"/>
              </w:rPr>
            </w:pPr>
            <w:r w:rsidRPr="00445116">
              <w:rPr>
                <w:bCs/>
                <w:sz w:val="22"/>
              </w:rPr>
              <w:t>Y</w:t>
            </w:r>
          </w:p>
        </w:tc>
        <w:tc>
          <w:tcPr>
            <w:tcW w:w="1781" w:type="dxa"/>
          </w:tcPr>
          <w:p w14:paraId="75222B04" w14:textId="52697C57" w:rsidR="00476164" w:rsidRPr="00445116" w:rsidRDefault="007242E8" w:rsidP="005001BB">
            <w:pPr>
              <w:rPr>
                <w:bCs/>
                <w:sz w:val="22"/>
              </w:rPr>
            </w:pPr>
            <w:r w:rsidRPr="00445116">
              <w:rPr>
                <w:sz w:val="22"/>
              </w:rPr>
              <w:t>L</w:t>
            </w:r>
          </w:p>
        </w:tc>
        <w:tc>
          <w:tcPr>
            <w:tcW w:w="1397" w:type="dxa"/>
          </w:tcPr>
          <w:p w14:paraId="3AD93BE1" w14:textId="59CB1D40" w:rsidR="00476164" w:rsidRPr="00445116" w:rsidRDefault="002450B2" w:rsidP="005001BB">
            <w:pPr>
              <w:rPr>
                <w:bCs/>
                <w:sz w:val="22"/>
              </w:rPr>
            </w:pPr>
            <w:r w:rsidRPr="00445116">
              <w:rPr>
                <w:bCs/>
                <w:sz w:val="22"/>
              </w:rPr>
              <w:t>V</w:t>
            </w:r>
            <w:r w:rsidR="00476164" w:rsidRPr="00445116">
              <w:rPr>
                <w:bCs/>
                <w:sz w:val="22"/>
              </w:rPr>
              <w:t xml:space="preserve">ery </w:t>
            </w:r>
            <w:r w:rsidRPr="00445116">
              <w:rPr>
                <w:bCs/>
                <w:sz w:val="22"/>
              </w:rPr>
              <w:t>L</w:t>
            </w:r>
            <w:r w:rsidR="00476164" w:rsidRPr="00445116">
              <w:rPr>
                <w:bCs/>
                <w:sz w:val="22"/>
              </w:rPr>
              <w:t>ow</w:t>
            </w:r>
          </w:p>
        </w:tc>
        <w:tc>
          <w:tcPr>
            <w:tcW w:w="1405" w:type="dxa"/>
          </w:tcPr>
          <w:p w14:paraId="3ADAF14B" w14:textId="60AEE134" w:rsidR="00476164" w:rsidRPr="00445116" w:rsidRDefault="002450B2" w:rsidP="005001BB">
            <w:pPr>
              <w:rPr>
                <w:bCs/>
                <w:sz w:val="22"/>
              </w:rPr>
            </w:pPr>
            <w:r w:rsidRPr="00445116">
              <w:rPr>
                <w:bCs/>
                <w:sz w:val="22"/>
              </w:rPr>
              <w:t>V</w:t>
            </w:r>
            <w:r w:rsidR="00476164" w:rsidRPr="00445116">
              <w:rPr>
                <w:bCs/>
                <w:sz w:val="22"/>
              </w:rPr>
              <w:t xml:space="preserve">ery </w:t>
            </w:r>
            <w:r w:rsidRPr="00445116">
              <w:rPr>
                <w:bCs/>
                <w:sz w:val="22"/>
              </w:rPr>
              <w:t>L</w:t>
            </w:r>
            <w:r w:rsidR="00476164" w:rsidRPr="00445116">
              <w:rPr>
                <w:bCs/>
                <w:sz w:val="22"/>
              </w:rPr>
              <w:t>ow</w:t>
            </w:r>
          </w:p>
        </w:tc>
      </w:tr>
      <w:tr w:rsidR="00476164" w:rsidRPr="00445116" w14:paraId="44AF4C1D" w14:textId="77777777" w:rsidTr="005001BB">
        <w:tc>
          <w:tcPr>
            <w:tcW w:w="2405" w:type="dxa"/>
          </w:tcPr>
          <w:p w14:paraId="2D84E362" w14:textId="77777777" w:rsidR="00476164" w:rsidRPr="00445116" w:rsidRDefault="00476164" w:rsidP="005001BB">
            <w:pPr>
              <w:rPr>
                <w:bCs/>
                <w:sz w:val="22"/>
              </w:rPr>
            </w:pPr>
            <w:r w:rsidRPr="00445116">
              <w:rPr>
                <w:bCs/>
                <w:sz w:val="22"/>
              </w:rPr>
              <w:t>Covert Mortality Nodavirus (CMNV)</w:t>
            </w:r>
          </w:p>
          <w:p w14:paraId="5E13F533" w14:textId="77777777" w:rsidR="00476164" w:rsidRPr="00445116" w:rsidRDefault="00476164" w:rsidP="005001BB">
            <w:pPr>
              <w:rPr>
                <w:bCs/>
                <w:sz w:val="22"/>
              </w:rPr>
            </w:pPr>
          </w:p>
        </w:tc>
        <w:tc>
          <w:tcPr>
            <w:tcW w:w="1122" w:type="dxa"/>
          </w:tcPr>
          <w:p w14:paraId="3EB2941F" w14:textId="77777777" w:rsidR="00476164" w:rsidRPr="00445116" w:rsidRDefault="00476164" w:rsidP="005001BB">
            <w:pPr>
              <w:rPr>
                <w:bCs/>
                <w:sz w:val="22"/>
              </w:rPr>
            </w:pPr>
            <w:r w:rsidRPr="00445116">
              <w:rPr>
                <w:bCs/>
                <w:sz w:val="22"/>
              </w:rPr>
              <w:t>N</w:t>
            </w:r>
          </w:p>
        </w:tc>
        <w:tc>
          <w:tcPr>
            <w:tcW w:w="1667" w:type="dxa"/>
          </w:tcPr>
          <w:p w14:paraId="63E946FF" w14:textId="77777777" w:rsidR="00476164" w:rsidRPr="00445116" w:rsidRDefault="00476164" w:rsidP="005001BB">
            <w:pPr>
              <w:rPr>
                <w:bCs/>
                <w:sz w:val="22"/>
              </w:rPr>
            </w:pPr>
            <w:r w:rsidRPr="00445116">
              <w:rPr>
                <w:bCs/>
                <w:sz w:val="22"/>
              </w:rPr>
              <w:t>N</w:t>
            </w:r>
          </w:p>
        </w:tc>
        <w:tc>
          <w:tcPr>
            <w:tcW w:w="1781" w:type="dxa"/>
          </w:tcPr>
          <w:p w14:paraId="07558765" w14:textId="77777777" w:rsidR="00476164" w:rsidRPr="00445116" w:rsidRDefault="00476164" w:rsidP="005001BB">
            <w:pPr>
              <w:rPr>
                <w:bCs/>
                <w:sz w:val="22"/>
              </w:rPr>
            </w:pPr>
            <w:r w:rsidRPr="00445116">
              <w:rPr>
                <w:bCs/>
                <w:sz w:val="22"/>
              </w:rPr>
              <w:t>H</w:t>
            </w:r>
          </w:p>
        </w:tc>
        <w:tc>
          <w:tcPr>
            <w:tcW w:w="1397" w:type="dxa"/>
          </w:tcPr>
          <w:p w14:paraId="7737F099" w14:textId="2BD114AE" w:rsidR="00476164" w:rsidRPr="00445116" w:rsidRDefault="002450B2" w:rsidP="005001BB">
            <w:pPr>
              <w:rPr>
                <w:bCs/>
                <w:sz w:val="22"/>
              </w:rPr>
            </w:pPr>
            <w:r w:rsidRPr="00445116">
              <w:rPr>
                <w:bCs/>
                <w:sz w:val="22"/>
              </w:rPr>
              <w:t>H</w:t>
            </w:r>
            <w:r w:rsidR="00476164" w:rsidRPr="00445116">
              <w:rPr>
                <w:bCs/>
                <w:sz w:val="22"/>
              </w:rPr>
              <w:t>igh</w:t>
            </w:r>
          </w:p>
        </w:tc>
        <w:tc>
          <w:tcPr>
            <w:tcW w:w="1405" w:type="dxa"/>
          </w:tcPr>
          <w:p w14:paraId="381625A7" w14:textId="1B00BB8B" w:rsidR="00476164" w:rsidRPr="00445116" w:rsidRDefault="002450B2" w:rsidP="005001BB">
            <w:pPr>
              <w:rPr>
                <w:bCs/>
                <w:sz w:val="22"/>
              </w:rPr>
            </w:pPr>
            <w:r w:rsidRPr="00445116">
              <w:rPr>
                <w:bCs/>
                <w:sz w:val="22"/>
              </w:rPr>
              <w:t>L</w:t>
            </w:r>
            <w:r w:rsidR="00476164" w:rsidRPr="00445116">
              <w:rPr>
                <w:bCs/>
                <w:sz w:val="22"/>
              </w:rPr>
              <w:t>ow</w:t>
            </w:r>
          </w:p>
        </w:tc>
      </w:tr>
      <w:tr w:rsidR="00476164" w:rsidRPr="00445116" w14:paraId="00AE2885" w14:textId="77777777" w:rsidTr="005001BB">
        <w:tc>
          <w:tcPr>
            <w:tcW w:w="2405" w:type="dxa"/>
          </w:tcPr>
          <w:p w14:paraId="1407C336" w14:textId="77777777" w:rsidR="00476164" w:rsidRPr="00445116" w:rsidRDefault="00476164" w:rsidP="005001BB">
            <w:pPr>
              <w:rPr>
                <w:bCs/>
                <w:sz w:val="22"/>
              </w:rPr>
            </w:pPr>
            <w:r w:rsidRPr="00445116">
              <w:rPr>
                <w:bCs/>
                <w:sz w:val="22"/>
              </w:rPr>
              <w:t>Decapod Iridescent Virus 1 (DIV1)</w:t>
            </w:r>
          </w:p>
          <w:p w14:paraId="08D8BDD2" w14:textId="77777777" w:rsidR="00476164" w:rsidRPr="00445116" w:rsidRDefault="00476164" w:rsidP="005001BB">
            <w:pPr>
              <w:rPr>
                <w:bCs/>
                <w:sz w:val="22"/>
              </w:rPr>
            </w:pPr>
          </w:p>
        </w:tc>
        <w:tc>
          <w:tcPr>
            <w:tcW w:w="1122" w:type="dxa"/>
          </w:tcPr>
          <w:p w14:paraId="7DF6D489" w14:textId="77777777" w:rsidR="00476164" w:rsidRPr="00445116" w:rsidRDefault="00476164" w:rsidP="005001BB">
            <w:pPr>
              <w:rPr>
                <w:bCs/>
                <w:sz w:val="22"/>
              </w:rPr>
            </w:pPr>
            <w:r w:rsidRPr="00445116">
              <w:rPr>
                <w:bCs/>
                <w:sz w:val="22"/>
              </w:rPr>
              <w:t>N</w:t>
            </w:r>
          </w:p>
          <w:p w14:paraId="01449544" w14:textId="77777777" w:rsidR="00476164" w:rsidRPr="00445116" w:rsidRDefault="00476164" w:rsidP="005001BB">
            <w:pPr>
              <w:rPr>
                <w:bCs/>
                <w:sz w:val="22"/>
              </w:rPr>
            </w:pPr>
            <w:r w:rsidRPr="00445116">
              <w:rPr>
                <w:bCs/>
                <w:sz w:val="22"/>
              </w:rPr>
              <w:t>(proposed)</w:t>
            </w:r>
          </w:p>
        </w:tc>
        <w:tc>
          <w:tcPr>
            <w:tcW w:w="1667" w:type="dxa"/>
          </w:tcPr>
          <w:p w14:paraId="3F1F112B" w14:textId="7FE250E4" w:rsidR="00476164" w:rsidRPr="00445116" w:rsidRDefault="00802FC4" w:rsidP="005001BB">
            <w:pPr>
              <w:rPr>
                <w:bCs/>
                <w:sz w:val="22"/>
              </w:rPr>
            </w:pPr>
            <w:r w:rsidRPr="00445116">
              <w:rPr>
                <w:bCs/>
                <w:sz w:val="22"/>
              </w:rPr>
              <w:t>Y</w:t>
            </w:r>
          </w:p>
          <w:p w14:paraId="25E272B2" w14:textId="28464034" w:rsidR="00476164" w:rsidRPr="00445116" w:rsidRDefault="00476164" w:rsidP="005001BB">
            <w:pPr>
              <w:rPr>
                <w:bCs/>
                <w:sz w:val="22"/>
              </w:rPr>
            </w:pPr>
          </w:p>
        </w:tc>
        <w:tc>
          <w:tcPr>
            <w:tcW w:w="1781" w:type="dxa"/>
          </w:tcPr>
          <w:p w14:paraId="7B56CDF5" w14:textId="77777777" w:rsidR="00476164" w:rsidRPr="00445116" w:rsidRDefault="00476164" w:rsidP="005001BB">
            <w:pPr>
              <w:rPr>
                <w:bCs/>
                <w:sz w:val="22"/>
              </w:rPr>
            </w:pPr>
            <w:r w:rsidRPr="00445116">
              <w:rPr>
                <w:bCs/>
                <w:sz w:val="22"/>
              </w:rPr>
              <w:t>H</w:t>
            </w:r>
          </w:p>
        </w:tc>
        <w:tc>
          <w:tcPr>
            <w:tcW w:w="1397" w:type="dxa"/>
          </w:tcPr>
          <w:p w14:paraId="4C283227" w14:textId="6A511F4E" w:rsidR="00476164" w:rsidRPr="00445116" w:rsidRDefault="002450B2" w:rsidP="005001BB">
            <w:pPr>
              <w:rPr>
                <w:bCs/>
                <w:sz w:val="22"/>
              </w:rPr>
            </w:pPr>
            <w:r w:rsidRPr="00445116">
              <w:rPr>
                <w:bCs/>
                <w:sz w:val="22"/>
              </w:rPr>
              <w:t>H</w:t>
            </w:r>
            <w:r w:rsidR="00476164" w:rsidRPr="00445116">
              <w:rPr>
                <w:bCs/>
                <w:sz w:val="22"/>
              </w:rPr>
              <w:t>igh</w:t>
            </w:r>
          </w:p>
        </w:tc>
        <w:tc>
          <w:tcPr>
            <w:tcW w:w="1405" w:type="dxa"/>
          </w:tcPr>
          <w:p w14:paraId="3D18EFA4" w14:textId="30027C55" w:rsidR="00476164" w:rsidRPr="00445116" w:rsidRDefault="002450B2" w:rsidP="005001BB">
            <w:pPr>
              <w:rPr>
                <w:bCs/>
                <w:sz w:val="22"/>
              </w:rPr>
            </w:pPr>
            <w:r w:rsidRPr="00445116">
              <w:rPr>
                <w:bCs/>
                <w:sz w:val="22"/>
              </w:rPr>
              <w:t>L</w:t>
            </w:r>
            <w:r w:rsidR="00476164" w:rsidRPr="00445116">
              <w:rPr>
                <w:bCs/>
                <w:sz w:val="22"/>
              </w:rPr>
              <w:t>ow</w:t>
            </w:r>
          </w:p>
        </w:tc>
      </w:tr>
      <w:tr w:rsidR="00476164" w:rsidRPr="00445116" w14:paraId="4D0DC008" w14:textId="77777777" w:rsidTr="005001BB">
        <w:tc>
          <w:tcPr>
            <w:tcW w:w="2405" w:type="dxa"/>
          </w:tcPr>
          <w:p w14:paraId="345523CD" w14:textId="77777777" w:rsidR="00476164" w:rsidRPr="00445116" w:rsidRDefault="00476164" w:rsidP="005001BB">
            <w:pPr>
              <w:rPr>
                <w:bCs/>
                <w:sz w:val="22"/>
              </w:rPr>
            </w:pPr>
            <w:r w:rsidRPr="00445116">
              <w:rPr>
                <w:bCs/>
                <w:sz w:val="22"/>
              </w:rPr>
              <w:t>Enterocytozoon Hepatopenaei (EHP)</w:t>
            </w:r>
          </w:p>
          <w:p w14:paraId="414B2CC4" w14:textId="77777777" w:rsidR="00476164" w:rsidRPr="00445116" w:rsidRDefault="00476164" w:rsidP="005001BB">
            <w:pPr>
              <w:rPr>
                <w:bCs/>
                <w:sz w:val="22"/>
              </w:rPr>
            </w:pPr>
          </w:p>
        </w:tc>
        <w:tc>
          <w:tcPr>
            <w:tcW w:w="1122" w:type="dxa"/>
          </w:tcPr>
          <w:p w14:paraId="7C013081" w14:textId="77777777" w:rsidR="00476164" w:rsidRPr="00445116" w:rsidRDefault="00476164" w:rsidP="005001BB">
            <w:pPr>
              <w:rPr>
                <w:bCs/>
                <w:sz w:val="22"/>
              </w:rPr>
            </w:pPr>
            <w:r w:rsidRPr="00445116">
              <w:rPr>
                <w:bCs/>
                <w:sz w:val="22"/>
              </w:rPr>
              <w:t>N</w:t>
            </w:r>
          </w:p>
        </w:tc>
        <w:tc>
          <w:tcPr>
            <w:tcW w:w="1667" w:type="dxa"/>
          </w:tcPr>
          <w:p w14:paraId="54AED087" w14:textId="77777777" w:rsidR="00476164" w:rsidRPr="00445116" w:rsidRDefault="00476164" w:rsidP="005001BB">
            <w:pPr>
              <w:rPr>
                <w:bCs/>
                <w:sz w:val="22"/>
              </w:rPr>
            </w:pPr>
            <w:r w:rsidRPr="00445116">
              <w:rPr>
                <w:bCs/>
                <w:sz w:val="22"/>
              </w:rPr>
              <w:t>Y</w:t>
            </w:r>
          </w:p>
        </w:tc>
        <w:tc>
          <w:tcPr>
            <w:tcW w:w="1781" w:type="dxa"/>
          </w:tcPr>
          <w:p w14:paraId="5182BB0F" w14:textId="77777777" w:rsidR="00476164" w:rsidRPr="00445116" w:rsidRDefault="00476164" w:rsidP="005001BB">
            <w:pPr>
              <w:rPr>
                <w:bCs/>
                <w:sz w:val="22"/>
              </w:rPr>
            </w:pPr>
            <w:r w:rsidRPr="00445116">
              <w:rPr>
                <w:bCs/>
                <w:sz w:val="22"/>
              </w:rPr>
              <w:t>L</w:t>
            </w:r>
          </w:p>
        </w:tc>
        <w:tc>
          <w:tcPr>
            <w:tcW w:w="1397" w:type="dxa"/>
          </w:tcPr>
          <w:p w14:paraId="1F4F1D7F" w14:textId="16C320E0" w:rsidR="00476164" w:rsidRPr="00445116" w:rsidRDefault="002450B2" w:rsidP="005001BB">
            <w:pPr>
              <w:rPr>
                <w:bCs/>
                <w:sz w:val="22"/>
              </w:rPr>
            </w:pPr>
            <w:r w:rsidRPr="00445116">
              <w:rPr>
                <w:bCs/>
                <w:sz w:val="22"/>
              </w:rPr>
              <w:t>H</w:t>
            </w:r>
            <w:r w:rsidR="00476164" w:rsidRPr="00445116">
              <w:rPr>
                <w:bCs/>
                <w:sz w:val="22"/>
              </w:rPr>
              <w:t>igh</w:t>
            </w:r>
          </w:p>
        </w:tc>
        <w:tc>
          <w:tcPr>
            <w:tcW w:w="1405" w:type="dxa"/>
          </w:tcPr>
          <w:p w14:paraId="392B4BF5" w14:textId="6A6886B1" w:rsidR="00476164" w:rsidRPr="00445116" w:rsidRDefault="002450B2" w:rsidP="005001BB">
            <w:pPr>
              <w:rPr>
                <w:bCs/>
                <w:sz w:val="22"/>
              </w:rPr>
            </w:pPr>
            <w:r w:rsidRPr="00445116">
              <w:rPr>
                <w:bCs/>
                <w:sz w:val="22"/>
              </w:rPr>
              <w:t>L</w:t>
            </w:r>
            <w:r w:rsidR="00476164" w:rsidRPr="00445116">
              <w:rPr>
                <w:bCs/>
                <w:sz w:val="22"/>
              </w:rPr>
              <w:t>ow</w:t>
            </w:r>
          </w:p>
        </w:tc>
      </w:tr>
      <w:tr w:rsidR="00476164" w:rsidRPr="00445116" w14:paraId="67402B4C" w14:textId="77777777" w:rsidTr="005001BB">
        <w:tc>
          <w:tcPr>
            <w:tcW w:w="2405" w:type="dxa"/>
          </w:tcPr>
          <w:p w14:paraId="238CDE6E" w14:textId="77777777" w:rsidR="00476164" w:rsidRPr="00445116" w:rsidRDefault="00476164" w:rsidP="005001BB">
            <w:pPr>
              <w:rPr>
                <w:bCs/>
                <w:sz w:val="22"/>
              </w:rPr>
            </w:pPr>
            <w:r w:rsidRPr="00445116">
              <w:rPr>
                <w:bCs/>
                <w:sz w:val="22"/>
              </w:rPr>
              <w:t>Infectious Myonecrosis Virus (IMNV)</w:t>
            </w:r>
          </w:p>
          <w:p w14:paraId="6E3DEE89" w14:textId="77777777" w:rsidR="00476164" w:rsidRPr="00445116" w:rsidRDefault="00476164" w:rsidP="005001BB">
            <w:pPr>
              <w:rPr>
                <w:bCs/>
                <w:sz w:val="22"/>
              </w:rPr>
            </w:pPr>
          </w:p>
        </w:tc>
        <w:tc>
          <w:tcPr>
            <w:tcW w:w="1122" w:type="dxa"/>
          </w:tcPr>
          <w:p w14:paraId="58F4F009" w14:textId="77777777" w:rsidR="00476164" w:rsidRPr="00445116" w:rsidRDefault="00476164" w:rsidP="005001BB">
            <w:pPr>
              <w:rPr>
                <w:bCs/>
                <w:sz w:val="22"/>
              </w:rPr>
            </w:pPr>
            <w:r w:rsidRPr="00445116">
              <w:rPr>
                <w:bCs/>
                <w:sz w:val="22"/>
              </w:rPr>
              <w:t>Y</w:t>
            </w:r>
          </w:p>
        </w:tc>
        <w:tc>
          <w:tcPr>
            <w:tcW w:w="1667" w:type="dxa"/>
          </w:tcPr>
          <w:p w14:paraId="47A96342" w14:textId="77777777" w:rsidR="00476164" w:rsidRPr="00445116" w:rsidRDefault="00476164" w:rsidP="005001BB">
            <w:pPr>
              <w:rPr>
                <w:bCs/>
                <w:sz w:val="22"/>
              </w:rPr>
            </w:pPr>
            <w:r w:rsidRPr="00445116">
              <w:rPr>
                <w:bCs/>
                <w:sz w:val="22"/>
              </w:rPr>
              <w:t>Y</w:t>
            </w:r>
          </w:p>
        </w:tc>
        <w:tc>
          <w:tcPr>
            <w:tcW w:w="1781" w:type="dxa"/>
          </w:tcPr>
          <w:p w14:paraId="4851BA96" w14:textId="77777777" w:rsidR="00476164" w:rsidRPr="00445116" w:rsidRDefault="00476164" w:rsidP="005001BB">
            <w:pPr>
              <w:rPr>
                <w:bCs/>
                <w:sz w:val="22"/>
              </w:rPr>
            </w:pPr>
            <w:r w:rsidRPr="00445116">
              <w:rPr>
                <w:bCs/>
                <w:sz w:val="22"/>
              </w:rPr>
              <w:t>L</w:t>
            </w:r>
          </w:p>
        </w:tc>
        <w:tc>
          <w:tcPr>
            <w:tcW w:w="1397" w:type="dxa"/>
          </w:tcPr>
          <w:p w14:paraId="026FDDA5" w14:textId="282D2241" w:rsidR="00476164" w:rsidRPr="00445116" w:rsidRDefault="002450B2" w:rsidP="005001BB">
            <w:pPr>
              <w:rPr>
                <w:bCs/>
                <w:sz w:val="22"/>
              </w:rPr>
            </w:pPr>
            <w:r w:rsidRPr="00445116">
              <w:rPr>
                <w:bCs/>
                <w:sz w:val="22"/>
              </w:rPr>
              <w:t>H</w:t>
            </w:r>
            <w:r w:rsidR="00476164" w:rsidRPr="00445116">
              <w:rPr>
                <w:bCs/>
                <w:sz w:val="22"/>
              </w:rPr>
              <w:t>igh</w:t>
            </w:r>
          </w:p>
        </w:tc>
        <w:tc>
          <w:tcPr>
            <w:tcW w:w="1405" w:type="dxa"/>
          </w:tcPr>
          <w:p w14:paraId="1896AB8E" w14:textId="47042EE2" w:rsidR="00476164" w:rsidRPr="00445116" w:rsidRDefault="002450B2" w:rsidP="005001BB">
            <w:pPr>
              <w:rPr>
                <w:bCs/>
                <w:sz w:val="22"/>
              </w:rPr>
            </w:pPr>
            <w:r w:rsidRPr="00445116">
              <w:rPr>
                <w:bCs/>
                <w:sz w:val="22"/>
              </w:rPr>
              <w:t>L</w:t>
            </w:r>
            <w:r w:rsidR="00476164" w:rsidRPr="00445116">
              <w:rPr>
                <w:bCs/>
                <w:sz w:val="22"/>
              </w:rPr>
              <w:t>ow</w:t>
            </w:r>
          </w:p>
        </w:tc>
      </w:tr>
      <w:tr w:rsidR="00476164" w:rsidRPr="00445116" w14:paraId="5175D7C4" w14:textId="77777777" w:rsidTr="005001BB">
        <w:tc>
          <w:tcPr>
            <w:tcW w:w="2405" w:type="dxa"/>
          </w:tcPr>
          <w:p w14:paraId="23C9E2BF" w14:textId="77777777" w:rsidR="00476164" w:rsidRPr="00445116" w:rsidRDefault="00476164" w:rsidP="005001BB">
            <w:pPr>
              <w:rPr>
                <w:bCs/>
                <w:sz w:val="22"/>
              </w:rPr>
            </w:pPr>
            <w:r w:rsidRPr="00445116">
              <w:rPr>
                <w:bCs/>
                <w:sz w:val="22"/>
              </w:rPr>
              <w:t>Laem-Singh Virus</w:t>
            </w:r>
          </w:p>
          <w:p w14:paraId="130C6E97" w14:textId="77777777" w:rsidR="00476164" w:rsidRPr="00445116" w:rsidRDefault="00476164" w:rsidP="005001BB">
            <w:pPr>
              <w:rPr>
                <w:bCs/>
                <w:sz w:val="22"/>
              </w:rPr>
            </w:pPr>
            <w:r w:rsidRPr="00445116">
              <w:rPr>
                <w:bCs/>
                <w:sz w:val="22"/>
              </w:rPr>
              <w:t>Monodon Slow Growth Syndrome (MSGS)</w:t>
            </w:r>
          </w:p>
          <w:p w14:paraId="5EFB48FB" w14:textId="77777777" w:rsidR="00476164" w:rsidRPr="00445116" w:rsidRDefault="00476164" w:rsidP="005001BB">
            <w:pPr>
              <w:rPr>
                <w:bCs/>
                <w:sz w:val="22"/>
              </w:rPr>
            </w:pPr>
          </w:p>
        </w:tc>
        <w:tc>
          <w:tcPr>
            <w:tcW w:w="1122" w:type="dxa"/>
          </w:tcPr>
          <w:p w14:paraId="692BB2E0" w14:textId="77777777" w:rsidR="00476164" w:rsidRPr="00445116" w:rsidRDefault="00476164" w:rsidP="005001BB">
            <w:pPr>
              <w:rPr>
                <w:bCs/>
                <w:sz w:val="22"/>
              </w:rPr>
            </w:pPr>
            <w:r w:rsidRPr="00445116">
              <w:rPr>
                <w:bCs/>
                <w:sz w:val="22"/>
              </w:rPr>
              <w:t>N</w:t>
            </w:r>
          </w:p>
        </w:tc>
        <w:tc>
          <w:tcPr>
            <w:tcW w:w="1667" w:type="dxa"/>
          </w:tcPr>
          <w:p w14:paraId="4C7A3894" w14:textId="77777777" w:rsidR="00476164" w:rsidRPr="00445116" w:rsidRDefault="00476164" w:rsidP="005001BB">
            <w:pPr>
              <w:rPr>
                <w:bCs/>
                <w:sz w:val="22"/>
              </w:rPr>
            </w:pPr>
            <w:r w:rsidRPr="00445116">
              <w:rPr>
                <w:bCs/>
                <w:sz w:val="22"/>
              </w:rPr>
              <w:t>Y</w:t>
            </w:r>
          </w:p>
        </w:tc>
        <w:tc>
          <w:tcPr>
            <w:tcW w:w="1781" w:type="dxa"/>
          </w:tcPr>
          <w:p w14:paraId="07D9739D" w14:textId="77777777" w:rsidR="00476164" w:rsidRPr="00445116" w:rsidRDefault="00476164" w:rsidP="005001BB">
            <w:pPr>
              <w:rPr>
                <w:bCs/>
                <w:sz w:val="22"/>
              </w:rPr>
            </w:pPr>
            <w:r w:rsidRPr="00445116">
              <w:rPr>
                <w:bCs/>
                <w:sz w:val="22"/>
              </w:rPr>
              <w:t>L</w:t>
            </w:r>
          </w:p>
        </w:tc>
        <w:tc>
          <w:tcPr>
            <w:tcW w:w="1397" w:type="dxa"/>
          </w:tcPr>
          <w:p w14:paraId="3C350C73" w14:textId="07696AC6" w:rsidR="00476164" w:rsidRPr="00445116" w:rsidRDefault="002450B2" w:rsidP="005001BB">
            <w:pPr>
              <w:rPr>
                <w:bCs/>
                <w:sz w:val="22"/>
              </w:rPr>
            </w:pPr>
            <w:r w:rsidRPr="00445116">
              <w:rPr>
                <w:bCs/>
                <w:sz w:val="22"/>
              </w:rPr>
              <w:t>H</w:t>
            </w:r>
            <w:r w:rsidR="00476164" w:rsidRPr="00445116">
              <w:rPr>
                <w:bCs/>
                <w:sz w:val="22"/>
              </w:rPr>
              <w:t>igh</w:t>
            </w:r>
          </w:p>
        </w:tc>
        <w:tc>
          <w:tcPr>
            <w:tcW w:w="1405" w:type="dxa"/>
          </w:tcPr>
          <w:p w14:paraId="5A2B7D61" w14:textId="0687743D" w:rsidR="00476164" w:rsidRPr="00445116" w:rsidRDefault="002450B2" w:rsidP="005001BB">
            <w:pPr>
              <w:rPr>
                <w:bCs/>
                <w:sz w:val="22"/>
              </w:rPr>
            </w:pPr>
            <w:r w:rsidRPr="00445116">
              <w:rPr>
                <w:bCs/>
                <w:sz w:val="22"/>
              </w:rPr>
              <w:t>L</w:t>
            </w:r>
            <w:r w:rsidR="00476164" w:rsidRPr="00445116">
              <w:rPr>
                <w:bCs/>
                <w:sz w:val="22"/>
              </w:rPr>
              <w:t>ow</w:t>
            </w:r>
          </w:p>
        </w:tc>
      </w:tr>
      <w:tr w:rsidR="00476164" w:rsidRPr="00445116" w14:paraId="216DD93F" w14:textId="77777777" w:rsidTr="005001BB">
        <w:tc>
          <w:tcPr>
            <w:tcW w:w="2405" w:type="dxa"/>
          </w:tcPr>
          <w:p w14:paraId="30E358C4" w14:textId="77777777" w:rsidR="00476164" w:rsidRPr="00445116" w:rsidRDefault="00476164" w:rsidP="005001BB">
            <w:pPr>
              <w:rPr>
                <w:bCs/>
                <w:sz w:val="22"/>
              </w:rPr>
            </w:pPr>
            <w:r w:rsidRPr="00445116">
              <w:rPr>
                <w:bCs/>
                <w:sz w:val="22"/>
              </w:rPr>
              <w:t>Taura Syndrome Virus (TSV)</w:t>
            </w:r>
          </w:p>
          <w:p w14:paraId="1CD11386" w14:textId="77777777" w:rsidR="00476164" w:rsidRPr="00445116" w:rsidRDefault="00476164" w:rsidP="005001BB">
            <w:pPr>
              <w:rPr>
                <w:bCs/>
                <w:sz w:val="22"/>
              </w:rPr>
            </w:pPr>
          </w:p>
        </w:tc>
        <w:tc>
          <w:tcPr>
            <w:tcW w:w="1122" w:type="dxa"/>
          </w:tcPr>
          <w:p w14:paraId="1BE6B7A0" w14:textId="77777777" w:rsidR="00476164" w:rsidRPr="00445116" w:rsidRDefault="00476164" w:rsidP="005001BB">
            <w:pPr>
              <w:rPr>
                <w:bCs/>
                <w:sz w:val="22"/>
              </w:rPr>
            </w:pPr>
            <w:r w:rsidRPr="00445116">
              <w:rPr>
                <w:bCs/>
                <w:sz w:val="22"/>
              </w:rPr>
              <w:t>Y</w:t>
            </w:r>
          </w:p>
        </w:tc>
        <w:tc>
          <w:tcPr>
            <w:tcW w:w="1667" w:type="dxa"/>
          </w:tcPr>
          <w:p w14:paraId="7D1F3496" w14:textId="77777777" w:rsidR="00476164" w:rsidRPr="00445116" w:rsidRDefault="00476164" w:rsidP="005001BB">
            <w:pPr>
              <w:rPr>
                <w:bCs/>
                <w:sz w:val="22"/>
              </w:rPr>
            </w:pPr>
            <w:r w:rsidRPr="00445116">
              <w:rPr>
                <w:bCs/>
                <w:sz w:val="22"/>
              </w:rPr>
              <w:t>Y</w:t>
            </w:r>
          </w:p>
        </w:tc>
        <w:tc>
          <w:tcPr>
            <w:tcW w:w="1781" w:type="dxa"/>
          </w:tcPr>
          <w:p w14:paraId="313158ED" w14:textId="77777777" w:rsidR="00476164" w:rsidRPr="00445116" w:rsidRDefault="00476164" w:rsidP="005001BB">
            <w:pPr>
              <w:rPr>
                <w:bCs/>
                <w:sz w:val="22"/>
              </w:rPr>
            </w:pPr>
            <w:r w:rsidRPr="00445116">
              <w:rPr>
                <w:bCs/>
                <w:sz w:val="22"/>
              </w:rPr>
              <w:t>H</w:t>
            </w:r>
          </w:p>
        </w:tc>
        <w:tc>
          <w:tcPr>
            <w:tcW w:w="1397" w:type="dxa"/>
          </w:tcPr>
          <w:p w14:paraId="4D2D4E72" w14:textId="001F7342" w:rsidR="00476164" w:rsidRPr="00445116" w:rsidRDefault="002450B2" w:rsidP="005001BB">
            <w:pPr>
              <w:rPr>
                <w:bCs/>
                <w:sz w:val="22"/>
              </w:rPr>
            </w:pPr>
            <w:r w:rsidRPr="00445116">
              <w:rPr>
                <w:bCs/>
                <w:sz w:val="22"/>
              </w:rPr>
              <w:t>H</w:t>
            </w:r>
            <w:r w:rsidR="00476164" w:rsidRPr="00445116">
              <w:rPr>
                <w:bCs/>
                <w:sz w:val="22"/>
              </w:rPr>
              <w:t>igh</w:t>
            </w:r>
          </w:p>
        </w:tc>
        <w:tc>
          <w:tcPr>
            <w:tcW w:w="1405" w:type="dxa"/>
          </w:tcPr>
          <w:p w14:paraId="5E2736CA" w14:textId="1582FD5D" w:rsidR="00476164" w:rsidRPr="00445116" w:rsidRDefault="002450B2" w:rsidP="005001BB">
            <w:pPr>
              <w:rPr>
                <w:bCs/>
                <w:sz w:val="22"/>
              </w:rPr>
            </w:pPr>
            <w:r w:rsidRPr="00445116">
              <w:rPr>
                <w:bCs/>
                <w:sz w:val="22"/>
              </w:rPr>
              <w:t>L</w:t>
            </w:r>
            <w:r w:rsidR="00476164" w:rsidRPr="00445116">
              <w:rPr>
                <w:bCs/>
                <w:sz w:val="22"/>
              </w:rPr>
              <w:t>ow</w:t>
            </w:r>
          </w:p>
        </w:tc>
      </w:tr>
      <w:tr w:rsidR="00476164" w:rsidRPr="00445116" w14:paraId="60814466" w14:textId="77777777" w:rsidTr="005001BB">
        <w:tc>
          <w:tcPr>
            <w:tcW w:w="2405" w:type="dxa"/>
          </w:tcPr>
          <w:p w14:paraId="0E341504" w14:textId="77777777" w:rsidR="00476164" w:rsidRPr="00445116" w:rsidRDefault="00476164" w:rsidP="005001BB">
            <w:pPr>
              <w:rPr>
                <w:bCs/>
                <w:sz w:val="22"/>
              </w:rPr>
            </w:pPr>
            <w:r w:rsidRPr="00445116">
              <w:rPr>
                <w:bCs/>
                <w:sz w:val="22"/>
              </w:rPr>
              <w:t>Vibrio Parahaemolyticus (AHPND)</w:t>
            </w:r>
          </w:p>
          <w:p w14:paraId="7F16E6BB" w14:textId="77777777" w:rsidR="00476164" w:rsidRPr="00445116" w:rsidRDefault="00476164" w:rsidP="005001BB">
            <w:pPr>
              <w:rPr>
                <w:bCs/>
                <w:sz w:val="22"/>
              </w:rPr>
            </w:pPr>
          </w:p>
        </w:tc>
        <w:tc>
          <w:tcPr>
            <w:tcW w:w="1122" w:type="dxa"/>
          </w:tcPr>
          <w:p w14:paraId="2C9EA18D" w14:textId="77777777" w:rsidR="00476164" w:rsidRPr="00445116" w:rsidRDefault="00476164" w:rsidP="005001BB">
            <w:pPr>
              <w:rPr>
                <w:bCs/>
                <w:sz w:val="22"/>
              </w:rPr>
            </w:pPr>
            <w:r w:rsidRPr="00445116">
              <w:rPr>
                <w:bCs/>
                <w:sz w:val="22"/>
              </w:rPr>
              <w:t>Y</w:t>
            </w:r>
          </w:p>
        </w:tc>
        <w:tc>
          <w:tcPr>
            <w:tcW w:w="1667" w:type="dxa"/>
          </w:tcPr>
          <w:p w14:paraId="5CA85D63" w14:textId="77777777" w:rsidR="00476164" w:rsidRPr="00445116" w:rsidRDefault="00476164" w:rsidP="005001BB">
            <w:pPr>
              <w:rPr>
                <w:bCs/>
                <w:sz w:val="22"/>
              </w:rPr>
            </w:pPr>
            <w:r w:rsidRPr="00445116">
              <w:rPr>
                <w:bCs/>
                <w:sz w:val="22"/>
              </w:rPr>
              <w:t>Y</w:t>
            </w:r>
          </w:p>
        </w:tc>
        <w:tc>
          <w:tcPr>
            <w:tcW w:w="1781" w:type="dxa"/>
          </w:tcPr>
          <w:p w14:paraId="42137D86" w14:textId="77777777" w:rsidR="00476164" w:rsidRPr="00445116" w:rsidRDefault="00476164" w:rsidP="005001BB">
            <w:pPr>
              <w:rPr>
                <w:bCs/>
                <w:sz w:val="22"/>
              </w:rPr>
            </w:pPr>
            <w:r w:rsidRPr="00445116">
              <w:rPr>
                <w:bCs/>
                <w:sz w:val="22"/>
              </w:rPr>
              <w:t>M</w:t>
            </w:r>
          </w:p>
        </w:tc>
        <w:tc>
          <w:tcPr>
            <w:tcW w:w="1397" w:type="dxa"/>
          </w:tcPr>
          <w:p w14:paraId="00C3605D" w14:textId="4363FA57" w:rsidR="00476164" w:rsidRPr="00445116" w:rsidRDefault="002450B2" w:rsidP="005001BB">
            <w:pPr>
              <w:rPr>
                <w:bCs/>
                <w:sz w:val="22"/>
              </w:rPr>
            </w:pPr>
            <w:r w:rsidRPr="00445116">
              <w:rPr>
                <w:bCs/>
                <w:sz w:val="22"/>
              </w:rPr>
              <w:t>V</w:t>
            </w:r>
            <w:r w:rsidR="00476164" w:rsidRPr="00445116">
              <w:rPr>
                <w:bCs/>
                <w:sz w:val="22"/>
              </w:rPr>
              <w:t xml:space="preserve">ery </w:t>
            </w:r>
            <w:r w:rsidRPr="00445116">
              <w:rPr>
                <w:bCs/>
                <w:sz w:val="22"/>
              </w:rPr>
              <w:t>L</w:t>
            </w:r>
            <w:r w:rsidR="00476164" w:rsidRPr="00445116">
              <w:rPr>
                <w:bCs/>
                <w:sz w:val="22"/>
              </w:rPr>
              <w:t>ow</w:t>
            </w:r>
          </w:p>
        </w:tc>
        <w:tc>
          <w:tcPr>
            <w:tcW w:w="1405" w:type="dxa"/>
          </w:tcPr>
          <w:p w14:paraId="62548BBA" w14:textId="6D87B272" w:rsidR="00476164" w:rsidRPr="00445116" w:rsidRDefault="002450B2" w:rsidP="005001BB">
            <w:pPr>
              <w:rPr>
                <w:bCs/>
                <w:sz w:val="22"/>
              </w:rPr>
            </w:pPr>
            <w:r w:rsidRPr="00445116">
              <w:rPr>
                <w:bCs/>
                <w:sz w:val="22"/>
              </w:rPr>
              <w:t>L</w:t>
            </w:r>
            <w:r w:rsidR="00476164" w:rsidRPr="00445116">
              <w:rPr>
                <w:bCs/>
                <w:sz w:val="22"/>
              </w:rPr>
              <w:t>ow</w:t>
            </w:r>
          </w:p>
        </w:tc>
      </w:tr>
      <w:tr w:rsidR="00476164" w:rsidRPr="00445116" w14:paraId="10D6CF5A" w14:textId="77777777" w:rsidTr="005001BB">
        <w:tc>
          <w:tcPr>
            <w:tcW w:w="2405" w:type="dxa"/>
          </w:tcPr>
          <w:p w14:paraId="5A29DC96" w14:textId="72B3D5ED" w:rsidR="00476164" w:rsidRPr="00445116" w:rsidRDefault="00476164" w:rsidP="005001BB">
            <w:pPr>
              <w:rPr>
                <w:bCs/>
                <w:sz w:val="22"/>
              </w:rPr>
            </w:pPr>
            <w:r w:rsidRPr="00445116">
              <w:rPr>
                <w:bCs/>
                <w:sz w:val="22"/>
              </w:rPr>
              <w:t>White Spot Syndrome Virus (WSSV)</w:t>
            </w:r>
          </w:p>
          <w:p w14:paraId="1300570A" w14:textId="77777777" w:rsidR="00476164" w:rsidRPr="00445116" w:rsidRDefault="00476164" w:rsidP="005001BB">
            <w:pPr>
              <w:rPr>
                <w:bCs/>
                <w:sz w:val="22"/>
              </w:rPr>
            </w:pPr>
          </w:p>
        </w:tc>
        <w:tc>
          <w:tcPr>
            <w:tcW w:w="1122" w:type="dxa"/>
          </w:tcPr>
          <w:p w14:paraId="0F17C75E" w14:textId="77777777" w:rsidR="00476164" w:rsidRPr="00445116" w:rsidRDefault="00476164" w:rsidP="005001BB">
            <w:pPr>
              <w:rPr>
                <w:bCs/>
                <w:sz w:val="22"/>
              </w:rPr>
            </w:pPr>
            <w:r w:rsidRPr="00445116">
              <w:rPr>
                <w:bCs/>
                <w:sz w:val="22"/>
              </w:rPr>
              <w:t>Y</w:t>
            </w:r>
          </w:p>
        </w:tc>
        <w:tc>
          <w:tcPr>
            <w:tcW w:w="1667" w:type="dxa"/>
          </w:tcPr>
          <w:p w14:paraId="1E48257C" w14:textId="77777777" w:rsidR="00476164" w:rsidRPr="00445116" w:rsidRDefault="00476164" w:rsidP="005001BB">
            <w:pPr>
              <w:rPr>
                <w:bCs/>
                <w:sz w:val="22"/>
              </w:rPr>
            </w:pPr>
            <w:r w:rsidRPr="00445116">
              <w:rPr>
                <w:bCs/>
                <w:sz w:val="22"/>
              </w:rPr>
              <w:t>Y</w:t>
            </w:r>
          </w:p>
        </w:tc>
        <w:tc>
          <w:tcPr>
            <w:tcW w:w="1781" w:type="dxa"/>
          </w:tcPr>
          <w:p w14:paraId="50D2D2B3" w14:textId="77777777" w:rsidR="00476164" w:rsidRPr="00445116" w:rsidRDefault="00476164" w:rsidP="005001BB">
            <w:pPr>
              <w:rPr>
                <w:bCs/>
                <w:sz w:val="22"/>
              </w:rPr>
            </w:pPr>
            <w:r w:rsidRPr="00445116">
              <w:rPr>
                <w:bCs/>
                <w:sz w:val="22"/>
              </w:rPr>
              <w:t>H</w:t>
            </w:r>
          </w:p>
        </w:tc>
        <w:tc>
          <w:tcPr>
            <w:tcW w:w="1397" w:type="dxa"/>
          </w:tcPr>
          <w:p w14:paraId="42E9EFE6" w14:textId="68A06D78" w:rsidR="00476164" w:rsidRPr="00445116" w:rsidRDefault="002450B2" w:rsidP="005001BB">
            <w:pPr>
              <w:rPr>
                <w:bCs/>
                <w:sz w:val="22"/>
              </w:rPr>
            </w:pPr>
            <w:r w:rsidRPr="00445116">
              <w:rPr>
                <w:bCs/>
                <w:sz w:val="22"/>
              </w:rPr>
              <w:t>H</w:t>
            </w:r>
            <w:r w:rsidR="00476164" w:rsidRPr="00445116">
              <w:rPr>
                <w:bCs/>
                <w:sz w:val="22"/>
              </w:rPr>
              <w:t>igh</w:t>
            </w:r>
          </w:p>
        </w:tc>
        <w:tc>
          <w:tcPr>
            <w:tcW w:w="1405" w:type="dxa"/>
          </w:tcPr>
          <w:p w14:paraId="23A5205A" w14:textId="09D5AD43" w:rsidR="00476164" w:rsidRPr="00445116" w:rsidRDefault="002450B2" w:rsidP="005001BB">
            <w:pPr>
              <w:rPr>
                <w:bCs/>
                <w:sz w:val="22"/>
              </w:rPr>
            </w:pPr>
            <w:r w:rsidRPr="00445116">
              <w:rPr>
                <w:bCs/>
                <w:sz w:val="22"/>
              </w:rPr>
              <w:t>E</w:t>
            </w:r>
            <w:r w:rsidR="00476164" w:rsidRPr="00445116">
              <w:rPr>
                <w:bCs/>
                <w:sz w:val="22"/>
              </w:rPr>
              <w:t>xtreme</w:t>
            </w:r>
          </w:p>
        </w:tc>
      </w:tr>
      <w:tr w:rsidR="00476164" w:rsidRPr="00445116" w14:paraId="470E50EE" w14:textId="77777777" w:rsidTr="005001BB">
        <w:tc>
          <w:tcPr>
            <w:tcW w:w="2405" w:type="dxa"/>
          </w:tcPr>
          <w:p w14:paraId="1BDD5B15" w14:textId="77777777" w:rsidR="00476164" w:rsidRPr="00445116" w:rsidRDefault="00476164" w:rsidP="005001BB">
            <w:pPr>
              <w:rPr>
                <w:bCs/>
                <w:sz w:val="22"/>
              </w:rPr>
            </w:pPr>
            <w:r w:rsidRPr="00445116">
              <w:rPr>
                <w:bCs/>
                <w:sz w:val="22"/>
              </w:rPr>
              <w:t>Yellow Head Virus YHV</w:t>
            </w:r>
          </w:p>
          <w:p w14:paraId="15FBEEA0" w14:textId="77777777" w:rsidR="00476164" w:rsidRPr="00445116" w:rsidRDefault="00476164" w:rsidP="005001BB">
            <w:pPr>
              <w:rPr>
                <w:bCs/>
                <w:sz w:val="22"/>
              </w:rPr>
            </w:pPr>
            <w:r w:rsidRPr="00445116">
              <w:rPr>
                <w:bCs/>
                <w:sz w:val="22"/>
              </w:rPr>
              <w:t>(genotypes 1,8)</w:t>
            </w:r>
          </w:p>
          <w:p w14:paraId="7CFE3A3A" w14:textId="77777777" w:rsidR="00476164" w:rsidRPr="00445116" w:rsidRDefault="00476164" w:rsidP="005001BB">
            <w:pPr>
              <w:rPr>
                <w:bCs/>
                <w:sz w:val="22"/>
              </w:rPr>
            </w:pPr>
          </w:p>
        </w:tc>
        <w:tc>
          <w:tcPr>
            <w:tcW w:w="1122" w:type="dxa"/>
          </w:tcPr>
          <w:p w14:paraId="400CB590" w14:textId="77777777" w:rsidR="00476164" w:rsidRPr="00445116" w:rsidRDefault="00476164" w:rsidP="005001BB">
            <w:pPr>
              <w:rPr>
                <w:bCs/>
                <w:sz w:val="22"/>
              </w:rPr>
            </w:pPr>
            <w:r w:rsidRPr="00445116">
              <w:rPr>
                <w:bCs/>
                <w:sz w:val="22"/>
              </w:rPr>
              <w:t>Y</w:t>
            </w:r>
            <w:r w:rsidR="00AC148A" w:rsidRPr="00445116">
              <w:rPr>
                <w:bCs/>
                <w:sz w:val="22"/>
              </w:rPr>
              <w:t xml:space="preserve"> (YHV1 only)</w:t>
            </w:r>
          </w:p>
        </w:tc>
        <w:tc>
          <w:tcPr>
            <w:tcW w:w="1667" w:type="dxa"/>
          </w:tcPr>
          <w:p w14:paraId="429E1DC5" w14:textId="77777777" w:rsidR="00476164" w:rsidRPr="00445116" w:rsidRDefault="00476164" w:rsidP="005001BB">
            <w:pPr>
              <w:rPr>
                <w:bCs/>
                <w:sz w:val="22"/>
              </w:rPr>
            </w:pPr>
            <w:r w:rsidRPr="00445116">
              <w:rPr>
                <w:bCs/>
                <w:sz w:val="22"/>
              </w:rPr>
              <w:t>Y</w:t>
            </w:r>
            <w:r w:rsidR="00AC148A" w:rsidRPr="00445116">
              <w:rPr>
                <w:bCs/>
                <w:sz w:val="22"/>
              </w:rPr>
              <w:t xml:space="preserve"> (YHV1 only)</w:t>
            </w:r>
          </w:p>
        </w:tc>
        <w:tc>
          <w:tcPr>
            <w:tcW w:w="1781" w:type="dxa"/>
          </w:tcPr>
          <w:p w14:paraId="46E8DAD8" w14:textId="77777777" w:rsidR="00476164" w:rsidRPr="00445116" w:rsidRDefault="00476164" w:rsidP="005001BB">
            <w:pPr>
              <w:rPr>
                <w:bCs/>
                <w:sz w:val="22"/>
              </w:rPr>
            </w:pPr>
            <w:r w:rsidRPr="00445116">
              <w:rPr>
                <w:bCs/>
                <w:sz w:val="22"/>
              </w:rPr>
              <w:t>H</w:t>
            </w:r>
          </w:p>
        </w:tc>
        <w:tc>
          <w:tcPr>
            <w:tcW w:w="1397" w:type="dxa"/>
          </w:tcPr>
          <w:p w14:paraId="6E2066DC" w14:textId="6564A1E7" w:rsidR="00476164" w:rsidRPr="00445116" w:rsidRDefault="002450B2" w:rsidP="005001BB">
            <w:pPr>
              <w:rPr>
                <w:bCs/>
                <w:sz w:val="22"/>
              </w:rPr>
            </w:pPr>
            <w:r w:rsidRPr="00445116">
              <w:rPr>
                <w:bCs/>
                <w:sz w:val="22"/>
              </w:rPr>
              <w:t>H</w:t>
            </w:r>
            <w:r w:rsidR="00476164" w:rsidRPr="00445116">
              <w:rPr>
                <w:bCs/>
                <w:sz w:val="22"/>
              </w:rPr>
              <w:t>igh</w:t>
            </w:r>
          </w:p>
        </w:tc>
        <w:tc>
          <w:tcPr>
            <w:tcW w:w="1405" w:type="dxa"/>
          </w:tcPr>
          <w:p w14:paraId="6C16F051" w14:textId="60A40E75" w:rsidR="00476164" w:rsidRPr="00445116" w:rsidRDefault="002450B2" w:rsidP="005001BB">
            <w:pPr>
              <w:rPr>
                <w:bCs/>
                <w:sz w:val="22"/>
              </w:rPr>
            </w:pPr>
            <w:r w:rsidRPr="00445116">
              <w:rPr>
                <w:bCs/>
                <w:sz w:val="22"/>
              </w:rPr>
              <w:t>M</w:t>
            </w:r>
            <w:r w:rsidR="00476164" w:rsidRPr="00445116">
              <w:rPr>
                <w:bCs/>
                <w:sz w:val="22"/>
              </w:rPr>
              <w:t>oderate</w:t>
            </w:r>
          </w:p>
        </w:tc>
      </w:tr>
    </w:tbl>
    <w:p w14:paraId="0B439DE5" w14:textId="77777777" w:rsidR="00476164" w:rsidRPr="00445116" w:rsidRDefault="00476164" w:rsidP="00476164">
      <w:pPr>
        <w:rPr>
          <w:bCs/>
          <w:sz w:val="22"/>
        </w:rPr>
      </w:pPr>
      <w:r w:rsidRPr="00445116">
        <w:rPr>
          <w:bCs/>
          <w:sz w:val="22"/>
        </w:rPr>
        <w:t>1 – annual likelihood of entry in imported prawns</w:t>
      </w:r>
    </w:p>
    <w:p w14:paraId="5C08C856" w14:textId="16797F68" w:rsidR="00476164" w:rsidRPr="00445116" w:rsidRDefault="00476164" w:rsidP="00476164">
      <w:pPr>
        <w:rPr>
          <w:bCs/>
          <w:sz w:val="22"/>
        </w:rPr>
      </w:pPr>
      <w:r w:rsidRPr="00445116">
        <w:rPr>
          <w:bCs/>
          <w:sz w:val="22"/>
        </w:rPr>
        <w:t>2 - overall annual risk in non-viable, farm-sourced, frozen, uncooked whole prawns intended for human consumption</w:t>
      </w:r>
      <w:r w:rsidR="00AC148A" w:rsidRPr="00445116">
        <w:rPr>
          <w:bCs/>
          <w:sz w:val="22"/>
        </w:rPr>
        <w:t xml:space="preserve"> (unrestricted</w:t>
      </w:r>
      <w:r w:rsidR="005C2A3B" w:rsidRPr="00445116">
        <w:rPr>
          <w:bCs/>
          <w:sz w:val="22"/>
        </w:rPr>
        <w:t xml:space="preserve"> risk</w:t>
      </w:r>
      <w:r w:rsidR="00AC148A" w:rsidRPr="00445116">
        <w:rPr>
          <w:bCs/>
          <w:sz w:val="22"/>
        </w:rPr>
        <w:t>)</w:t>
      </w:r>
      <w:r w:rsidRPr="00445116">
        <w:rPr>
          <w:bCs/>
          <w:sz w:val="22"/>
        </w:rPr>
        <w:t>.</w:t>
      </w:r>
    </w:p>
    <w:p w14:paraId="2D1FBF4F" w14:textId="77777777" w:rsidR="007A389C" w:rsidRPr="00445116" w:rsidRDefault="007A389C" w:rsidP="00476164">
      <w:pPr>
        <w:rPr>
          <w:bCs/>
          <w:sz w:val="22"/>
        </w:rPr>
        <w:sectPr w:rsidR="007A389C" w:rsidRPr="00445116">
          <w:footerReference w:type="even" r:id="rId8"/>
          <w:footerReference w:type="default" r:id="rId9"/>
          <w:pgSz w:w="11906" w:h="16838"/>
          <w:pgMar w:top="1440" w:right="1440" w:bottom="1440" w:left="1440" w:header="708" w:footer="708" w:gutter="0"/>
          <w:cols w:space="708"/>
          <w:docGrid w:linePitch="360"/>
        </w:sectPr>
      </w:pPr>
    </w:p>
    <w:p w14:paraId="6A3E194B" w14:textId="77777777" w:rsidR="007A389C" w:rsidRPr="00445116" w:rsidRDefault="007A389C" w:rsidP="00A82A48">
      <w:pPr>
        <w:pStyle w:val="Heading2"/>
      </w:pPr>
      <w:bookmarkStart w:id="35" w:name="_Toc72416546"/>
      <w:bookmarkStart w:id="36" w:name="_Toc72478345"/>
      <w:r w:rsidRPr="00445116">
        <w:lastRenderedPageBreak/>
        <w:t>Appendix 2: Issues raised by stakeholders in submissions to the Draft Report that require further action</w:t>
      </w:r>
      <w:bookmarkEnd w:id="35"/>
      <w:bookmarkEnd w:id="36"/>
    </w:p>
    <w:p w14:paraId="6B5D30E1" w14:textId="77777777" w:rsidR="007A389C" w:rsidRPr="00445116" w:rsidRDefault="007A389C" w:rsidP="007A389C"/>
    <w:p w14:paraId="71291162" w14:textId="77777777" w:rsidR="007A389C" w:rsidRPr="00445116" w:rsidRDefault="007A389C" w:rsidP="007A389C">
      <w:pPr>
        <w:rPr>
          <w:rFonts w:ascii="Arial" w:hAnsi="Arial" w:cs="Arial"/>
          <w:b/>
          <w:bCs/>
          <w:color w:val="0070C0"/>
        </w:rPr>
      </w:pPr>
      <w:r w:rsidRPr="00445116">
        <w:rPr>
          <w:rFonts w:ascii="Arial" w:hAnsi="Arial" w:cs="Arial"/>
          <w:b/>
          <w:bCs/>
        </w:rPr>
        <w:t>A.</w:t>
      </w:r>
      <w:r w:rsidRPr="00445116">
        <w:rPr>
          <w:rFonts w:ascii="Arial" w:hAnsi="Arial" w:cs="Arial"/>
          <w:b/>
          <w:bCs/>
          <w:color w:val="0070C0"/>
        </w:rPr>
        <w:t xml:space="preserve">  </w:t>
      </w:r>
      <w:r w:rsidRPr="00445116">
        <w:rPr>
          <w:rFonts w:ascii="Arial" w:hAnsi="Arial" w:cs="Arial"/>
          <w:b/>
          <w:bCs/>
          <w:i/>
          <w:iCs/>
        </w:rPr>
        <w:t>ALTERED RISKS IN DISEASE PATHWAYS</w:t>
      </w:r>
    </w:p>
    <w:p w14:paraId="4F8CE14D" w14:textId="77777777" w:rsidR="007A389C" w:rsidRPr="00445116" w:rsidRDefault="007A389C" w:rsidP="007A389C">
      <w:pPr>
        <w:rPr>
          <w:rFonts w:ascii="Arial" w:hAnsi="Arial" w:cs="Arial"/>
          <w:bCs/>
          <w:color w:val="000000" w:themeColor="text1"/>
        </w:rPr>
      </w:pPr>
      <w:r w:rsidRPr="00445116">
        <w:rPr>
          <w:rFonts w:ascii="Arial" w:hAnsi="Arial" w:cs="Arial"/>
          <w:bCs/>
          <w:color w:val="000000" w:themeColor="text1"/>
        </w:rPr>
        <w:t>The Draft Report contains a comprehensive list and analysis of the pathways for the introduction and exposure of exotic hazards into Australia.</w:t>
      </w:r>
    </w:p>
    <w:tbl>
      <w:tblPr>
        <w:tblStyle w:val="TableGrid"/>
        <w:tblW w:w="13178" w:type="dxa"/>
        <w:tblLook w:val="04A0" w:firstRow="1" w:lastRow="0" w:firstColumn="1" w:lastColumn="0" w:noHBand="0" w:noVBand="1"/>
      </w:tblPr>
      <w:tblGrid>
        <w:gridCol w:w="5098"/>
        <w:gridCol w:w="8080"/>
      </w:tblGrid>
      <w:tr w:rsidR="007A389C" w:rsidRPr="00445116" w14:paraId="4A61B1AE" w14:textId="77777777" w:rsidTr="0098231E">
        <w:trPr>
          <w:tblHeader/>
        </w:trPr>
        <w:tc>
          <w:tcPr>
            <w:tcW w:w="5098" w:type="dxa"/>
          </w:tcPr>
          <w:p w14:paraId="6AAC14D2" w14:textId="77777777" w:rsidR="007A389C" w:rsidRPr="00445116" w:rsidRDefault="007A389C" w:rsidP="0098231E">
            <w:pPr>
              <w:rPr>
                <w:rFonts w:ascii="Arial" w:hAnsi="Arial" w:cs="Arial"/>
                <w:b/>
                <w:bCs/>
              </w:rPr>
            </w:pPr>
            <w:r w:rsidRPr="00445116">
              <w:rPr>
                <w:rFonts w:ascii="Arial" w:hAnsi="Arial" w:cs="Arial"/>
                <w:b/>
                <w:bCs/>
              </w:rPr>
              <w:t>Key issues raised</w:t>
            </w:r>
          </w:p>
        </w:tc>
        <w:tc>
          <w:tcPr>
            <w:tcW w:w="8080" w:type="dxa"/>
          </w:tcPr>
          <w:p w14:paraId="66A7B1ED" w14:textId="77777777" w:rsidR="007A389C" w:rsidRPr="00445116" w:rsidRDefault="007A389C" w:rsidP="0098231E">
            <w:pPr>
              <w:rPr>
                <w:rFonts w:ascii="Arial" w:hAnsi="Arial" w:cs="Arial"/>
                <w:b/>
                <w:bCs/>
              </w:rPr>
            </w:pPr>
            <w:r w:rsidRPr="00445116">
              <w:rPr>
                <w:rFonts w:ascii="Arial" w:hAnsi="Arial" w:cs="Arial"/>
                <w:b/>
                <w:bCs/>
              </w:rPr>
              <w:t>Further action required</w:t>
            </w:r>
          </w:p>
        </w:tc>
      </w:tr>
      <w:tr w:rsidR="007A389C" w:rsidRPr="00445116" w14:paraId="12C58920" w14:textId="77777777" w:rsidTr="0098231E">
        <w:tc>
          <w:tcPr>
            <w:tcW w:w="5098" w:type="dxa"/>
          </w:tcPr>
          <w:p w14:paraId="20EA3F39" w14:textId="77777777" w:rsidR="007A389C" w:rsidRPr="00445116" w:rsidRDefault="007A389C" w:rsidP="0098231E">
            <w:pPr>
              <w:pStyle w:val="ListParagraph"/>
              <w:numPr>
                <w:ilvl w:val="0"/>
                <w:numId w:val="49"/>
              </w:numPr>
              <w:rPr>
                <w:rFonts w:ascii="Arial" w:hAnsi="Arial" w:cs="Arial"/>
                <w:i/>
                <w:iCs/>
              </w:rPr>
            </w:pPr>
            <w:r w:rsidRPr="00445116">
              <w:rPr>
                <w:rFonts w:ascii="Arial" w:hAnsi="Arial" w:cs="Arial"/>
                <w:i/>
                <w:iCs/>
              </w:rPr>
              <w:t>Prioritisation of pathway risks</w:t>
            </w:r>
          </w:p>
          <w:p w14:paraId="55882D78" w14:textId="77777777" w:rsidR="007A389C" w:rsidRPr="00445116" w:rsidRDefault="007A389C" w:rsidP="0098231E">
            <w:pPr>
              <w:rPr>
                <w:rFonts w:ascii="Arial" w:hAnsi="Arial" w:cs="Arial"/>
                <w:iCs/>
              </w:rPr>
            </w:pPr>
          </w:p>
          <w:p w14:paraId="64454489" w14:textId="77777777" w:rsidR="007A389C" w:rsidRPr="00445116" w:rsidRDefault="007A389C" w:rsidP="0098231E">
            <w:pPr>
              <w:rPr>
                <w:rFonts w:ascii="Arial" w:hAnsi="Arial" w:cs="Arial"/>
                <w:iCs/>
              </w:rPr>
            </w:pPr>
            <w:r w:rsidRPr="00445116">
              <w:rPr>
                <w:rFonts w:ascii="Arial" w:hAnsi="Arial" w:cs="Arial"/>
                <w:iCs/>
              </w:rPr>
              <w:t xml:space="preserve">Likelihoods of entry, exposure and establishment are not ranked in order of priority for addressing. </w:t>
            </w:r>
          </w:p>
          <w:p w14:paraId="506323D8" w14:textId="77777777" w:rsidR="007A389C" w:rsidRPr="00445116" w:rsidRDefault="007A389C" w:rsidP="0098231E">
            <w:pPr>
              <w:rPr>
                <w:rFonts w:ascii="Arial" w:hAnsi="Arial" w:cs="Arial"/>
                <w:iCs/>
              </w:rPr>
            </w:pPr>
          </w:p>
          <w:p w14:paraId="0662FAC7" w14:textId="77777777" w:rsidR="007A389C" w:rsidRPr="00445116" w:rsidRDefault="007A389C" w:rsidP="0098231E">
            <w:pPr>
              <w:rPr>
                <w:rFonts w:ascii="Arial" w:hAnsi="Arial" w:cs="Arial"/>
                <w:iCs/>
              </w:rPr>
            </w:pPr>
            <w:r w:rsidRPr="00445116">
              <w:rPr>
                <w:rFonts w:ascii="Arial" w:hAnsi="Arial" w:cs="Arial"/>
                <w:iCs/>
              </w:rPr>
              <w:t>Some submissions contend that the bait and berley pathway</w:t>
            </w:r>
            <w:proofErr w:type="gramStart"/>
            <w:r w:rsidRPr="00445116">
              <w:rPr>
                <w:rFonts w:ascii="Arial" w:hAnsi="Arial" w:cs="Arial"/>
                <w:iCs/>
              </w:rPr>
              <w:t>, in particular, is</w:t>
            </w:r>
            <w:proofErr w:type="gramEnd"/>
            <w:r w:rsidRPr="00445116">
              <w:rPr>
                <w:rFonts w:ascii="Arial" w:hAnsi="Arial" w:cs="Arial"/>
                <w:iCs/>
              </w:rPr>
              <w:t xml:space="preserve"> not properly assessed or understood.</w:t>
            </w:r>
          </w:p>
        </w:tc>
        <w:tc>
          <w:tcPr>
            <w:tcW w:w="8080" w:type="dxa"/>
          </w:tcPr>
          <w:p w14:paraId="1E3B4796" w14:textId="77777777" w:rsidR="007A389C" w:rsidRPr="00445116" w:rsidRDefault="007A389C" w:rsidP="0098231E">
            <w:pPr>
              <w:rPr>
                <w:rFonts w:ascii="Arial" w:hAnsi="Arial" w:cs="Arial"/>
              </w:rPr>
            </w:pPr>
            <w:r w:rsidRPr="00445116">
              <w:rPr>
                <w:rFonts w:ascii="Arial" w:hAnsi="Arial" w:cs="Arial"/>
              </w:rPr>
              <w:t xml:space="preserve">The Provisional Final Report would benefit from a short summary (or table) that ranks pathway risks </w:t>
            </w:r>
            <w:proofErr w:type="gramStart"/>
            <w:r w:rsidRPr="00445116">
              <w:rPr>
                <w:rFonts w:ascii="Arial" w:hAnsi="Arial" w:cs="Arial"/>
              </w:rPr>
              <w:t>on the basis of</w:t>
            </w:r>
            <w:proofErr w:type="gramEnd"/>
            <w:r w:rsidRPr="00445116">
              <w:rPr>
                <w:rFonts w:ascii="Arial" w:hAnsi="Arial" w:cs="Arial"/>
              </w:rPr>
              <w:t xml:space="preserve"> current knowledge and understanding.</w:t>
            </w:r>
          </w:p>
          <w:p w14:paraId="63360E2C" w14:textId="77777777" w:rsidR="007A389C" w:rsidRPr="00445116" w:rsidRDefault="007A389C" w:rsidP="0098231E">
            <w:pPr>
              <w:rPr>
                <w:rFonts w:ascii="Arial" w:hAnsi="Arial" w:cs="Arial"/>
              </w:rPr>
            </w:pPr>
          </w:p>
          <w:p w14:paraId="2BCA8F2B" w14:textId="77777777" w:rsidR="007A389C" w:rsidRPr="00445116" w:rsidRDefault="007A389C" w:rsidP="0098231E">
            <w:pPr>
              <w:rPr>
                <w:rFonts w:ascii="Arial" w:hAnsi="Arial" w:cs="Arial"/>
              </w:rPr>
            </w:pPr>
            <w:r w:rsidRPr="00445116">
              <w:rPr>
                <w:rFonts w:ascii="Arial" w:hAnsi="Arial" w:cs="Arial"/>
              </w:rPr>
              <w:t>The Draft Report acknowledges that imported prawns and prawns intended for human consumption are widely used as bait or berley for recreational fishing, with ‘price and convenience’ a major driver. The Draft Report also acknowledges that exposure of wild crustaceans to bait and berley is possible. However, the Department considers that exposure to hazards within those commodities will differ depending on the specific pathogen. Accordingly, the biosecurity risk can be managed to a level which achieves Australia’s Appropriate Level of Protection (ALOP) through a stringent testing regime applied pre-export and post arrival, which reduces the likelihood of entry.</w:t>
            </w:r>
          </w:p>
          <w:p w14:paraId="14E32EA7" w14:textId="77777777" w:rsidR="007A389C" w:rsidRPr="00445116" w:rsidRDefault="007A389C" w:rsidP="0098231E">
            <w:pPr>
              <w:rPr>
                <w:rFonts w:ascii="Arial" w:hAnsi="Arial" w:cs="Arial"/>
              </w:rPr>
            </w:pPr>
          </w:p>
          <w:p w14:paraId="6A8181D3" w14:textId="77777777" w:rsidR="007A389C" w:rsidRPr="00445116" w:rsidRDefault="007A389C" w:rsidP="0098231E">
            <w:pPr>
              <w:rPr>
                <w:rFonts w:ascii="Arial" w:hAnsi="Arial" w:cs="Arial"/>
              </w:rPr>
            </w:pPr>
            <w:r w:rsidRPr="00445116">
              <w:rPr>
                <w:rFonts w:ascii="Arial" w:hAnsi="Arial" w:cs="Arial"/>
              </w:rPr>
              <w:t>To address industry concerns, the Provisional Final Report should further elaborate on the testing regime and its capacity to manage the biosecurity risks inherent with the bait and berley pathway. This could include advice provided by the Department about several activities and programs it manages to provide ongoing assurances about trade including retail testing of uncooked, de-headed, de-shelled and deveined prawns to confirm they are free of WSSV. The Provisional Final Report should also incorporate updated information and data from the recreational fishing survey if possible.</w:t>
            </w:r>
          </w:p>
          <w:p w14:paraId="055E6E99" w14:textId="77777777" w:rsidR="007A389C" w:rsidRPr="00445116" w:rsidRDefault="007A389C" w:rsidP="0098231E">
            <w:pPr>
              <w:rPr>
                <w:rFonts w:ascii="Arial" w:hAnsi="Arial" w:cs="Arial"/>
              </w:rPr>
            </w:pPr>
          </w:p>
        </w:tc>
      </w:tr>
      <w:tr w:rsidR="007A389C" w:rsidRPr="00445116" w14:paraId="3C7C6E93" w14:textId="77777777" w:rsidTr="0098231E">
        <w:tc>
          <w:tcPr>
            <w:tcW w:w="5098" w:type="dxa"/>
          </w:tcPr>
          <w:p w14:paraId="3F2A442D" w14:textId="77777777" w:rsidR="007A389C" w:rsidRPr="00445116" w:rsidRDefault="007A389C" w:rsidP="0098231E">
            <w:pPr>
              <w:rPr>
                <w:rFonts w:ascii="Arial" w:hAnsi="Arial" w:cs="Arial"/>
                <w:i/>
                <w:iCs/>
              </w:rPr>
            </w:pPr>
            <w:r w:rsidRPr="00445116">
              <w:rPr>
                <w:rFonts w:ascii="Arial" w:hAnsi="Arial" w:cs="Arial"/>
                <w:i/>
                <w:iCs/>
              </w:rPr>
              <w:lastRenderedPageBreak/>
              <w:t>2.  No clear indication from the Department on how new and emerging hazards will be addressed beyond 2020.</w:t>
            </w:r>
          </w:p>
          <w:p w14:paraId="53864AFD" w14:textId="77777777" w:rsidR="007A389C" w:rsidRPr="00445116" w:rsidRDefault="007A389C" w:rsidP="0098231E">
            <w:pPr>
              <w:rPr>
                <w:rFonts w:ascii="Arial" w:hAnsi="Arial" w:cs="Arial"/>
                <w:i/>
                <w:iCs/>
              </w:rPr>
            </w:pPr>
          </w:p>
          <w:p w14:paraId="61F7A12D" w14:textId="77777777" w:rsidR="007A389C" w:rsidRPr="00445116" w:rsidRDefault="007A389C" w:rsidP="0098231E">
            <w:pPr>
              <w:rPr>
                <w:rFonts w:ascii="Arial" w:hAnsi="Arial" w:cs="Arial"/>
              </w:rPr>
            </w:pPr>
            <w:r w:rsidRPr="00445116">
              <w:rPr>
                <w:rFonts w:ascii="Arial" w:hAnsi="Arial" w:cs="Arial"/>
              </w:rPr>
              <w:t>The Draft Report includes an expanded range of hazards compared with previous reviews but does not outline a process for monitoring new and emerging hazards.</w:t>
            </w:r>
          </w:p>
          <w:p w14:paraId="73EF304F" w14:textId="77777777" w:rsidR="007A389C" w:rsidRPr="00445116" w:rsidRDefault="007A389C" w:rsidP="0098231E">
            <w:pPr>
              <w:rPr>
                <w:rFonts w:ascii="Arial" w:hAnsi="Arial" w:cs="Arial"/>
              </w:rPr>
            </w:pPr>
          </w:p>
        </w:tc>
        <w:tc>
          <w:tcPr>
            <w:tcW w:w="8080" w:type="dxa"/>
          </w:tcPr>
          <w:p w14:paraId="3A1D354B" w14:textId="77777777" w:rsidR="007A389C" w:rsidRPr="00445116" w:rsidRDefault="007A389C" w:rsidP="0098231E">
            <w:pPr>
              <w:rPr>
                <w:rFonts w:ascii="Arial" w:hAnsi="Arial" w:cs="Arial"/>
              </w:rPr>
            </w:pPr>
            <w:r w:rsidRPr="00445116">
              <w:rPr>
                <w:rFonts w:ascii="Arial" w:hAnsi="Arial" w:cs="Arial"/>
              </w:rPr>
              <w:t>A process outline in the introduction in the Provisional Final Report would be helpful in increasing confidence in the biosecurity risk analysis process, including why non-regulated reviews are undertaken instead of a full BIRA.</w:t>
            </w:r>
          </w:p>
          <w:p w14:paraId="0D925BFC" w14:textId="77777777" w:rsidR="007A389C" w:rsidRPr="00445116" w:rsidRDefault="007A389C" w:rsidP="0098231E">
            <w:pPr>
              <w:rPr>
                <w:rFonts w:ascii="Arial" w:hAnsi="Arial" w:cs="Arial"/>
              </w:rPr>
            </w:pPr>
          </w:p>
          <w:p w14:paraId="42DF8EF0" w14:textId="77777777" w:rsidR="007A389C" w:rsidRPr="00445116" w:rsidRDefault="007A389C" w:rsidP="0098231E">
            <w:pPr>
              <w:rPr>
                <w:rFonts w:ascii="Arial" w:hAnsi="Arial" w:cs="Arial"/>
              </w:rPr>
            </w:pPr>
            <w:r w:rsidRPr="00445116">
              <w:rPr>
                <w:rFonts w:ascii="Arial" w:hAnsi="Arial" w:cs="Arial"/>
              </w:rPr>
              <w:t xml:space="preserve">The Provisional Final Report could also include advice provided by the Department about testing that it is undertaking to gather further information about the significance of emerging hazards such as CMNV, DIV1 and EHP and describe in more detail any other proposed random sampling programs for potential new hazards. The Provisional Final Report should also further elaborate on other activities carried out by the Department to monitor the emergence of new biosecurity risks including ongoing media and scientific literature feeds that it subscribes to, disease notification arrangements through the OIE and information obtained through regional networks such as the Network of Aquaculture Centres in Asia-Pacific. </w:t>
            </w:r>
          </w:p>
          <w:p w14:paraId="157B7677" w14:textId="77777777" w:rsidR="007A389C" w:rsidRPr="00445116" w:rsidRDefault="007A389C" w:rsidP="0098231E">
            <w:pPr>
              <w:rPr>
                <w:rFonts w:ascii="Arial" w:hAnsi="Arial" w:cs="Arial"/>
              </w:rPr>
            </w:pPr>
          </w:p>
        </w:tc>
      </w:tr>
    </w:tbl>
    <w:p w14:paraId="32548A6D" w14:textId="77777777" w:rsidR="007A389C" w:rsidRPr="00445116" w:rsidRDefault="007A389C" w:rsidP="007A389C"/>
    <w:p w14:paraId="704F5136" w14:textId="77777777" w:rsidR="007A389C" w:rsidRPr="00445116" w:rsidRDefault="007A389C" w:rsidP="007A389C">
      <w:pPr>
        <w:rPr>
          <w:rFonts w:ascii="Arial" w:hAnsi="Arial" w:cs="Arial"/>
          <w:b/>
          <w:bCs/>
          <w:i/>
          <w:iCs/>
        </w:rPr>
      </w:pPr>
      <w:r w:rsidRPr="00445116">
        <w:rPr>
          <w:rFonts w:ascii="Arial" w:hAnsi="Arial" w:cs="Arial"/>
          <w:b/>
          <w:bCs/>
        </w:rPr>
        <w:t>B</w:t>
      </w:r>
      <w:r w:rsidRPr="00445116">
        <w:rPr>
          <w:rFonts w:ascii="Arial" w:hAnsi="Arial" w:cs="Arial"/>
        </w:rPr>
        <w:t>.</w:t>
      </w:r>
      <w:r w:rsidRPr="00445116">
        <w:rPr>
          <w:rFonts w:ascii="Arial" w:hAnsi="Arial" w:cs="Arial"/>
          <w:b/>
          <w:bCs/>
          <w:i/>
          <w:iCs/>
        </w:rPr>
        <w:t xml:space="preserve"> DESIGN AND IMPLEMENTATION OF BIOSECURITY MEASURES</w:t>
      </w:r>
    </w:p>
    <w:tbl>
      <w:tblPr>
        <w:tblStyle w:val="TableGrid"/>
        <w:tblW w:w="13178" w:type="dxa"/>
        <w:tblLook w:val="04A0" w:firstRow="1" w:lastRow="0" w:firstColumn="1" w:lastColumn="0" w:noHBand="0" w:noVBand="1"/>
      </w:tblPr>
      <w:tblGrid>
        <w:gridCol w:w="5098"/>
        <w:gridCol w:w="8080"/>
      </w:tblGrid>
      <w:tr w:rsidR="007A389C" w:rsidRPr="00445116" w14:paraId="54C7420D" w14:textId="77777777" w:rsidTr="0098231E">
        <w:trPr>
          <w:tblHeader/>
        </w:trPr>
        <w:tc>
          <w:tcPr>
            <w:tcW w:w="5098" w:type="dxa"/>
          </w:tcPr>
          <w:p w14:paraId="2DEB67C0" w14:textId="77777777" w:rsidR="007A389C" w:rsidRPr="00445116" w:rsidRDefault="007A389C" w:rsidP="0098231E">
            <w:pPr>
              <w:rPr>
                <w:rFonts w:ascii="Arial" w:hAnsi="Arial" w:cs="Arial"/>
                <w:b/>
                <w:bCs/>
              </w:rPr>
            </w:pPr>
            <w:r w:rsidRPr="00445116">
              <w:rPr>
                <w:rFonts w:ascii="Arial" w:hAnsi="Arial" w:cs="Arial"/>
                <w:b/>
                <w:bCs/>
              </w:rPr>
              <w:t>Key issues raised</w:t>
            </w:r>
          </w:p>
        </w:tc>
        <w:tc>
          <w:tcPr>
            <w:tcW w:w="8080" w:type="dxa"/>
          </w:tcPr>
          <w:p w14:paraId="3AF7F037" w14:textId="77777777" w:rsidR="007A389C" w:rsidRPr="00445116" w:rsidRDefault="007A389C" w:rsidP="0098231E">
            <w:pPr>
              <w:rPr>
                <w:rFonts w:ascii="Arial" w:hAnsi="Arial" w:cs="Arial"/>
                <w:b/>
                <w:bCs/>
              </w:rPr>
            </w:pPr>
            <w:r w:rsidRPr="00445116">
              <w:rPr>
                <w:rFonts w:ascii="Arial" w:hAnsi="Arial" w:cs="Arial"/>
                <w:b/>
                <w:bCs/>
              </w:rPr>
              <w:t>Further action required</w:t>
            </w:r>
          </w:p>
        </w:tc>
      </w:tr>
      <w:tr w:rsidR="007A389C" w:rsidRPr="00445116" w14:paraId="0E918AA0" w14:textId="77777777" w:rsidTr="0098231E">
        <w:tc>
          <w:tcPr>
            <w:tcW w:w="5098" w:type="dxa"/>
          </w:tcPr>
          <w:p w14:paraId="7B3DBEEA" w14:textId="77777777" w:rsidR="007A389C" w:rsidRPr="00445116" w:rsidRDefault="007A389C" w:rsidP="0098231E">
            <w:pPr>
              <w:pStyle w:val="ListParagraph"/>
              <w:numPr>
                <w:ilvl w:val="0"/>
                <w:numId w:val="50"/>
              </w:numPr>
              <w:rPr>
                <w:rFonts w:ascii="Arial" w:hAnsi="Arial" w:cs="Arial"/>
                <w:i/>
                <w:iCs/>
              </w:rPr>
            </w:pPr>
            <w:r w:rsidRPr="00445116">
              <w:rPr>
                <w:rFonts w:ascii="Arial" w:hAnsi="Arial" w:cs="Arial"/>
                <w:i/>
                <w:iCs/>
              </w:rPr>
              <w:t>Pre entry processing of uncooked prawns does not address the biosecurity risks of many of the identified hazards.</w:t>
            </w:r>
          </w:p>
          <w:p w14:paraId="0AD2212E" w14:textId="77777777" w:rsidR="007A389C" w:rsidRPr="00445116" w:rsidRDefault="007A389C" w:rsidP="0098231E">
            <w:pPr>
              <w:rPr>
                <w:rFonts w:ascii="Arial" w:hAnsi="Arial" w:cs="Arial"/>
                <w:iCs/>
              </w:rPr>
            </w:pPr>
          </w:p>
          <w:p w14:paraId="3A4F9317" w14:textId="77777777" w:rsidR="007A389C" w:rsidRPr="00445116" w:rsidRDefault="007A389C" w:rsidP="0098231E">
            <w:pPr>
              <w:rPr>
                <w:rFonts w:ascii="Arial" w:hAnsi="Arial" w:cs="Arial"/>
                <w:iCs/>
              </w:rPr>
            </w:pPr>
            <w:proofErr w:type="gramStart"/>
            <w:r w:rsidRPr="00445116">
              <w:rPr>
                <w:rFonts w:ascii="Arial" w:hAnsi="Arial" w:cs="Arial"/>
                <w:iCs/>
              </w:rPr>
              <w:t>A number of</w:t>
            </w:r>
            <w:proofErr w:type="gramEnd"/>
            <w:r w:rsidRPr="00445116">
              <w:rPr>
                <w:rFonts w:ascii="Arial" w:hAnsi="Arial" w:cs="Arial"/>
                <w:iCs/>
              </w:rPr>
              <w:t xml:space="preserve"> submissions say that the removal of the head and shell and de-veining of prawns is not sufficient to address all the risks.</w:t>
            </w:r>
          </w:p>
        </w:tc>
        <w:tc>
          <w:tcPr>
            <w:tcW w:w="8080" w:type="dxa"/>
          </w:tcPr>
          <w:p w14:paraId="19CAA7BC" w14:textId="77777777" w:rsidR="007A389C" w:rsidRPr="00445116" w:rsidRDefault="007A389C" w:rsidP="0098231E">
            <w:pPr>
              <w:rPr>
                <w:rFonts w:ascii="Arial" w:hAnsi="Arial" w:cs="Arial"/>
              </w:rPr>
            </w:pPr>
            <w:r w:rsidRPr="00445116">
              <w:rPr>
                <w:rFonts w:ascii="Arial" w:hAnsi="Arial" w:cs="Arial"/>
              </w:rPr>
              <w:t xml:space="preserve">The Draft Report generally acknowledges that pre-entry processing is not sufficient to address all hazards and includes consideration of additional biosecurity measures, such as pre-entry and on-arrival testing, to further reduce the risks for disease pathogens such as WSSV and YHV1. No further action is required at this stage. </w:t>
            </w:r>
          </w:p>
        </w:tc>
      </w:tr>
      <w:tr w:rsidR="007A389C" w:rsidRPr="00445116" w14:paraId="4DBD129B" w14:textId="77777777" w:rsidTr="0098231E">
        <w:tc>
          <w:tcPr>
            <w:tcW w:w="5098" w:type="dxa"/>
          </w:tcPr>
          <w:p w14:paraId="007FDFDD" w14:textId="77777777" w:rsidR="007A389C" w:rsidRPr="00445116" w:rsidRDefault="007A389C" w:rsidP="0098231E">
            <w:pPr>
              <w:rPr>
                <w:rFonts w:ascii="Arial" w:hAnsi="Arial" w:cs="Arial"/>
                <w:i/>
                <w:iCs/>
              </w:rPr>
            </w:pPr>
            <w:r w:rsidRPr="00445116">
              <w:rPr>
                <w:rFonts w:ascii="Arial" w:hAnsi="Arial" w:cs="Arial"/>
                <w:i/>
                <w:iCs/>
              </w:rPr>
              <w:lastRenderedPageBreak/>
              <w:t>4.Pre-entry assessment (visual inspection) is insufficient for disease prevention.</w:t>
            </w:r>
          </w:p>
          <w:p w14:paraId="44BBDC8E" w14:textId="77777777" w:rsidR="007A389C" w:rsidRPr="00445116" w:rsidRDefault="007A389C" w:rsidP="0098231E">
            <w:pPr>
              <w:rPr>
                <w:rFonts w:ascii="Arial" w:hAnsi="Arial" w:cs="Arial"/>
              </w:rPr>
            </w:pPr>
          </w:p>
          <w:p w14:paraId="7609010F" w14:textId="77777777" w:rsidR="007A389C" w:rsidRPr="00445116" w:rsidRDefault="007A389C" w:rsidP="0098231E">
            <w:pPr>
              <w:rPr>
                <w:rFonts w:ascii="Arial" w:hAnsi="Arial" w:cs="Arial"/>
              </w:rPr>
            </w:pPr>
            <w:proofErr w:type="gramStart"/>
            <w:r w:rsidRPr="00445116">
              <w:rPr>
                <w:rFonts w:ascii="Arial" w:hAnsi="Arial" w:cs="Arial"/>
              </w:rPr>
              <w:t>A number of</w:t>
            </w:r>
            <w:proofErr w:type="gramEnd"/>
            <w:r w:rsidRPr="00445116">
              <w:rPr>
                <w:rFonts w:ascii="Arial" w:hAnsi="Arial" w:cs="Arial"/>
              </w:rPr>
              <w:t xml:space="preserve"> industry submissions comment on the limitations of visual inspection and the heavy reliance on export country competent authorities to ensure this risk management measure is properly conducted.</w:t>
            </w:r>
          </w:p>
          <w:p w14:paraId="527AA112" w14:textId="77777777" w:rsidR="007A389C" w:rsidRPr="00445116" w:rsidRDefault="007A389C" w:rsidP="0098231E">
            <w:pPr>
              <w:rPr>
                <w:rFonts w:ascii="Arial" w:hAnsi="Arial" w:cs="Arial"/>
                <w:i/>
                <w:iCs/>
              </w:rPr>
            </w:pPr>
          </w:p>
        </w:tc>
        <w:tc>
          <w:tcPr>
            <w:tcW w:w="8080" w:type="dxa"/>
          </w:tcPr>
          <w:p w14:paraId="45821CDC" w14:textId="77777777" w:rsidR="007A389C" w:rsidRPr="00445116" w:rsidRDefault="007A389C" w:rsidP="0098231E">
            <w:pPr>
              <w:rPr>
                <w:rFonts w:ascii="Arial" w:hAnsi="Arial" w:cs="Arial"/>
              </w:rPr>
            </w:pPr>
            <w:r w:rsidRPr="00445116">
              <w:rPr>
                <w:rFonts w:ascii="Arial" w:hAnsi="Arial" w:cs="Arial"/>
              </w:rPr>
              <w:t xml:space="preserve">The Draft Report acknowledges that pre-entry visual assessment is insufficient to reduce the risks associated with hazards entering Australia but does confer a high degree of confidence in exporting country Competent Authority certification arrangements that include visual inspection steps. The Draft Report should elaborate on exporting country certification arrangements and explain why they are a reliable risk management tool. </w:t>
            </w:r>
          </w:p>
          <w:p w14:paraId="2B99FE49" w14:textId="77777777" w:rsidR="007A389C" w:rsidRPr="00445116" w:rsidRDefault="007A389C" w:rsidP="0098231E">
            <w:pPr>
              <w:rPr>
                <w:rFonts w:ascii="Arial" w:hAnsi="Arial" w:cs="Arial"/>
              </w:rPr>
            </w:pPr>
          </w:p>
        </w:tc>
      </w:tr>
      <w:tr w:rsidR="007A389C" w:rsidRPr="00445116" w14:paraId="0DDBE7DD" w14:textId="77777777" w:rsidTr="0098231E">
        <w:tc>
          <w:tcPr>
            <w:tcW w:w="5098" w:type="dxa"/>
          </w:tcPr>
          <w:p w14:paraId="697FA736" w14:textId="77777777" w:rsidR="007A389C" w:rsidRPr="00445116" w:rsidRDefault="007A389C" w:rsidP="0098231E">
            <w:pPr>
              <w:rPr>
                <w:rFonts w:ascii="Arial" w:hAnsi="Arial" w:cs="Arial"/>
                <w:i/>
                <w:iCs/>
              </w:rPr>
            </w:pPr>
            <w:r w:rsidRPr="00445116">
              <w:rPr>
                <w:rFonts w:ascii="Arial" w:hAnsi="Arial" w:cs="Arial"/>
                <w:i/>
                <w:iCs/>
              </w:rPr>
              <w:t xml:space="preserve">5.  On-arrival monitoring system has failed in the past. </w:t>
            </w:r>
          </w:p>
          <w:p w14:paraId="613EB9D4" w14:textId="77777777" w:rsidR="007A389C" w:rsidRPr="00445116" w:rsidRDefault="007A389C" w:rsidP="0098231E">
            <w:pPr>
              <w:ind w:left="720"/>
              <w:rPr>
                <w:rFonts w:ascii="Arial" w:hAnsi="Arial" w:cs="Arial"/>
              </w:rPr>
            </w:pPr>
          </w:p>
          <w:p w14:paraId="3E6BD37B" w14:textId="77777777" w:rsidR="007A389C" w:rsidRPr="00445116" w:rsidRDefault="007A389C" w:rsidP="0098231E">
            <w:pPr>
              <w:rPr>
                <w:rFonts w:ascii="Arial" w:hAnsi="Arial" w:cs="Arial"/>
              </w:rPr>
            </w:pPr>
            <w:r w:rsidRPr="00445116">
              <w:rPr>
                <w:rFonts w:ascii="Arial" w:hAnsi="Arial" w:cs="Arial"/>
              </w:rPr>
              <w:t>Many submissions are critical of the Draft Report’s confidence in the effectiveness of testing at the border which they claim has failed in the past due to inspection confusion, system rorting and testing failure. Some submissions suggest that inadequate resourcing is a major reason for failure, and one suggests that the resources needed to enforce import protocols should be cost-recoverable.</w:t>
            </w:r>
          </w:p>
          <w:p w14:paraId="499CEAE0" w14:textId="77777777" w:rsidR="007A389C" w:rsidRPr="00445116" w:rsidRDefault="007A389C" w:rsidP="0098231E">
            <w:pPr>
              <w:rPr>
                <w:rFonts w:ascii="Arial" w:hAnsi="Arial" w:cs="Arial"/>
              </w:rPr>
            </w:pPr>
          </w:p>
        </w:tc>
        <w:tc>
          <w:tcPr>
            <w:tcW w:w="8080" w:type="dxa"/>
          </w:tcPr>
          <w:p w14:paraId="23EB815F" w14:textId="77777777" w:rsidR="007A389C" w:rsidRPr="00445116" w:rsidRDefault="007A389C" w:rsidP="0098231E">
            <w:pPr>
              <w:rPr>
                <w:rFonts w:ascii="Arial" w:hAnsi="Arial" w:cs="Arial"/>
              </w:rPr>
            </w:pPr>
            <w:r w:rsidRPr="00445116">
              <w:rPr>
                <w:rFonts w:ascii="Arial" w:hAnsi="Arial" w:cs="Arial"/>
              </w:rPr>
              <w:t>The Draft Report does not provide a clear explanation of how deficiencies in the testing regime will be addressed, nor the resources that would be needed to strengthen the testing regime.</w:t>
            </w:r>
          </w:p>
          <w:p w14:paraId="1CCEE5DE" w14:textId="77777777" w:rsidR="007A389C" w:rsidRPr="00445116" w:rsidRDefault="007A389C" w:rsidP="0098231E">
            <w:pPr>
              <w:rPr>
                <w:rFonts w:ascii="Arial" w:hAnsi="Arial" w:cs="Arial"/>
              </w:rPr>
            </w:pPr>
          </w:p>
          <w:p w14:paraId="48552CA5" w14:textId="77777777" w:rsidR="007A389C" w:rsidRPr="00445116" w:rsidRDefault="007A389C" w:rsidP="0098231E">
            <w:pPr>
              <w:rPr>
                <w:rFonts w:ascii="Arial" w:hAnsi="Arial" w:cs="Arial"/>
              </w:rPr>
            </w:pPr>
            <w:r w:rsidRPr="00445116">
              <w:rPr>
                <w:rFonts w:ascii="Arial" w:hAnsi="Arial" w:cs="Arial"/>
              </w:rPr>
              <w:t>The Provisional Final Report should further consider the recommendations put forward in some submissions seeking a clearer outline of the testing regime for each of the prawn categories, the justification for the categories and trigger mechanisms for increased surveillance of each of the categories. The Provisional Final Report should incorporate advice provided by the Department about the work that it has commissioned from the Australian Centre for Disease Preparedness (ACDP) and the Australian Bureau of Agricultural and Resource Economics and Sciences (ABARES) to validate diagnostic test sensitivity and the imported prawn sampling design. The Provisional Final Report should also include information about the range of biosecurity measures that it has implemented in recent years to strengthen laboratory testing requirements for WSSV and on-arrival sampling procedures such as seals intact inspections.</w:t>
            </w:r>
          </w:p>
          <w:p w14:paraId="069E9C39" w14:textId="77777777" w:rsidR="007A389C" w:rsidRPr="00445116" w:rsidRDefault="007A389C" w:rsidP="0098231E">
            <w:pPr>
              <w:rPr>
                <w:rFonts w:ascii="Arial" w:hAnsi="Arial" w:cs="Arial"/>
              </w:rPr>
            </w:pPr>
          </w:p>
        </w:tc>
      </w:tr>
      <w:tr w:rsidR="007A389C" w:rsidRPr="00445116" w14:paraId="087E2C6C" w14:textId="77777777" w:rsidTr="0098231E">
        <w:trPr>
          <w:trHeight w:val="270"/>
        </w:trPr>
        <w:tc>
          <w:tcPr>
            <w:tcW w:w="5098" w:type="dxa"/>
          </w:tcPr>
          <w:p w14:paraId="485AC2C1" w14:textId="77777777" w:rsidR="007A389C" w:rsidRPr="00445116" w:rsidRDefault="007A389C" w:rsidP="0098231E">
            <w:pPr>
              <w:rPr>
                <w:rFonts w:ascii="Arial" w:hAnsi="Arial" w:cs="Arial"/>
                <w:i/>
                <w:iCs/>
              </w:rPr>
            </w:pPr>
            <w:r w:rsidRPr="00445116">
              <w:rPr>
                <w:rFonts w:ascii="Arial" w:hAnsi="Arial" w:cs="Arial"/>
                <w:i/>
                <w:iCs/>
              </w:rPr>
              <w:t>6.  Post entry biosecurity measures are inadequate</w:t>
            </w:r>
          </w:p>
          <w:p w14:paraId="5CEE4C2A" w14:textId="77777777" w:rsidR="007A389C" w:rsidRPr="00445116" w:rsidRDefault="007A389C" w:rsidP="0098231E">
            <w:pPr>
              <w:rPr>
                <w:rFonts w:ascii="Arial" w:hAnsi="Arial" w:cs="Arial"/>
                <w:i/>
                <w:iCs/>
              </w:rPr>
            </w:pPr>
          </w:p>
          <w:p w14:paraId="3CECD03C" w14:textId="77777777" w:rsidR="007A389C" w:rsidRPr="00445116" w:rsidRDefault="007A389C" w:rsidP="0098231E">
            <w:pPr>
              <w:rPr>
                <w:rFonts w:ascii="Arial" w:hAnsi="Arial" w:cs="Arial"/>
                <w:iCs/>
              </w:rPr>
            </w:pPr>
            <w:r w:rsidRPr="00445116">
              <w:rPr>
                <w:rFonts w:ascii="Arial" w:hAnsi="Arial" w:cs="Arial"/>
                <w:iCs/>
              </w:rPr>
              <w:lastRenderedPageBreak/>
              <w:t>Some submissions claim that post entry biosecurity measures such as labelling and notifications for uncooked prawns sold at retail outlets not being used as bait have not worked to date.</w:t>
            </w:r>
          </w:p>
        </w:tc>
        <w:tc>
          <w:tcPr>
            <w:tcW w:w="8080" w:type="dxa"/>
          </w:tcPr>
          <w:p w14:paraId="63FD53A1" w14:textId="77777777" w:rsidR="007A389C" w:rsidRPr="00445116" w:rsidRDefault="007A389C" w:rsidP="0098231E">
            <w:pPr>
              <w:rPr>
                <w:rFonts w:ascii="Arial" w:hAnsi="Arial" w:cs="Arial"/>
              </w:rPr>
            </w:pPr>
            <w:r w:rsidRPr="00445116">
              <w:rPr>
                <w:rFonts w:ascii="Arial" w:hAnsi="Arial" w:cs="Arial"/>
              </w:rPr>
              <w:lastRenderedPageBreak/>
              <w:t xml:space="preserve">The Provisional Final Report should address the IGB 2017 report recommendations which proposed several additional post entry </w:t>
            </w:r>
            <w:r w:rsidRPr="00445116">
              <w:rPr>
                <w:rFonts w:ascii="Arial" w:hAnsi="Arial" w:cs="Arial"/>
              </w:rPr>
              <w:lastRenderedPageBreak/>
              <w:t>biosecurity measures which could be used to monitor and minimise risks of any uncooked prawn product entering waterways.</w:t>
            </w:r>
          </w:p>
        </w:tc>
      </w:tr>
      <w:tr w:rsidR="007A389C" w:rsidRPr="00445116" w14:paraId="6727F082" w14:textId="77777777" w:rsidTr="0098231E">
        <w:trPr>
          <w:trHeight w:val="270"/>
        </w:trPr>
        <w:tc>
          <w:tcPr>
            <w:tcW w:w="5098" w:type="dxa"/>
          </w:tcPr>
          <w:p w14:paraId="6B7AD20B" w14:textId="77777777" w:rsidR="007A389C" w:rsidRPr="00445116" w:rsidRDefault="007A389C" w:rsidP="0098231E">
            <w:pPr>
              <w:rPr>
                <w:rFonts w:ascii="Arial" w:hAnsi="Arial" w:cs="Arial"/>
                <w:i/>
                <w:iCs/>
              </w:rPr>
            </w:pPr>
            <w:r w:rsidRPr="00445116">
              <w:rPr>
                <w:rFonts w:ascii="Arial" w:hAnsi="Arial" w:cs="Arial"/>
                <w:i/>
                <w:iCs/>
              </w:rPr>
              <w:lastRenderedPageBreak/>
              <w:t>7.  Opportunity for human error or deliberate criminal evasion</w:t>
            </w:r>
          </w:p>
          <w:p w14:paraId="61D8F3A5" w14:textId="77777777" w:rsidR="007A389C" w:rsidRPr="00445116" w:rsidRDefault="007A389C" w:rsidP="0098231E">
            <w:pPr>
              <w:rPr>
                <w:rFonts w:ascii="Arial" w:hAnsi="Arial" w:cs="Arial"/>
                <w:iCs/>
              </w:rPr>
            </w:pPr>
          </w:p>
          <w:p w14:paraId="5B07E053" w14:textId="77777777" w:rsidR="007A389C" w:rsidRPr="00445116" w:rsidRDefault="007A389C" w:rsidP="0098231E">
            <w:pPr>
              <w:rPr>
                <w:rFonts w:ascii="Arial" w:hAnsi="Arial" w:cs="Arial"/>
                <w:iCs/>
              </w:rPr>
            </w:pPr>
            <w:r w:rsidRPr="00445116">
              <w:rPr>
                <w:rFonts w:ascii="Arial" w:hAnsi="Arial" w:cs="Arial"/>
              </w:rPr>
              <w:t>Some submissions claim that no specific risk mitigation strategies have been implemented to address risks associated with laboratory testing, complex documentation, traceability, resourcing of inspectors, inspector safety and random sampling.</w:t>
            </w:r>
          </w:p>
        </w:tc>
        <w:tc>
          <w:tcPr>
            <w:tcW w:w="8080" w:type="dxa"/>
          </w:tcPr>
          <w:p w14:paraId="5835B2C2" w14:textId="77777777" w:rsidR="007A389C" w:rsidRPr="00445116" w:rsidRDefault="007A389C" w:rsidP="0098231E">
            <w:pPr>
              <w:rPr>
                <w:rFonts w:ascii="Arial" w:hAnsi="Arial" w:cs="Arial"/>
              </w:rPr>
            </w:pPr>
            <w:r w:rsidRPr="00445116">
              <w:rPr>
                <w:rFonts w:ascii="Arial" w:hAnsi="Arial" w:cs="Arial"/>
              </w:rPr>
              <w:t xml:space="preserve">The Draft Report outlines </w:t>
            </w:r>
            <w:proofErr w:type="gramStart"/>
            <w:r w:rsidRPr="00445116">
              <w:rPr>
                <w:rFonts w:ascii="Arial" w:hAnsi="Arial" w:cs="Arial"/>
              </w:rPr>
              <w:t>a number of</w:t>
            </w:r>
            <w:proofErr w:type="gramEnd"/>
            <w:r w:rsidRPr="00445116">
              <w:rPr>
                <w:rFonts w:ascii="Arial" w:hAnsi="Arial" w:cs="Arial"/>
              </w:rPr>
              <w:t xml:space="preserve"> changes that have been implemented since 2016 to address some of the now apparent weaknesses in the risk management regime. This includes the new seals intact inspection arrangement. However, the Draft Report does not seem to have addressed </w:t>
            </w:r>
            <w:proofErr w:type="gramStart"/>
            <w:r w:rsidRPr="00445116">
              <w:rPr>
                <w:rFonts w:ascii="Arial" w:hAnsi="Arial" w:cs="Arial"/>
              </w:rPr>
              <w:t>a number of</w:t>
            </w:r>
            <w:proofErr w:type="gramEnd"/>
            <w:r w:rsidRPr="00445116">
              <w:rPr>
                <w:rFonts w:ascii="Arial" w:hAnsi="Arial" w:cs="Arial"/>
              </w:rPr>
              <w:t xml:space="preserve"> the other changes recommended by the IGB 2017 report in this area. For example, the IGB 2017 report </w:t>
            </w:r>
            <w:proofErr w:type="gramStart"/>
            <w:r w:rsidRPr="00445116">
              <w:rPr>
                <w:rFonts w:ascii="Arial" w:hAnsi="Arial" w:cs="Arial"/>
              </w:rPr>
              <w:t>gave detailed consideration to</w:t>
            </w:r>
            <w:proofErr w:type="gramEnd"/>
            <w:r w:rsidRPr="00445116">
              <w:rPr>
                <w:rFonts w:ascii="Arial" w:hAnsi="Arial" w:cs="Arial"/>
              </w:rPr>
              <w:t xml:space="preserve"> the limitations associated with batch testing and the impact of pooling on the sensitivity of the diagnostic test. The Provisional Final Report should explain how PCR testing has advanced significantly in recent years to reduce the impact of pooling on diagnostic sensitivity.</w:t>
            </w:r>
          </w:p>
          <w:p w14:paraId="1F1797D1" w14:textId="77777777" w:rsidR="007A389C" w:rsidRPr="00445116" w:rsidRDefault="007A389C" w:rsidP="0098231E">
            <w:pPr>
              <w:rPr>
                <w:rFonts w:ascii="Arial" w:hAnsi="Arial" w:cs="Arial"/>
              </w:rPr>
            </w:pPr>
          </w:p>
        </w:tc>
      </w:tr>
    </w:tbl>
    <w:p w14:paraId="0242A54A" w14:textId="77777777" w:rsidR="007A389C" w:rsidRPr="00445116" w:rsidRDefault="007A389C" w:rsidP="007A389C">
      <w:pPr>
        <w:rPr>
          <w:rFonts w:ascii="Arial" w:hAnsi="Arial" w:cs="Arial"/>
          <w:b/>
          <w:bCs/>
          <w:i/>
          <w:iCs/>
        </w:rPr>
      </w:pPr>
    </w:p>
    <w:p w14:paraId="51CBB73D" w14:textId="77777777" w:rsidR="007A389C" w:rsidRPr="00445116" w:rsidRDefault="007A389C" w:rsidP="007A389C">
      <w:pPr>
        <w:rPr>
          <w:rFonts w:ascii="Arial" w:hAnsi="Arial" w:cs="Arial"/>
          <w:b/>
          <w:bCs/>
          <w:i/>
          <w:iCs/>
        </w:rPr>
      </w:pPr>
      <w:r w:rsidRPr="00445116">
        <w:rPr>
          <w:rFonts w:ascii="Arial" w:hAnsi="Arial" w:cs="Arial"/>
          <w:b/>
          <w:bCs/>
          <w:i/>
          <w:iCs/>
        </w:rPr>
        <w:t>C. ACHIEVING AN ACCEPTABLE LEVEL OF PROTECTION (ALOP)</w:t>
      </w:r>
    </w:p>
    <w:tbl>
      <w:tblPr>
        <w:tblStyle w:val="TableGrid"/>
        <w:tblW w:w="13178" w:type="dxa"/>
        <w:tblLook w:val="04A0" w:firstRow="1" w:lastRow="0" w:firstColumn="1" w:lastColumn="0" w:noHBand="0" w:noVBand="1"/>
      </w:tblPr>
      <w:tblGrid>
        <w:gridCol w:w="5098"/>
        <w:gridCol w:w="8080"/>
      </w:tblGrid>
      <w:tr w:rsidR="007A389C" w:rsidRPr="00445116" w14:paraId="2469018B" w14:textId="77777777" w:rsidTr="0098231E">
        <w:tc>
          <w:tcPr>
            <w:tcW w:w="5098" w:type="dxa"/>
          </w:tcPr>
          <w:p w14:paraId="0F417136" w14:textId="77777777" w:rsidR="007A389C" w:rsidRPr="00445116" w:rsidRDefault="007A389C" w:rsidP="0098231E">
            <w:pPr>
              <w:rPr>
                <w:rFonts w:ascii="Arial" w:hAnsi="Arial" w:cs="Arial"/>
                <w:b/>
                <w:bCs/>
              </w:rPr>
            </w:pPr>
            <w:r w:rsidRPr="00445116">
              <w:rPr>
                <w:rFonts w:ascii="Arial" w:hAnsi="Arial" w:cs="Arial"/>
                <w:b/>
                <w:bCs/>
              </w:rPr>
              <w:t>Key issues raised</w:t>
            </w:r>
          </w:p>
        </w:tc>
        <w:tc>
          <w:tcPr>
            <w:tcW w:w="8080" w:type="dxa"/>
          </w:tcPr>
          <w:p w14:paraId="5CA0EB20" w14:textId="77777777" w:rsidR="007A389C" w:rsidRPr="00445116" w:rsidRDefault="007A389C" w:rsidP="0098231E">
            <w:pPr>
              <w:rPr>
                <w:rFonts w:ascii="Arial" w:hAnsi="Arial" w:cs="Arial"/>
                <w:b/>
                <w:bCs/>
              </w:rPr>
            </w:pPr>
            <w:r w:rsidRPr="00445116">
              <w:rPr>
                <w:rFonts w:ascii="Arial" w:hAnsi="Arial" w:cs="Arial"/>
                <w:b/>
                <w:bCs/>
              </w:rPr>
              <w:t>Further action required</w:t>
            </w:r>
          </w:p>
        </w:tc>
      </w:tr>
      <w:tr w:rsidR="007A389C" w:rsidRPr="00445116" w14:paraId="274C9AE8" w14:textId="77777777" w:rsidTr="0098231E">
        <w:tc>
          <w:tcPr>
            <w:tcW w:w="5098" w:type="dxa"/>
          </w:tcPr>
          <w:p w14:paraId="6B6CFFF2" w14:textId="77777777" w:rsidR="007A389C" w:rsidRPr="00445116" w:rsidRDefault="007A389C" w:rsidP="0098231E">
            <w:pPr>
              <w:rPr>
                <w:rFonts w:ascii="Arial" w:hAnsi="Arial" w:cs="Arial"/>
                <w:i/>
                <w:iCs/>
              </w:rPr>
            </w:pPr>
            <w:r w:rsidRPr="00445116">
              <w:rPr>
                <w:rFonts w:ascii="Arial" w:hAnsi="Arial" w:cs="Arial"/>
                <w:i/>
                <w:iCs/>
              </w:rPr>
              <w:t>8.  Inconsistency in the application of ALOP across different commodities</w:t>
            </w:r>
          </w:p>
          <w:p w14:paraId="4FA3C792" w14:textId="77777777" w:rsidR="007A389C" w:rsidRPr="00445116" w:rsidRDefault="007A389C" w:rsidP="0098231E">
            <w:pPr>
              <w:rPr>
                <w:rFonts w:ascii="Arial" w:hAnsi="Arial" w:cs="Arial"/>
                <w:i/>
                <w:iCs/>
              </w:rPr>
            </w:pPr>
          </w:p>
          <w:p w14:paraId="592C122A" w14:textId="77777777" w:rsidR="007A389C" w:rsidRPr="00445116" w:rsidRDefault="007A389C" w:rsidP="0098231E">
            <w:pPr>
              <w:rPr>
                <w:rFonts w:ascii="Arial" w:hAnsi="Arial" w:cs="Arial"/>
              </w:rPr>
            </w:pPr>
            <w:r w:rsidRPr="00445116">
              <w:rPr>
                <w:rFonts w:ascii="Arial" w:hAnsi="Arial" w:cs="Arial"/>
              </w:rPr>
              <w:t>Biosecurity measures applied to achieve an ALOP for pork, salmon, chicken, turkey and duck meat all include cooking.</w:t>
            </w:r>
          </w:p>
          <w:p w14:paraId="0AC1C534" w14:textId="77777777" w:rsidR="007A389C" w:rsidRPr="00445116" w:rsidRDefault="007A389C" w:rsidP="0098231E">
            <w:pPr>
              <w:rPr>
                <w:rFonts w:ascii="Arial" w:hAnsi="Arial" w:cs="Arial"/>
                <w:i/>
                <w:iCs/>
              </w:rPr>
            </w:pPr>
          </w:p>
        </w:tc>
        <w:tc>
          <w:tcPr>
            <w:tcW w:w="8080" w:type="dxa"/>
          </w:tcPr>
          <w:p w14:paraId="46B71D9A" w14:textId="77777777" w:rsidR="007A389C" w:rsidRPr="00445116" w:rsidRDefault="007A389C" w:rsidP="0098231E">
            <w:pPr>
              <w:rPr>
                <w:rFonts w:ascii="Arial" w:hAnsi="Arial" w:cs="Arial"/>
              </w:rPr>
            </w:pPr>
            <w:r w:rsidRPr="00445116">
              <w:rPr>
                <w:rFonts w:ascii="Arial" w:hAnsi="Arial" w:cs="Arial"/>
              </w:rPr>
              <w:t>The Provisional Final Report should further elaborate on the process for assessing risk under international rules and how unique risk factors and scenarios are applied to each product being assessed.  It would also be useful for the Provisional Final Report to explain why different (more restrictive biosecurity measures) are applied to other commodities (and sub-categories of those commodities).</w:t>
            </w:r>
          </w:p>
          <w:p w14:paraId="79F7823F" w14:textId="77777777" w:rsidR="007A389C" w:rsidRPr="00445116" w:rsidRDefault="007A389C" w:rsidP="0098231E">
            <w:pPr>
              <w:rPr>
                <w:rFonts w:ascii="Arial" w:hAnsi="Arial" w:cs="Arial"/>
              </w:rPr>
            </w:pPr>
          </w:p>
        </w:tc>
      </w:tr>
      <w:tr w:rsidR="007A389C" w:rsidRPr="00445116" w14:paraId="1C61280F" w14:textId="77777777" w:rsidTr="0098231E">
        <w:tc>
          <w:tcPr>
            <w:tcW w:w="5098" w:type="dxa"/>
          </w:tcPr>
          <w:p w14:paraId="40DF7F09" w14:textId="77777777" w:rsidR="007A389C" w:rsidRPr="00445116" w:rsidRDefault="007A389C" w:rsidP="0098231E">
            <w:pPr>
              <w:rPr>
                <w:rFonts w:ascii="Arial" w:hAnsi="Arial" w:cs="Arial"/>
                <w:i/>
                <w:iCs/>
              </w:rPr>
            </w:pPr>
            <w:r w:rsidRPr="00445116">
              <w:rPr>
                <w:rFonts w:ascii="Arial" w:hAnsi="Arial" w:cs="Arial"/>
                <w:i/>
                <w:iCs/>
              </w:rPr>
              <w:t>9.  Inconsistency in approach with Australia’s domestic arrangements</w:t>
            </w:r>
          </w:p>
          <w:p w14:paraId="5919646B" w14:textId="77777777" w:rsidR="007A389C" w:rsidRPr="00445116" w:rsidRDefault="007A389C" w:rsidP="0098231E">
            <w:pPr>
              <w:rPr>
                <w:rFonts w:ascii="Arial" w:hAnsi="Arial" w:cs="Arial"/>
                <w:i/>
                <w:iCs/>
              </w:rPr>
            </w:pPr>
          </w:p>
          <w:p w14:paraId="3E2E4925" w14:textId="77777777" w:rsidR="007A389C" w:rsidRPr="00445116" w:rsidRDefault="007A389C" w:rsidP="0098231E">
            <w:pPr>
              <w:rPr>
                <w:rFonts w:ascii="Arial" w:hAnsi="Arial" w:cs="Arial"/>
              </w:rPr>
            </w:pPr>
            <w:r w:rsidRPr="00445116">
              <w:rPr>
                <w:rFonts w:ascii="Arial" w:hAnsi="Arial" w:cs="Arial"/>
              </w:rPr>
              <w:lastRenderedPageBreak/>
              <w:t>The restrictions imposed by Australian states and territories on the movement of product from disease affected areas within Australia are, in some cases, more stringent than the measures proposed by the Australian Government for imported uncooked prawns.</w:t>
            </w:r>
          </w:p>
          <w:p w14:paraId="10B8D5FA" w14:textId="77777777" w:rsidR="007A389C" w:rsidRPr="00445116" w:rsidRDefault="007A389C" w:rsidP="0098231E">
            <w:pPr>
              <w:rPr>
                <w:rFonts w:ascii="Arial" w:hAnsi="Arial" w:cs="Arial"/>
                <w:i/>
                <w:iCs/>
              </w:rPr>
            </w:pPr>
          </w:p>
        </w:tc>
        <w:tc>
          <w:tcPr>
            <w:tcW w:w="8080" w:type="dxa"/>
          </w:tcPr>
          <w:p w14:paraId="1DF5A0E1" w14:textId="77777777" w:rsidR="007A389C" w:rsidRPr="00445116" w:rsidRDefault="007A389C" w:rsidP="0098231E">
            <w:pPr>
              <w:rPr>
                <w:rFonts w:ascii="Arial" w:hAnsi="Arial" w:cs="Arial"/>
              </w:rPr>
            </w:pPr>
            <w:r w:rsidRPr="00445116">
              <w:rPr>
                <w:rFonts w:ascii="Arial" w:hAnsi="Arial" w:cs="Arial"/>
              </w:rPr>
              <w:lastRenderedPageBreak/>
              <w:t xml:space="preserve">The issue of apparent inconsistency in the application of policy within Australia could be further explained in the Provisional Final Report. This could include some elaboration on the application of biosecurity measures </w:t>
            </w:r>
            <w:r w:rsidRPr="00445116">
              <w:rPr>
                <w:rFonts w:ascii="Arial" w:hAnsi="Arial" w:cs="Arial"/>
              </w:rPr>
              <w:lastRenderedPageBreak/>
              <w:t xml:space="preserve">in different circumstances (e.g., national versus zone borders) and the factors that are </w:t>
            </w:r>
            <w:proofErr w:type="gramStart"/>
            <w:r w:rsidRPr="00445116">
              <w:rPr>
                <w:rFonts w:ascii="Arial" w:hAnsi="Arial" w:cs="Arial"/>
              </w:rPr>
              <w:t>taken into account</w:t>
            </w:r>
            <w:proofErr w:type="gramEnd"/>
            <w:r w:rsidRPr="00445116">
              <w:rPr>
                <w:rFonts w:ascii="Arial" w:hAnsi="Arial" w:cs="Arial"/>
              </w:rPr>
              <w:t xml:space="preserve"> when choosing a particular biosecurity measure (</w:t>
            </w:r>
            <w:proofErr w:type="spellStart"/>
            <w:r w:rsidRPr="00445116">
              <w:rPr>
                <w:rFonts w:ascii="Arial" w:hAnsi="Arial" w:cs="Arial"/>
              </w:rPr>
              <w:t>eg.</w:t>
            </w:r>
            <w:proofErr w:type="spellEnd"/>
            <w:r w:rsidRPr="00445116">
              <w:rPr>
                <w:rFonts w:ascii="Arial" w:hAnsi="Arial" w:cs="Arial"/>
              </w:rPr>
              <w:t xml:space="preserve"> feasibility, efficacy, costs etc). </w:t>
            </w:r>
          </w:p>
          <w:p w14:paraId="73298F08" w14:textId="77777777" w:rsidR="007A389C" w:rsidRPr="00445116" w:rsidRDefault="007A389C" w:rsidP="0098231E">
            <w:pPr>
              <w:rPr>
                <w:rFonts w:ascii="Arial" w:hAnsi="Arial" w:cs="Arial"/>
              </w:rPr>
            </w:pPr>
          </w:p>
        </w:tc>
      </w:tr>
    </w:tbl>
    <w:p w14:paraId="564A8E8E" w14:textId="77777777" w:rsidR="007A389C" w:rsidRPr="00445116" w:rsidRDefault="007A389C" w:rsidP="007A389C">
      <w:pPr>
        <w:rPr>
          <w:rFonts w:ascii="Arial" w:hAnsi="Arial" w:cs="Arial"/>
        </w:rPr>
      </w:pPr>
    </w:p>
    <w:p w14:paraId="054BC5E4" w14:textId="77777777" w:rsidR="007A389C" w:rsidRPr="00445116" w:rsidRDefault="007A389C" w:rsidP="007A389C">
      <w:pPr>
        <w:rPr>
          <w:rFonts w:ascii="Arial" w:hAnsi="Arial" w:cs="Arial"/>
          <w:b/>
          <w:bCs/>
          <w:i/>
          <w:iCs/>
        </w:rPr>
      </w:pPr>
      <w:r w:rsidRPr="00445116">
        <w:rPr>
          <w:rFonts w:ascii="Arial" w:hAnsi="Arial" w:cs="Arial"/>
          <w:b/>
          <w:bCs/>
          <w:i/>
          <w:iCs/>
        </w:rPr>
        <w:t>D. DISEASE STATUS AND RISK RATINGS</w:t>
      </w:r>
    </w:p>
    <w:tbl>
      <w:tblPr>
        <w:tblStyle w:val="TableGrid"/>
        <w:tblW w:w="13178" w:type="dxa"/>
        <w:tblLook w:val="04A0" w:firstRow="1" w:lastRow="0" w:firstColumn="1" w:lastColumn="0" w:noHBand="0" w:noVBand="1"/>
      </w:tblPr>
      <w:tblGrid>
        <w:gridCol w:w="5098"/>
        <w:gridCol w:w="8080"/>
      </w:tblGrid>
      <w:tr w:rsidR="007A389C" w:rsidRPr="00445116" w14:paraId="2AF8D800" w14:textId="77777777" w:rsidTr="0098231E">
        <w:tc>
          <w:tcPr>
            <w:tcW w:w="5098" w:type="dxa"/>
          </w:tcPr>
          <w:p w14:paraId="46F3694F" w14:textId="77777777" w:rsidR="007A389C" w:rsidRPr="00445116" w:rsidRDefault="007A389C" w:rsidP="0098231E">
            <w:pPr>
              <w:rPr>
                <w:rFonts w:ascii="Arial" w:hAnsi="Arial" w:cs="Arial"/>
                <w:i/>
                <w:iCs/>
              </w:rPr>
            </w:pPr>
            <w:r w:rsidRPr="00445116">
              <w:rPr>
                <w:rFonts w:ascii="Arial" w:hAnsi="Arial" w:cs="Arial"/>
                <w:i/>
                <w:iCs/>
              </w:rPr>
              <w:t>10.  Check and clarify the disease status of importing countries</w:t>
            </w:r>
          </w:p>
          <w:p w14:paraId="031BDF5C" w14:textId="77777777" w:rsidR="007A389C" w:rsidRPr="00445116" w:rsidRDefault="007A389C" w:rsidP="0098231E">
            <w:pPr>
              <w:rPr>
                <w:rFonts w:ascii="Arial" w:hAnsi="Arial" w:cs="Arial"/>
                <w:i/>
                <w:iCs/>
              </w:rPr>
            </w:pPr>
          </w:p>
        </w:tc>
        <w:tc>
          <w:tcPr>
            <w:tcW w:w="8080" w:type="dxa"/>
          </w:tcPr>
          <w:p w14:paraId="5F546FDD" w14:textId="77777777" w:rsidR="007A389C" w:rsidRPr="00445116" w:rsidRDefault="007A389C" w:rsidP="0098231E">
            <w:pPr>
              <w:rPr>
                <w:rFonts w:ascii="Arial" w:hAnsi="Arial" w:cs="Arial"/>
              </w:rPr>
            </w:pPr>
            <w:proofErr w:type="gramStart"/>
            <w:r w:rsidRPr="00445116">
              <w:rPr>
                <w:rFonts w:ascii="Arial" w:hAnsi="Arial" w:cs="Arial"/>
              </w:rPr>
              <w:t>A number of</w:t>
            </w:r>
            <w:proofErr w:type="gramEnd"/>
            <w:r w:rsidRPr="00445116">
              <w:rPr>
                <w:rFonts w:ascii="Arial" w:hAnsi="Arial" w:cs="Arial"/>
              </w:rPr>
              <w:t xml:space="preserve"> submissions raised issues in relation to which diseases are present in importing countries. According to OIE data, a number of these diseases are not present in some countries. The Provisional Final Report needs to check and verify the official disease status of each exporting country.</w:t>
            </w:r>
          </w:p>
          <w:p w14:paraId="455447E8" w14:textId="77777777" w:rsidR="007A389C" w:rsidRPr="00445116" w:rsidRDefault="007A389C" w:rsidP="0098231E">
            <w:pPr>
              <w:rPr>
                <w:rFonts w:ascii="Arial" w:hAnsi="Arial" w:cs="Arial"/>
              </w:rPr>
            </w:pPr>
          </w:p>
          <w:p w14:paraId="4D5758DC" w14:textId="77777777" w:rsidR="007A389C" w:rsidRPr="00445116" w:rsidRDefault="007A389C" w:rsidP="0098231E">
            <w:pPr>
              <w:rPr>
                <w:rFonts w:ascii="Arial" w:hAnsi="Arial" w:cs="Arial"/>
              </w:rPr>
            </w:pPr>
          </w:p>
        </w:tc>
      </w:tr>
      <w:tr w:rsidR="007A389C" w:rsidRPr="00445116" w14:paraId="6D060AEF" w14:textId="77777777" w:rsidTr="0098231E">
        <w:tc>
          <w:tcPr>
            <w:tcW w:w="5098" w:type="dxa"/>
          </w:tcPr>
          <w:p w14:paraId="278336F1" w14:textId="77777777" w:rsidR="007A389C" w:rsidRPr="00445116" w:rsidRDefault="007A389C" w:rsidP="0098231E">
            <w:pPr>
              <w:rPr>
                <w:rFonts w:ascii="Arial" w:hAnsi="Arial" w:cs="Arial"/>
                <w:i/>
                <w:iCs/>
              </w:rPr>
            </w:pPr>
            <w:r w:rsidRPr="00445116">
              <w:rPr>
                <w:rFonts w:ascii="Arial" w:hAnsi="Arial" w:cs="Arial"/>
                <w:i/>
                <w:iCs/>
              </w:rPr>
              <w:t>11. Report on disease testing in Australia</w:t>
            </w:r>
          </w:p>
        </w:tc>
        <w:tc>
          <w:tcPr>
            <w:tcW w:w="8080" w:type="dxa"/>
          </w:tcPr>
          <w:p w14:paraId="6FDF8534" w14:textId="77777777" w:rsidR="007A389C" w:rsidRPr="00445116" w:rsidRDefault="007A389C" w:rsidP="0098231E">
            <w:pPr>
              <w:rPr>
                <w:rFonts w:ascii="Arial" w:hAnsi="Arial" w:cs="Arial"/>
              </w:rPr>
            </w:pPr>
            <w:proofErr w:type="gramStart"/>
            <w:r w:rsidRPr="00445116">
              <w:rPr>
                <w:rFonts w:ascii="Arial" w:hAnsi="Arial" w:cs="Arial"/>
              </w:rPr>
              <w:t>A number of</w:t>
            </w:r>
            <w:proofErr w:type="gramEnd"/>
            <w:r w:rsidRPr="00445116">
              <w:rPr>
                <w:rFonts w:ascii="Arial" w:hAnsi="Arial" w:cs="Arial"/>
              </w:rPr>
              <w:t xml:space="preserve"> submissions requested that Australia demonstrate evidence of absence of listed prawn diseases. Update the Provisional Final Report with any testing results for the 10 prawn diseases in the report.</w:t>
            </w:r>
          </w:p>
        </w:tc>
      </w:tr>
      <w:tr w:rsidR="007A389C" w:rsidRPr="00445116" w14:paraId="4609BCAA" w14:textId="77777777" w:rsidTr="0098231E">
        <w:tc>
          <w:tcPr>
            <w:tcW w:w="5098" w:type="dxa"/>
          </w:tcPr>
          <w:p w14:paraId="1BDE5429" w14:textId="77777777" w:rsidR="007A389C" w:rsidRPr="00445116" w:rsidRDefault="007A389C" w:rsidP="0098231E">
            <w:pPr>
              <w:rPr>
                <w:rFonts w:ascii="Arial" w:hAnsi="Arial" w:cs="Arial"/>
                <w:i/>
                <w:iCs/>
              </w:rPr>
            </w:pPr>
            <w:r w:rsidRPr="00445116">
              <w:rPr>
                <w:rFonts w:ascii="Arial" w:hAnsi="Arial" w:cs="Arial"/>
                <w:i/>
                <w:iCs/>
              </w:rPr>
              <w:t>12. Minimum cooking standards to make viruses non-viable</w:t>
            </w:r>
          </w:p>
        </w:tc>
        <w:tc>
          <w:tcPr>
            <w:tcW w:w="8080" w:type="dxa"/>
          </w:tcPr>
          <w:p w14:paraId="3B4F5A93" w14:textId="77777777" w:rsidR="007A389C" w:rsidRPr="00445116" w:rsidRDefault="007A389C" w:rsidP="0098231E">
            <w:pPr>
              <w:tabs>
                <w:tab w:val="left" w:pos="7056"/>
              </w:tabs>
              <w:rPr>
                <w:rFonts w:ascii="Arial" w:hAnsi="Arial" w:cs="Arial"/>
              </w:rPr>
            </w:pPr>
            <w:r w:rsidRPr="00445116">
              <w:rPr>
                <w:rFonts w:ascii="Arial" w:hAnsi="Arial" w:cs="Arial"/>
              </w:rPr>
              <w:t>Explain further the cooking process and estimated risk reduction.</w:t>
            </w:r>
          </w:p>
          <w:p w14:paraId="6E527D49" w14:textId="77777777" w:rsidR="007A389C" w:rsidRPr="00445116" w:rsidRDefault="007A389C" w:rsidP="0098231E">
            <w:pPr>
              <w:rPr>
                <w:rFonts w:ascii="Arial" w:hAnsi="Arial" w:cs="Arial"/>
              </w:rPr>
            </w:pPr>
            <w:r w:rsidRPr="00445116">
              <w:rPr>
                <w:rFonts w:ascii="Arial" w:hAnsi="Arial" w:cs="Arial"/>
              </w:rPr>
              <w:t>Explain further the par cooking step for BBC products and the estimated risk reduction.</w:t>
            </w:r>
          </w:p>
          <w:p w14:paraId="6D9D4916" w14:textId="77777777" w:rsidR="007A389C" w:rsidRPr="00445116" w:rsidRDefault="007A389C" w:rsidP="0098231E">
            <w:pPr>
              <w:rPr>
                <w:rFonts w:ascii="Arial" w:hAnsi="Arial" w:cs="Arial"/>
              </w:rPr>
            </w:pPr>
          </w:p>
        </w:tc>
      </w:tr>
      <w:tr w:rsidR="007A389C" w:rsidRPr="00445116" w14:paraId="1BE9039E" w14:textId="77777777" w:rsidTr="0098231E">
        <w:tc>
          <w:tcPr>
            <w:tcW w:w="5098" w:type="dxa"/>
          </w:tcPr>
          <w:p w14:paraId="7E97A058" w14:textId="77777777" w:rsidR="007A389C" w:rsidRPr="00445116" w:rsidRDefault="007A389C" w:rsidP="0098231E">
            <w:pPr>
              <w:rPr>
                <w:rFonts w:ascii="Arial" w:hAnsi="Arial" w:cs="Arial"/>
                <w:i/>
                <w:iCs/>
              </w:rPr>
            </w:pPr>
            <w:r w:rsidRPr="00445116">
              <w:rPr>
                <w:rFonts w:ascii="Arial" w:hAnsi="Arial" w:cs="Arial"/>
                <w:i/>
                <w:iCs/>
              </w:rPr>
              <w:t>13. The biosecurity status of wild stocks from exporting countries seems to be accepted as low, but there is little evidence given in the report for such a statement</w:t>
            </w:r>
          </w:p>
          <w:p w14:paraId="19EF40F7" w14:textId="77777777" w:rsidR="007A389C" w:rsidRPr="00445116" w:rsidRDefault="007A389C" w:rsidP="0098231E">
            <w:pPr>
              <w:rPr>
                <w:rFonts w:ascii="Arial" w:hAnsi="Arial" w:cs="Arial"/>
                <w:i/>
                <w:iCs/>
              </w:rPr>
            </w:pPr>
          </w:p>
        </w:tc>
        <w:tc>
          <w:tcPr>
            <w:tcW w:w="8080" w:type="dxa"/>
          </w:tcPr>
          <w:p w14:paraId="0A9BF3EA" w14:textId="77777777" w:rsidR="007A389C" w:rsidRPr="00445116" w:rsidRDefault="007A389C" w:rsidP="0098231E">
            <w:pPr>
              <w:tabs>
                <w:tab w:val="left" w:pos="7056"/>
              </w:tabs>
              <w:rPr>
                <w:rFonts w:ascii="Arial" w:hAnsi="Arial" w:cs="Arial"/>
              </w:rPr>
            </w:pPr>
            <w:r w:rsidRPr="00445116">
              <w:rPr>
                <w:rFonts w:ascii="Arial" w:hAnsi="Arial" w:cs="Arial"/>
              </w:rPr>
              <w:t>Further justification required for the general statement about wild stocks being disease free. What testing is undertaken in importing countries to support this statement, where diseases have been reported in wild populations?</w:t>
            </w:r>
          </w:p>
        </w:tc>
      </w:tr>
      <w:tr w:rsidR="007A389C" w:rsidRPr="00445116" w14:paraId="42BD3D30" w14:textId="77777777" w:rsidTr="0098231E">
        <w:tc>
          <w:tcPr>
            <w:tcW w:w="5098" w:type="dxa"/>
          </w:tcPr>
          <w:p w14:paraId="553C934C" w14:textId="77777777" w:rsidR="007A389C" w:rsidRPr="00445116" w:rsidRDefault="007A389C" w:rsidP="0098231E">
            <w:pPr>
              <w:rPr>
                <w:rFonts w:ascii="Arial" w:hAnsi="Arial" w:cs="Arial"/>
                <w:i/>
                <w:iCs/>
              </w:rPr>
            </w:pPr>
            <w:r w:rsidRPr="00445116">
              <w:rPr>
                <w:rFonts w:ascii="Arial" w:hAnsi="Arial" w:cs="Arial"/>
                <w:i/>
                <w:iCs/>
              </w:rPr>
              <w:t>14. Traceability of prawn product within the importing country needs to be addressed</w:t>
            </w:r>
          </w:p>
          <w:p w14:paraId="0FEBAEB8" w14:textId="77777777" w:rsidR="007A389C" w:rsidRPr="00445116" w:rsidRDefault="007A389C" w:rsidP="0098231E">
            <w:pPr>
              <w:rPr>
                <w:rFonts w:ascii="Arial" w:hAnsi="Arial" w:cs="Arial"/>
                <w:i/>
                <w:iCs/>
              </w:rPr>
            </w:pPr>
          </w:p>
        </w:tc>
        <w:tc>
          <w:tcPr>
            <w:tcW w:w="8080" w:type="dxa"/>
          </w:tcPr>
          <w:p w14:paraId="5F9A6FBB" w14:textId="77777777" w:rsidR="007A389C" w:rsidRPr="00445116" w:rsidRDefault="007A389C" w:rsidP="0098231E">
            <w:pPr>
              <w:tabs>
                <w:tab w:val="left" w:pos="7056"/>
              </w:tabs>
              <w:rPr>
                <w:rFonts w:ascii="Arial" w:hAnsi="Arial" w:cs="Arial"/>
              </w:rPr>
            </w:pPr>
            <w:r w:rsidRPr="00445116">
              <w:rPr>
                <w:rFonts w:ascii="Arial" w:hAnsi="Arial" w:cs="Arial"/>
              </w:rPr>
              <w:t>The Draft Report makes no comment on traceability in-country to ensure sourced product is from the reported location. Explain the monitoring and compliance regime.</w:t>
            </w:r>
          </w:p>
        </w:tc>
      </w:tr>
    </w:tbl>
    <w:p w14:paraId="70E1359F" w14:textId="77777777" w:rsidR="007A389C" w:rsidRPr="00445116" w:rsidRDefault="007A389C" w:rsidP="007A389C">
      <w:pPr>
        <w:rPr>
          <w:rFonts w:ascii="Arial" w:hAnsi="Arial" w:cs="Arial"/>
          <w:i/>
          <w:iCs/>
        </w:rPr>
      </w:pPr>
    </w:p>
    <w:p w14:paraId="0AD31724" w14:textId="77777777" w:rsidR="007A389C" w:rsidRPr="00445116" w:rsidRDefault="007A389C" w:rsidP="007A389C">
      <w:pPr>
        <w:rPr>
          <w:rFonts w:ascii="Arial" w:hAnsi="Arial" w:cs="Arial"/>
          <w:b/>
          <w:bCs/>
          <w:i/>
          <w:iCs/>
        </w:rPr>
      </w:pPr>
      <w:r w:rsidRPr="00445116">
        <w:rPr>
          <w:rFonts w:ascii="Arial" w:hAnsi="Arial" w:cs="Arial"/>
          <w:b/>
          <w:bCs/>
          <w:i/>
          <w:iCs/>
        </w:rPr>
        <w:t>E. TESTING REGIME</w:t>
      </w:r>
    </w:p>
    <w:tbl>
      <w:tblPr>
        <w:tblStyle w:val="TableGrid"/>
        <w:tblW w:w="13178" w:type="dxa"/>
        <w:tblLook w:val="04A0" w:firstRow="1" w:lastRow="0" w:firstColumn="1" w:lastColumn="0" w:noHBand="0" w:noVBand="1"/>
      </w:tblPr>
      <w:tblGrid>
        <w:gridCol w:w="5098"/>
        <w:gridCol w:w="8080"/>
      </w:tblGrid>
      <w:tr w:rsidR="007A389C" w:rsidRPr="00445116" w14:paraId="10A355F6" w14:textId="77777777" w:rsidTr="0098231E">
        <w:tc>
          <w:tcPr>
            <w:tcW w:w="5098" w:type="dxa"/>
          </w:tcPr>
          <w:p w14:paraId="5F2B75A6" w14:textId="77777777" w:rsidR="007A389C" w:rsidRPr="00445116" w:rsidRDefault="007A389C" w:rsidP="0098231E">
            <w:pPr>
              <w:rPr>
                <w:rFonts w:ascii="Arial" w:hAnsi="Arial" w:cs="Arial"/>
                <w:i/>
                <w:iCs/>
              </w:rPr>
            </w:pPr>
            <w:r w:rsidRPr="00445116">
              <w:rPr>
                <w:rFonts w:ascii="Arial" w:hAnsi="Arial" w:cs="Arial"/>
                <w:i/>
                <w:iCs/>
              </w:rPr>
              <w:t>15. Sampling design for testing is not well explained</w:t>
            </w:r>
          </w:p>
          <w:p w14:paraId="214D5CA4" w14:textId="77777777" w:rsidR="007A389C" w:rsidRPr="00445116" w:rsidRDefault="007A389C" w:rsidP="0098231E">
            <w:pPr>
              <w:rPr>
                <w:rFonts w:ascii="Arial" w:hAnsi="Arial" w:cs="Arial"/>
                <w:i/>
                <w:iCs/>
              </w:rPr>
            </w:pPr>
          </w:p>
        </w:tc>
        <w:tc>
          <w:tcPr>
            <w:tcW w:w="8080" w:type="dxa"/>
          </w:tcPr>
          <w:p w14:paraId="2FE7B24E" w14:textId="77777777" w:rsidR="007A389C" w:rsidRPr="00445116" w:rsidRDefault="007A389C" w:rsidP="0098231E">
            <w:pPr>
              <w:rPr>
                <w:rFonts w:ascii="Arial" w:hAnsi="Arial" w:cs="Arial"/>
              </w:rPr>
            </w:pPr>
            <w:r w:rsidRPr="00445116">
              <w:rPr>
                <w:rFonts w:ascii="Arial" w:hAnsi="Arial" w:cs="Arial"/>
              </w:rPr>
              <w:t>Provide a more detailed explanation of the scientific justification for the test sampling design for on-arrival batch testing, including design prevalence and test sensitivity. Include recent testing results in the Draft Report.</w:t>
            </w:r>
          </w:p>
          <w:p w14:paraId="66B0330D" w14:textId="77777777" w:rsidR="007A389C" w:rsidRPr="00445116" w:rsidRDefault="007A389C" w:rsidP="0098231E">
            <w:pPr>
              <w:rPr>
                <w:rFonts w:ascii="Arial" w:hAnsi="Arial" w:cs="Arial"/>
              </w:rPr>
            </w:pPr>
          </w:p>
        </w:tc>
      </w:tr>
      <w:tr w:rsidR="007A389C" w:rsidRPr="00445116" w14:paraId="0C133667" w14:textId="77777777" w:rsidTr="0098231E">
        <w:tc>
          <w:tcPr>
            <w:tcW w:w="5098" w:type="dxa"/>
          </w:tcPr>
          <w:p w14:paraId="652588D8" w14:textId="77777777" w:rsidR="007A389C" w:rsidRPr="00445116" w:rsidRDefault="007A389C" w:rsidP="0098231E">
            <w:pPr>
              <w:rPr>
                <w:rFonts w:ascii="Arial" w:hAnsi="Arial" w:cs="Arial"/>
                <w:i/>
                <w:iCs/>
              </w:rPr>
            </w:pPr>
            <w:r w:rsidRPr="00445116">
              <w:rPr>
                <w:rFonts w:ascii="Arial" w:hAnsi="Arial" w:cs="Arial"/>
                <w:i/>
                <w:iCs/>
              </w:rPr>
              <w:t>16. The Draft Report does not indicate whether cooked prawn imports are randomly tested to ensure import conditions are being meet.</w:t>
            </w:r>
          </w:p>
          <w:p w14:paraId="6BFFB56F" w14:textId="77777777" w:rsidR="007A389C" w:rsidRPr="00445116" w:rsidRDefault="007A389C" w:rsidP="0098231E">
            <w:pPr>
              <w:rPr>
                <w:rFonts w:ascii="Arial" w:hAnsi="Arial" w:cs="Arial"/>
                <w:i/>
                <w:iCs/>
              </w:rPr>
            </w:pPr>
          </w:p>
        </w:tc>
        <w:tc>
          <w:tcPr>
            <w:tcW w:w="8080" w:type="dxa"/>
          </w:tcPr>
          <w:p w14:paraId="4BE063E7" w14:textId="77777777" w:rsidR="007A389C" w:rsidRPr="00445116" w:rsidRDefault="007A389C" w:rsidP="0098231E">
            <w:pPr>
              <w:rPr>
                <w:rFonts w:ascii="Arial" w:hAnsi="Arial" w:cs="Arial"/>
              </w:rPr>
            </w:pPr>
            <w:r w:rsidRPr="00445116">
              <w:rPr>
                <w:rFonts w:ascii="Arial" w:hAnsi="Arial" w:cs="Arial"/>
              </w:rPr>
              <w:t>Need to indicate in the Provisional Final Report how the Department monitors compliance of cooked product.</w:t>
            </w:r>
          </w:p>
          <w:p w14:paraId="7A656311" w14:textId="77777777" w:rsidR="007A389C" w:rsidRPr="00445116" w:rsidRDefault="007A389C" w:rsidP="0098231E">
            <w:pPr>
              <w:rPr>
                <w:rFonts w:ascii="Arial" w:hAnsi="Arial" w:cs="Arial"/>
              </w:rPr>
            </w:pPr>
          </w:p>
          <w:p w14:paraId="1E966E53" w14:textId="77777777" w:rsidR="007A389C" w:rsidRPr="00445116" w:rsidRDefault="007A389C" w:rsidP="0098231E">
            <w:pPr>
              <w:rPr>
                <w:rFonts w:ascii="Arial" w:hAnsi="Arial" w:cs="Arial"/>
              </w:rPr>
            </w:pPr>
          </w:p>
        </w:tc>
      </w:tr>
      <w:tr w:rsidR="007A389C" w:rsidRPr="00445116" w14:paraId="6D6D5928" w14:textId="77777777" w:rsidTr="0098231E">
        <w:tc>
          <w:tcPr>
            <w:tcW w:w="5098" w:type="dxa"/>
          </w:tcPr>
          <w:p w14:paraId="581AD57F" w14:textId="77777777" w:rsidR="007A389C" w:rsidRPr="00445116" w:rsidRDefault="007A389C" w:rsidP="0098231E">
            <w:pPr>
              <w:rPr>
                <w:rFonts w:ascii="Arial" w:hAnsi="Arial" w:cs="Arial"/>
                <w:i/>
                <w:iCs/>
              </w:rPr>
            </w:pPr>
            <w:r w:rsidRPr="00445116">
              <w:rPr>
                <w:rFonts w:ascii="Arial" w:hAnsi="Arial" w:cs="Arial"/>
                <w:i/>
                <w:iCs/>
              </w:rPr>
              <w:t>17. Different qPCR methods have different sensitivities and an explanation of the method used is required</w:t>
            </w:r>
          </w:p>
          <w:p w14:paraId="187D5F4D" w14:textId="77777777" w:rsidR="007A389C" w:rsidRPr="00445116" w:rsidRDefault="007A389C" w:rsidP="0098231E">
            <w:pPr>
              <w:rPr>
                <w:rFonts w:ascii="Arial" w:hAnsi="Arial" w:cs="Arial"/>
                <w:i/>
                <w:iCs/>
              </w:rPr>
            </w:pPr>
          </w:p>
        </w:tc>
        <w:tc>
          <w:tcPr>
            <w:tcW w:w="8080" w:type="dxa"/>
          </w:tcPr>
          <w:p w14:paraId="1CBDD19C" w14:textId="77777777" w:rsidR="007A389C" w:rsidRPr="00445116" w:rsidRDefault="007A389C" w:rsidP="0098231E">
            <w:pPr>
              <w:rPr>
                <w:rFonts w:ascii="Arial" w:hAnsi="Arial" w:cs="Arial"/>
              </w:rPr>
            </w:pPr>
            <w:r w:rsidRPr="00445116">
              <w:rPr>
                <w:rFonts w:ascii="Arial" w:hAnsi="Arial" w:cs="Arial"/>
              </w:rPr>
              <w:t>Describe is greater detail the qPCR testing methods and the probability estimates for a positive sample.</w:t>
            </w:r>
          </w:p>
          <w:p w14:paraId="391F0FD6" w14:textId="77777777" w:rsidR="007A389C" w:rsidRPr="00445116" w:rsidRDefault="007A389C" w:rsidP="0098231E">
            <w:pPr>
              <w:rPr>
                <w:rFonts w:ascii="Arial" w:hAnsi="Arial" w:cs="Arial"/>
              </w:rPr>
            </w:pPr>
            <w:r w:rsidRPr="00445116">
              <w:rPr>
                <w:rFonts w:ascii="Arial" w:hAnsi="Arial" w:cs="Arial"/>
              </w:rPr>
              <w:t>Explain how false negatives are considered and addressed.</w:t>
            </w:r>
          </w:p>
          <w:p w14:paraId="77AF4720" w14:textId="77777777" w:rsidR="007A389C" w:rsidRPr="00445116" w:rsidRDefault="007A389C" w:rsidP="0098231E">
            <w:pPr>
              <w:rPr>
                <w:rFonts w:ascii="Arial" w:hAnsi="Arial" w:cs="Arial"/>
              </w:rPr>
            </w:pPr>
          </w:p>
          <w:p w14:paraId="1A489448" w14:textId="77777777" w:rsidR="007A389C" w:rsidRPr="00445116" w:rsidRDefault="007A389C" w:rsidP="0098231E">
            <w:pPr>
              <w:rPr>
                <w:rFonts w:ascii="Arial" w:hAnsi="Arial" w:cs="Arial"/>
              </w:rPr>
            </w:pPr>
          </w:p>
        </w:tc>
      </w:tr>
      <w:tr w:rsidR="007A389C" w:rsidRPr="00445116" w14:paraId="733EC09A" w14:textId="77777777" w:rsidTr="0098231E">
        <w:tc>
          <w:tcPr>
            <w:tcW w:w="5098" w:type="dxa"/>
          </w:tcPr>
          <w:p w14:paraId="17024CEB" w14:textId="77777777" w:rsidR="007A389C" w:rsidRPr="00445116" w:rsidRDefault="007A389C" w:rsidP="0098231E">
            <w:pPr>
              <w:rPr>
                <w:rFonts w:ascii="Arial" w:hAnsi="Arial" w:cs="Arial"/>
                <w:i/>
                <w:iCs/>
              </w:rPr>
            </w:pPr>
            <w:r w:rsidRPr="00445116">
              <w:rPr>
                <w:rFonts w:ascii="Arial" w:hAnsi="Arial" w:cs="Arial"/>
                <w:i/>
                <w:iCs/>
              </w:rPr>
              <w:t>18. What testing is undertaken for imported cooked prawn product on-arrival to ensure correct labelling and sourcing requirements?</w:t>
            </w:r>
          </w:p>
          <w:p w14:paraId="4E4D90BD" w14:textId="77777777" w:rsidR="007A389C" w:rsidRPr="00445116" w:rsidRDefault="007A389C" w:rsidP="0098231E">
            <w:pPr>
              <w:rPr>
                <w:rFonts w:ascii="Arial" w:hAnsi="Arial" w:cs="Arial"/>
                <w:i/>
                <w:iCs/>
              </w:rPr>
            </w:pPr>
          </w:p>
        </w:tc>
        <w:tc>
          <w:tcPr>
            <w:tcW w:w="8080" w:type="dxa"/>
          </w:tcPr>
          <w:p w14:paraId="10B67370" w14:textId="77777777" w:rsidR="007A389C" w:rsidRPr="00445116" w:rsidRDefault="007A389C" w:rsidP="0098231E">
            <w:pPr>
              <w:rPr>
                <w:rFonts w:ascii="Arial" w:hAnsi="Arial" w:cs="Arial"/>
              </w:rPr>
            </w:pPr>
            <w:r w:rsidRPr="00445116">
              <w:rPr>
                <w:rFonts w:ascii="Arial" w:hAnsi="Arial" w:cs="Arial"/>
              </w:rPr>
              <w:t>Describe the testing regime for cooked prawns, including survey design.</w:t>
            </w:r>
          </w:p>
          <w:p w14:paraId="42773BD2" w14:textId="77777777" w:rsidR="007A389C" w:rsidRPr="00445116" w:rsidRDefault="007A389C" w:rsidP="0098231E">
            <w:pPr>
              <w:rPr>
                <w:rFonts w:ascii="Arial" w:hAnsi="Arial" w:cs="Arial"/>
              </w:rPr>
            </w:pPr>
            <w:r w:rsidRPr="00445116">
              <w:rPr>
                <w:rFonts w:ascii="Arial" w:hAnsi="Arial" w:cs="Arial"/>
              </w:rPr>
              <w:t>Provide any compliance assessments completed in the Draft Report</w:t>
            </w:r>
          </w:p>
        </w:tc>
      </w:tr>
    </w:tbl>
    <w:p w14:paraId="496FC191" w14:textId="77777777" w:rsidR="007A389C" w:rsidRPr="00445116" w:rsidRDefault="007A389C" w:rsidP="007A389C">
      <w:pPr>
        <w:rPr>
          <w:rFonts w:ascii="Arial" w:hAnsi="Arial" w:cs="Arial"/>
        </w:rPr>
      </w:pPr>
    </w:p>
    <w:p w14:paraId="5F61A79F" w14:textId="77777777" w:rsidR="007A389C" w:rsidRPr="00445116" w:rsidRDefault="007A389C" w:rsidP="007A389C">
      <w:pPr>
        <w:rPr>
          <w:rFonts w:ascii="Arial" w:hAnsi="Arial" w:cs="Arial"/>
          <w:b/>
          <w:bCs/>
          <w:i/>
          <w:iCs/>
        </w:rPr>
      </w:pPr>
      <w:r w:rsidRPr="00445116">
        <w:rPr>
          <w:rFonts w:ascii="Arial" w:hAnsi="Arial" w:cs="Arial"/>
          <w:b/>
          <w:bCs/>
          <w:i/>
          <w:iCs/>
        </w:rPr>
        <w:t>F. MONITORING AND COMPLIANCE</w:t>
      </w:r>
    </w:p>
    <w:tbl>
      <w:tblPr>
        <w:tblStyle w:val="TableGrid"/>
        <w:tblW w:w="13178" w:type="dxa"/>
        <w:tblLook w:val="04A0" w:firstRow="1" w:lastRow="0" w:firstColumn="1" w:lastColumn="0" w:noHBand="0" w:noVBand="1"/>
      </w:tblPr>
      <w:tblGrid>
        <w:gridCol w:w="5098"/>
        <w:gridCol w:w="8080"/>
      </w:tblGrid>
      <w:tr w:rsidR="007A389C" w:rsidRPr="008F2DBB" w14:paraId="4027D390" w14:textId="77777777" w:rsidTr="0098231E">
        <w:tc>
          <w:tcPr>
            <w:tcW w:w="5098" w:type="dxa"/>
          </w:tcPr>
          <w:p w14:paraId="406877B2" w14:textId="77777777" w:rsidR="007A389C" w:rsidRPr="00445116" w:rsidRDefault="007A389C" w:rsidP="0098231E">
            <w:pPr>
              <w:rPr>
                <w:rFonts w:ascii="Arial" w:hAnsi="Arial" w:cs="Arial"/>
                <w:i/>
                <w:iCs/>
              </w:rPr>
            </w:pPr>
            <w:r w:rsidRPr="00445116">
              <w:rPr>
                <w:rFonts w:ascii="Arial" w:hAnsi="Arial" w:cs="Arial"/>
                <w:i/>
                <w:iCs/>
              </w:rPr>
              <w:t>19. Monitoring and compliance regime for pre-export and on-arrival testing</w:t>
            </w:r>
          </w:p>
          <w:p w14:paraId="02C4C7F3" w14:textId="77777777" w:rsidR="007A389C" w:rsidRPr="00445116" w:rsidRDefault="007A389C" w:rsidP="0098231E">
            <w:pPr>
              <w:rPr>
                <w:rFonts w:ascii="Arial" w:hAnsi="Arial" w:cs="Arial"/>
                <w:i/>
                <w:iCs/>
              </w:rPr>
            </w:pPr>
          </w:p>
        </w:tc>
        <w:tc>
          <w:tcPr>
            <w:tcW w:w="8080" w:type="dxa"/>
          </w:tcPr>
          <w:p w14:paraId="5237786A" w14:textId="77777777" w:rsidR="007A389C" w:rsidRPr="00445116" w:rsidRDefault="007A389C" w:rsidP="0098231E">
            <w:pPr>
              <w:rPr>
                <w:rFonts w:ascii="Arial" w:hAnsi="Arial" w:cs="Arial"/>
              </w:rPr>
            </w:pPr>
            <w:r w:rsidRPr="00445116">
              <w:rPr>
                <w:rFonts w:ascii="Arial" w:hAnsi="Arial" w:cs="Arial"/>
              </w:rPr>
              <w:t>Describe and discuss the protocols in place to monitor pre-export batch categorisation (</w:t>
            </w:r>
            <w:proofErr w:type="gramStart"/>
            <w:r w:rsidRPr="00445116">
              <w:rPr>
                <w:rFonts w:ascii="Arial" w:hAnsi="Arial" w:cs="Arial"/>
              </w:rPr>
              <w:t>i.e.</w:t>
            </w:r>
            <w:proofErr w:type="gramEnd"/>
            <w:r w:rsidRPr="00445116">
              <w:rPr>
                <w:rFonts w:ascii="Arial" w:hAnsi="Arial" w:cs="Arial"/>
              </w:rPr>
              <w:t xml:space="preserve"> ensure no mixing occurs) and the compliance strategy to check that importing countries are adhering to the arrangements.</w:t>
            </w:r>
          </w:p>
          <w:p w14:paraId="35134AC2" w14:textId="77777777" w:rsidR="007A389C" w:rsidRDefault="007A389C" w:rsidP="0098231E">
            <w:pPr>
              <w:rPr>
                <w:rFonts w:ascii="Arial" w:hAnsi="Arial" w:cs="Arial"/>
              </w:rPr>
            </w:pPr>
            <w:r w:rsidRPr="00445116">
              <w:rPr>
                <w:rFonts w:ascii="Arial" w:hAnsi="Arial" w:cs="Arial"/>
              </w:rPr>
              <w:t>Document the monitoring and compliance regime for prawns marked as being cooked from high-risk countries.</w:t>
            </w:r>
          </w:p>
        </w:tc>
      </w:tr>
    </w:tbl>
    <w:p w14:paraId="0F47FBAE" w14:textId="77777777" w:rsidR="00A82A48" w:rsidRDefault="00A82A48" w:rsidP="007A389C">
      <w:pPr>
        <w:rPr>
          <w:bCs/>
          <w:sz w:val="22"/>
        </w:rPr>
        <w:sectPr w:rsidR="00A82A48" w:rsidSect="0098231E">
          <w:pgSz w:w="16838" w:h="11906" w:orient="landscape"/>
          <w:pgMar w:top="1440" w:right="1440" w:bottom="1440" w:left="1440" w:header="708" w:footer="708" w:gutter="0"/>
          <w:cols w:space="708"/>
          <w:docGrid w:linePitch="360"/>
        </w:sectPr>
      </w:pPr>
    </w:p>
    <w:p w14:paraId="4E197D6A" w14:textId="26A66568" w:rsidR="007A389C" w:rsidRDefault="00A82A48" w:rsidP="00A82A48">
      <w:pPr>
        <w:pStyle w:val="Heading2"/>
      </w:pPr>
      <w:bookmarkStart w:id="37" w:name="_Toc72478346"/>
      <w:r>
        <w:lastRenderedPageBreak/>
        <w:t>Appendix 3: Expert panel biographies</w:t>
      </w:r>
      <w:bookmarkEnd w:id="37"/>
      <w:r>
        <w:t xml:space="preserve"> </w:t>
      </w:r>
    </w:p>
    <w:p w14:paraId="304DD911" w14:textId="19FA15A3" w:rsidR="00A82A48" w:rsidRPr="008C1AA7" w:rsidRDefault="00A82A48" w:rsidP="00A82A48">
      <w:pPr>
        <w:rPr>
          <w:rStyle w:val="Strong"/>
        </w:rPr>
      </w:pPr>
      <w:r w:rsidRPr="008C1AA7">
        <w:rPr>
          <w:rStyle w:val="Strong"/>
        </w:rPr>
        <w:t>Joanne Daly</w:t>
      </w:r>
      <w:r w:rsidR="00C033D6">
        <w:rPr>
          <w:rStyle w:val="Strong"/>
        </w:rPr>
        <w:t xml:space="preserve"> (Chair)</w:t>
      </w:r>
    </w:p>
    <w:p w14:paraId="02F33E99" w14:textId="4E55D313" w:rsidR="00A82A48" w:rsidRPr="00826BDB" w:rsidRDefault="00A82A48" w:rsidP="00A82A48">
      <w:pPr>
        <w:rPr>
          <w:rFonts w:cstheme="minorHAnsi"/>
          <w:sz w:val="22"/>
        </w:rPr>
      </w:pPr>
      <w:r>
        <w:rPr>
          <w:sz w:val="22"/>
        </w:rPr>
        <w:t xml:space="preserve">BSc (Hons), </w:t>
      </w:r>
      <w:r w:rsidRPr="00344166">
        <w:rPr>
          <w:sz w:val="22"/>
        </w:rPr>
        <w:t>PhD, PSM, FTSE</w:t>
      </w:r>
      <w:r>
        <w:rPr>
          <w:sz w:val="22"/>
        </w:rPr>
        <w:t>, GAICD</w:t>
      </w:r>
      <w:r w:rsidRPr="00344166">
        <w:br/>
      </w:r>
      <w:r w:rsidRPr="00826BDB">
        <w:rPr>
          <w:rFonts w:cstheme="minorHAnsi"/>
          <w:sz w:val="22"/>
        </w:rPr>
        <w:t>Dr Joanne Daly is a consultant in agricultural sciences. She has extensive experience in research, research management and governance in the area</w:t>
      </w:r>
      <w:r>
        <w:rPr>
          <w:rFonts w:cstheme="minorHAnsi"/>
          <w:sz w:val="22"/>
        </w:rPr>
        <w:t>s</w:t>
      </w:r>
      <w:r w:rsidRPr="00826BDB">
        <w:rPr>
          <w:rFonts w:cstheme="minorHAnsi"/>
          <w:sz w:val="22"/>
        </w:rPr>
        <w:t xml:space="preserve"> of agricultur</w:t>
      </w:r>
      <w:r>
        <w:rPr>
          <w:rFonts w:cstheme="minorHAnsi"/>
          <w:sz w:val="22"/>
        </w:rPr>
        <w:t xml:space="preserve">al sciences, evolutionary biology and </w:t>
      </w:r>
      <w:r w:rsidRPr="00826BDB">
        <w:rPr>
          <w:rFonts w:cstheme="minorHAnsi"/>
          <w:sz w:val="22"/>
        </w:rPr>
        <w:t xml:space="preserve">biosecurity. She </w:t>
      </w:r>
      <w:r>
        <w:rPr>
          <w:rFonts w:cstheme="minorHAnsi"/>
          <w:sz w:val="22"/>
        </w:rPr>
        <w:t xml:space="preserve">worked </w:t>
      </w:r>
      <w:r w:rsidRPr="00826BDB">
        <w:rPr>
          <w:rFonts w:cstheme="minorHAnsi"/>
          <w:sz w:val="22"/>
        </w:rPr>
        <w:t>in CSIRO (1984-2015)</w:t>
      </w:r>
      <w:r>
        <w:rPr>
          <w:rFonts w:cstheme="minorHAnsi"/>
          <w:sz w:val="22"/>
        </w:rPr>
        <w:t xml:space="preserve"> where she held a range of senior and executive roles in entomology, agricultural and food sciences, and in national research collections</w:t>
      </w:r>
      <w:r w:rsidRPr="00826BDB">
        <w:rPr>
          <w:rFonts w:cstheme="minorHAnsi"/>
          <w:sz w:val="22"/>
        </w:rPr>
        <w:t xml:space="preserve">. </w:t>
      </w:r>
      <w:r>
        <w:rPr>
          <w:rFonts w:cstheme="minorHAnsi"/>
          <w:sz w:val="22"/>
        </w:rPr>
        <w:t>She has a PhD from the Australian National University (1979) in evolutionary biology.</w:t>
      </w:r>
    </w:p>
    <w:p w14:paraId="6A462980" w14:textId="2D117377" w:rsidR="00A82A48" w:rsidRDefault="00A82A48" w:rsidP="00A82A48">
      <w:pPr>
        <w:rPr>
          <w:rFonts w:cstheme="minorHAnsi"/>
          <w:sz w:val="22"/>
        </w:rPr>
      </w:pPr>
      <w:r w:rsidRPr="00826BDB">
        <w:rPr>
          <w:rFonts w:cstheme="minorHAnsi"/>
          <w:sz w:val="22"/>
        </w:rPr>
        <w:t>Joanne has had extensive experience in biosecurity</w:t>
      </w:r>
      <w:r>
        <w:rPr>
          <w:rFonts w:cstheme="minorHAnsi"/>
          <w:sz w:val="22"/>
        </w:rPr>
        <w:t xml:space="preserve">. </w:t>
      </w:r>
      <w:r w:rsidRPr="00826BDB">
        <w:rPr>
          <w:rFonts w:cstheme="minorHAnsi"/>
          <w:sz w:val="22"/>
        </w:rPr>
        <w:t>She is a Director of Plant Health Australia</w:t>
      </w:r>
      <w:r>
        <w:rPr>
          <w:rFonts w:cstheme="minorHAnsi"/>
          <w:sz w:val="22"/>
        </w:rPr>
        <w:t xml:space="preserve"> (2015-</w:t>
      </w:r>
      <w:r w:rsidR="00780704">
        <w:rPr>
          <w:rFonts w:cstheme="minorHAnsi"/>
          <w:sz w:val="22"/>
        </w:rPr>
        <w:t> </w:t>
      </w:r>
      <w:r>
        <w:rPr>
          <w:rFonts w:cstheme="minorHAnsi"/>
          <w:sz w:val="22"/>
        </w:rPr>
        <w:t xml:space="preserve">). In CSIRO, her portfolio of responsibility included </w:t>
      </w:r>
      <w:r w:rsidRPr="00826BDB">
        <w:rPr>
          <w:rFonts w:cstheme="minorHAnsi"/>
          <w:sz w:val="22"/>
        </w:rPr>
        <w:t xml:space="preserve">strategic oversight of biosecurity research activities </w:t>
      </w:r>
      <w:r>
        <w:rPr>
          <w:rFonts w:cstheme="minorHAnsi"/>
          <w:sz w:val="22"/>
        </w:rPr>
        <w:t xml:space="preserve">and facilities </w:t>
      </w:r>
      <w:r w:rsidRPr="00826BDB">
        <w:rPr>
          <w:rFonts w:cstheme="minorHAnsi"/>
          <w:sz w:val="22"/>
        </w:rPr>
        <w:t>in both plant</w:t>
      </w:r>
      <w:r>
        <w:rPr>
          <w:rFonts w:cstheme="minorHAnsi"/>
          <w:sz w:val="22"/>
        </w:rPr>
        <w:t>s</w:t>
      </w:r>
      <w:r w:rsidRPr="00826BDB">
        <w:rPr>
          <w:rFonts w:cstheme="minorHAnsi"/>
          <w:sz w:val="22"/>
        </w:rPr>
        <w:t xml:space="preserve"> and animal</w:t>
      </w:r>
      <w:r>
        <w:rPr>
          <w:rFonts w:cstheme="minorHAnsi"/>
          <w:sz w:val="22"/>
        </w:rPr>
        <w:t>s</w:t>
      </w:r>
      <w:r w:rsidRPr="00826BDB">
        <w:rPr>
          <w:rFonts w:cstheme="minorHAnsi"/>
          <w:sz w:val="22"/>
        </w:rPr>
        <w:t xml:space="preserve"> (1994-2010)</w:t>
      </w:r>
      <w:r>
        <w:rPr>
          <w:rFonts w:cstheme="minorHAnsi"/>
          <w:sz w:val="22"/>
        </w:rPr>
        <w:t xml:space="preserve">. She </w:t>
      </w:r>
      <w:r w:rsidRPr="00826BDB">
        <w:rPr>
          <w:rFonts w:cstheme="minorHAnsi"/>
          <w:sz w:val="22"/>
        </w:rPr>
        <w:t xml:space="preserve">has been a member of a range of government advisory bodies in agricultural biosecurity, </w:t>
      </w:r>
      <w:r>
        <w:rPr>
          <w:rFonts w:cstheme="minorHAnsi"/>
          <w:sz w:val="22"/>
        </w:rPr>
        <w:t xml:space="preserve">including </w:t>
      </w:r>
      <w:r w:rsidRPr="00826BDB">
        <w:rPr>
          <w:rFonts w:cstheme="minorHAnsi"/>
          <w:sz w:val="22"/>
        </w:rPr>
        <w:t>Biosecurity Advisory Council (2010-2013)</w:t>
      </w:r>
      <w:r>
        <w:rPr>
          <w:rFonts w:cstheme="minorHAnsi"/>
          <w:sz w:val="22"/>
        </w:rPr>
        <w:t xml:space="preserve"> and</w:t>
      </w:r>
      <w:r w:rsidRPr="00826BDB">
        <w:rPr>
          <w:rFonts w:cstheme="minorHAnsi"/>
          <w:sz w:val="22"/>
        </w:rPr>
        <w:t xml:space="preserve"> Quarantine and Export Advisory Committee (2005-2009). </w:t>
      </w:r>
      <w:r>
        <w:rPr>
          <w:rFonts w:cstheme="minorHAnsi"/>
          <w:sz w:val="22"/>
        </w:rPr>
        <w:t xml:space="preserve">She is a member of the Advisory Committee on Chemical Scheduling for the Therapeutic Goods Administration (2019- ). </w:t>
      </w:r>
      <w:r w:rsidRPr="00637CB0">
        <w:rPr>
          <w:rFonts w:cstheme="minorHAnsi"/>
          <w:sz w:val="22"/>
        </w:rPr>
        <w:t xml:space="preserve"> </w:t>
      </w:r>
      <w:r w:rsidRPr="00826BDB">
        <w:rPr>
          <w:rFonts w:cstheme="minorHAnsi"/>
          <w:sz w:val="22"/>
        </w:rPr>
        <w:t xml:space="preserve">  </w:t>
      </w:r>
    </w:p>
    <w:p w14:paraId="0BF74C64" w14:textId="02F6471C" w:rsidR="00A82A48" w:rsidRDefault="00A82A48" w:rsidP="00A82A48">
      <w:pPr>
        <w:rPr>
          <w:rFonts w:ascii="Calibri" w:hAnsi="Calibri" w:cs="Calibri"/>
          <w:color w:val="1D2021"/>
          <w:sz w:val="22"/>
        </w:rPr>
      </w:pPr>
      <w:r>
        <w:rPr>
          <w:rFonts w:cstheme="minorHAnsi"/>
          <w:sz w:val="22"/>
        </w:rPr>
        <w:t xml:space="preserve">She was </w:t>
      </w:r>
      <w:r w:rsidRPr="00826BDB">
        <w:rPr>
          <w:rFonts w:cstheme="minorHAnsi"/>
          <w:sz w:val="22"/>
        </w:rPr>
        <w:t>Chair of the Science Reference Panel for yellow canopy syndrome in sugarcane (2016-2020)</w:t>
      </w:r>
      <w:r>
        <w:rPr>
          <w:rFonts w:cstheme="minorHAnsi"/>
          <w:sz w:val="22"/>
        </w:rPr>
        <w:t xml:space="preserve"> for Sugar Research Australia and </w:t>
      </w:r>
      <w:r w:rsidRPr="00826BDB">
        <w:rPr>
          <w:rFonts w:cstheme="minorHAnsi"/>
          <w:sz w:val="22"/>
        </w:rPr>
        <w:t>a Commissioner for the Australian Centre of Agricultural Research, ACIAR (2009-2015)</w:t>
      </w:r>
      <w:r>
        <w:rPr>
          <w:rFonts w:cstheme="minorHAnsi"/>
          <w:sz w:val="22"/>
        </w:rPr>
        <w:t xml:space="preserve">. She has had </w:t>
      </w:r>
      <w:proofErr w:type="gramStart"/>
      <w:r>
        <w:rPr>
          <w:rFonts w:cstheme="minorHAnsi"/>
          <w:sz w:val="22"/>
        </w:rPr>
        <w:t>a number of</w:t>
      </w:r>
      <w:proofErr w:type="gramEnd"/>
      <w:r>
        <w:rPr>
          <w:rFonts w:cstheme="minorHAnsi"/>
          <w:sz w:val="22"/>
        </w:rPr>
        <w:t xml:space="preserve"> roles in the </w:t>
      </w:r>
      <w:r w:rsidRPr="00826BDB">
        <w:rPr>
          <w:rFonts w:cstheme="minorHAnsi"/>
          <w:sz w:val="22"/>
        </w:rPr>
        <w:t xml:space="preserve">use of online approaches to identification of species, </w:t>
      </w:r>
      <w:r>
        <w:rPr>
          <w:rFonts w:cstheme="minorHAnsi"/>
          <w:sz w:val="22"/>
        </w:rPr>
        <w:t xml:space="preserve">biodiversity. </w:t>
      </w:r>
      <w:r w:rsidRPr="00826BDB">
        <w:rPr>
          <w:rFonts w:cstheme="minorHAnsi"/>
          <w:sz w:val="22"/>
        </w:rPr>
        <w:t>She was Chair of the international Global Biodiversity Information Facility (2009-2013)</w:t>
      </w:r>
      <w:r>
        <w:rPr>
          <w:rFonts w:cstheme="minorHAnsi"/>
          <w:sz w:val="22"/>
        </w:rPr>
        <w:t xml:space="preserve">. </w:t>
      </w:r>
      <w:r w:rsidRPr="009D65E0">
        <w:rPr>
          <w:rFonts w:ascii="Calibri" w:hAnsi="Calibri" w:cs="Calibri"/>
          <w:color w:val="1D2021"/>
          <w:sz w:val="22"/>
        </w:rPr>
        <w:t xml:space="preserve">Joanne chaired the ‘Expert Working Group on Security Australia’s Agricultural Future’ for the Australian Council of Learned Academies, as a Fellow of ATSE.  </w:t>
      </w:r>
    </w:p>
    <w:p w14:paraId="3D12C0E8" w14:textId="77777777" w:rsidR="00075D32" w:rsidRDefault="00075D32" w:rsidP="00A82A48">
      <w:pPr>
        <w:rPr>
          <w:rFonts w:ascii="Calibri" w:hAnsi="Calibri" w:cs="Calibri"/>
          <w:color w:val="1D2021"/>
          <w:sz w:val="22"/>
        </w:rPr>
      </w:pPr>
    </w:p>
    <w:p w14:paraId="4B480079" w14:textId="77777777" w:rsidR="00075D32" w:rsidRPr="00075D32" w:rsidRDefault="00075D32" w:rsidP="00075D32">
      <w:pPr>
        <w:rPr>
          <w:rStyle w:val="Strong"/>
          <w:bCs w:val="0"/>
        </w:rPr>
      </w:pPr>
      <w:r w:rsidRPr="00075D32">
        <w:rPr>
          <w:rStyle w:val="Strong"/>
          <w:bCs w:val="0"/>
        </w:rPr>
        <w:t>Steve McCutcheon</w:t>
      </w:r>
    </w:p>
    <w:p w14:paraId="2446F9B3" w14:textId="13DACCF3" w:rsidR="00075D32" w:rsidRPr="00075D32" w:rsidRDefault="00075D32" w:rsidP="00075D32">
      <w:pPr>
        <w:rPr>
          <w:sz w:val="22"/>
        </w:rPr>
      </w:pPr>
      <w:proofErr w:type="spellStart"/>
      <w:r w:rsidRPr="00075D32">
        <w:rPr>
          <w:sz w:val="22"/>
        </w:rPr>
        <w:t>B</w:t>
      </w:r>
      <w:r>
        <w:rPr>
          <w:sz w:val="22"/>
        </w:rPr>
        <w:t>E</w:t>
      </w:r>
      <w:r w:rsidRPr="00075D32">
        <w:rPr>
          <w:sz w:val="22"/>
        </w:rPr>
        <w:t>c</w:t>
      </w:r>
      <w:proofErr w:type="spellEnd"/>
      <w:r>
        <w:rPr>
          <w:sz w:val="22"/>
        </w:rPr>
        <w:t>,</w:t>
      </w:r>
      <w:r w:rsidRPr="00075D32">
        <w:rPr>
          <w:sz w:val="22"/>
        </w:rPr>
        <w:t xml:space="preserve"> Grad Dip Public Law</w:t>
      </w:r>
      <w:r>
        <w:rPr>
          <w:sz w:val="22"/>
        </w:rPr>
        <w:t>,</w:t>
      </w:r>
      <w:r w:rsidRPr="00075D32">
        <w:rPr>
          <w:sz w:val="22"/>
        </w:rPr>
        <w:t xml:space="preserve"> GAICD</w:t>
      </w:r>
      <w:r>
        <w:rPr>
          <w:sz w:val="22"/>
        </w:rPr>
        <w:br/>
      </w:r>
      <w:r w:rsidRPr="00075D32">
        <w:rPr>
          <w:sz w:val="22"/>
        </w:rPr>
        <w:t>Steve has worked with the food and agriculture sectors for his entire career. From 1997 to 2007, he held senior leadership roles within the Australian Government Department of Agriculture relating to animal and plant health and food safety. In 2007, he was appointed Chief Executive Officer of Food Standards Australia New Zealand (FSANZ) and remained in that role until 2017. Throughout his 20</w:t>
      </w:r>
      <w:r w:rsidR="00780704">
        <w:rPr>
          <w:sz w:val="22"/>
        </w:rPr>
        <w:t> </w:t>
      </w:r>
      <w:r w:rsidRPr="00075D32">
        <w:rPr>
          <w:sz w:val="22"/>
        </w:rPr>
        <w:t>years in public sector leadership roles, he was a member and/or chair of national committees related to animal health, plant health and food safety and leader of Australian Government delegations to multilateral and regional consultations on food safety and food standards.</w:t>
      </w:r>
    </w:p>
    <w:p w14:paraId="51E61667" w14:textId="77777777" w:rsidR="00075D32" w:rsidRPr="00075D32" w:rsidRDefault="00075D32" w:rsidP="00075D32">
      <w:pPr>
        <w:spacing w:after="0"/>
        <w:rPr>
          <w:sz w:val="22"/>
        </w:rPr>
      </w:pPr>
      <w:r w:rsidRPr="00075D32">
        <w:rPr>
          <w:sz w:val="22"/>
        </w:rPr>
        <w:t xml:space="preserve">Steve is currently a Non-Executive Director and Chair of Plant Health Australia Limited, Non-Executive Director and Chair of </w:t>
      </w:r>
      <w:proofErr w:type="spellStart"/>
      <w:r w:rsidRPr="00075D32">
        <w:rPr>
          <w:sz w:val="22"/>
        </w:rPr>
        <w:t>Valmar</w:t>
      </w:r>
      <w:proofErr w:type="spellEnd"/>
      <w:r w:rsidRPr="00075D32">
        <w:rPr>
          <w:sz w:val="22"/>
        </w:rPr>
        <w:t xml:space="preserve"> Support Services Limited, Acting Chair of the FSANZ Board and a member of the Governing Board of the Joint Accreditation System of Australia and New Zealand (JAS-ANZ). He has been a member of the Department of Agriculture, Water and the Environment’s Scientific Advisory Group since 2016.</w:t>
      </w:r>
    </w:p>
    <w:p w14:paraId="114E4D45" w14:textId="03F706EB" w:rsidR="00C033D6" w:rsidRDefault="00C033D6" w:rsidP="00A82A48">
      <w:pPr>
        <w:rPr>
          <w:rFonts w:ascii="Calibri" w:hAnsi="Calibri" w:cs="Calibri"/>
          <w:color w:val="1D2021"/>
          <w:sz w:val="22"/>
        </w:rPr>
      </w:pPr>
    </w:p>
    <w:p w14:paraId="0E799118" w14:textId="77777777" w:rsidR="00C033D6" w:rsidRPr="00C033D6" w:rsidRDefault="00C033D6" w:rsidP="00C033D6">
      <w:pPr>
        <w:rPr>
          <w:rStyle w:val="Strong"/>
        </w:rPr>
      </w:pPr>
      <w:r w:rsidRPr="00C033D6">
        <w:rPr>
          <w:rStyle w:val="Strong"/>
        </w:rPr>
        <w:t>Will Zacharin CF</w:t>
      </w:r>
    </w:p>
    <w:p w14:paraId="5A207C81" w14:textId="29591B09" w:rsidR="00075D32" w:rsidRPr="00075D32" w:rsidRDefault="00C033D6" w:rsidP="00075D32">
      <w:pPr>
        <w:rPr>
          <w:sz w:val="22"/>
        </w:rPr>
      </w:pPr>
      <w:r w:rsidRPr="00C033D6">
        <w:rPr>
          <w:sz w:val="22"/>
        </w:rPr>
        <w:t>BSc (Hons)</w:t>
      </w:r>
      <w:r w:rsidR="00075D32">
        <w:rPr>
          <w:sz w:val="22"/>
        </w:rPr>
        <w:t>,</w:t>
      </w:r>
      <w:r w:rsidRPr="00C033D6">
        <w:rPr>
          <w:sz w:val="22"/>
        </w:rPr>
        <w:t xml:space="preserve"> MSc</w:t>
      </w:r>
      <w:r w:rsidR="00075D32">
        <w:rPr>
          <w:sz w:val="22"/>
        </w:rPr>
        <w:t>,</w:t>
      </w:r>
      <w:r w:rsidRPr="00C033D6">
        <w:rPr>
          <w:sz w:val="22"/>
        </w:rPr>
        <w:t xml:space="preserve"> Grad Dip Bus </w:t>
      </w:r>
      <w:proofErr w:type="spellStart"/>
      <w:r w:rsidRPr="00C033D6">
        <w:rPr>
          <w:sz w:val="22"/>
        </w:rPr>
        <w:t>Mangt</w:t>
      </w:r>
      <w:proofErr w:type="spellEnd"/>
      <w:r w:rsidR="00075D32">
        <w:rPr>
          <w:sz w:val="22"/>
        </w:rPr>
        <w:t>,</w:t>
      </w:r>
      <w:r w:rsidRPr="00C033D6">
        <w:rPr>
          <w:sz w:val="22"/>
        </w:rPr>
        <w:t xml:space="preserve"> GAICD</w:t>
      </w:r>
      <w:r w:rsidR="0098231E">
        <w:rPr>
          <w:sz w:val="22"/>
        </w:rPr>
        <w:br/>
      </w:r>
      <w:r w:rsidRPr="00C033D6">
        <w:rPr>
          <w:rFonts w:cstheme="minorHAnsi"/>
          <w:sz w:val="22"/>
        </w:rPr>
        <w:t xml:space="preserve">Will currently works as a private consultant specialising in the areas of fisheries and biosecurity. He spent 20 years as a Senior Executive with the Department of Primary Industries and Regions South Australia, with his last 9 years as the Executive Director, Biosecurity SA from 2010 to 2019, responsible for animal and plant pest and disease management. During this period, he was the South </w:t>
      </w:r>
      <w:r w:rsidRPr="00C033D6">
        <w:rPr>
          <w:rFonts w:cstheme="minorHAnsi"/>
          <w:sz w:val="22"/>
        </w:rPr>
        <w:lastRenderedPageBreak/>
        <w:t xml:space="preserve">Australian Government representative on the National Biosecurity Committee. Will has also been involved in fisheries science and management throughout his public service career and was the Executive Director, Fisheries for a period of 10 years. In 2019, he was appointed a member of the Department of Agriculture, Water and the Environment’s Scientific Advisory Group. Will holds post </w:t>
      </w:r>
      <w:r w:rsidRPr="00075D32">
        <w:rPr>
          <w:rFonts w:ascii="Calibri" w:hAnsi="Calibri" w:cs="Calibri"/>
          <w:color w:val="1D2021"/>
          <w:sz w:val="22"/>
        </w:rPr>
        <w:t>graduate qualifications in science and business.</w:t>
      </w:r>
    </w:p>
    <w:sectPr w:rsidR="00075D32" w:rsidRPr="00075D32" w:rsidSect="00A82A4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0170" w14:textId="77777777" w:rsidR="00FA2ADF" w:rsidRDefault="00FA2ADF" w:rsidP="008A3792">
      <w:pPr>
        <w:spacing w:after="0" w:line="240" w:lineRule="auto"/>
      </w:pPr>
      <w:r>
        <w:separator/>
      </w:r>
    </w:p>
  </w:endnote>
  <w:endnote w:type="continuationSeparator" w:id="0">
    <w:p w14:paraId="6406E9B5" w14:textId="77777777" w:rsidR="00FA2ADF" w:rsidRDefault="00FA2ADF" w:rsidP="008A3792">
      <w:pPr>
        <w:spacing w:after="0" w:line="240" w:lineRule="auto"/>
      </w:pPr>
      <w:r>
        <w:continuationSeparator/>
      </w:r>
    </w:p>
  </w:endnote>
  <w:endnote w:type="continuationNotice" w:id="1">
    <w:p w14:paraId="6566B87B" w14:textId="77777777" w:rsidR="00FA2ADF" w:rsidRDefault="00FA2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598977"/>
      <w:docPartObj>
        <w:docPartGallery w:val="Page Numbers (Bottom of Page)"/>
        <w:docPartUnique/>
      </w:docPartObj>
    </w:sdtPr>
    <w:sdtEndPr>
      <w:rPr>
        <w:rStyle w:val="PageNumber"/>
      </w:rPr>
    </w:sdtEndPr>
    <w:sdtContent>
      <w:p w14:paraId="13E25E0B" w14:textId="6EE6940A" w:rsidR="0098231E" w:rsidRDefault="0098231E" w:rsidP="00D65D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6CF43B" w14:textId="77777777" w:rsidR="0098231E" w:rsidRDefault="0098231E" w:rsidP="00701E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6026031"/>
      <w:docPartObj>
        <w:docPartGallery w:val="Page Numbers (Bottom of Page)"/>
        <w:docPartUnique/>
      </w:docPartObj>
    </w:sdtPr>
    <w:sdtEndPr>
      <w:rPr>
        <w:rStyle w:val="PageNumber"/>
      </w:rPr>
    </w:sdtEndPr>
    <w:sdtContent>
      <w:p w14:paraId="7456CB26" w14:textId="4D0DC94D" w:rsidR="0098231E" w:rsidRDefault="0098231E" w:rsidP="009823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8EE17F" w14:textId="5BC3A984" w:rsidR="0098231E" w:rsidRPr="00D65D29" w:rsidRDefault="0098231E" w:rsidP="00D65D29">
    <w:pPr>
      <w:pStyle w:val="Footer"/>
      <w:ind w:right="360"/>
      <w:rPr>
        <w:rStyle w:val="PageNumber"/>
      </w:rPr>
    </w:pPr>
    <w:r>
      <w:rPr>
        <w:rStyle w:val="PageNumber"/>
      </w:rPr>
      <w:t xml:space="preserve">Expert Panel Review of draft report on biosecurity risks of prawn imports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4B64" w14:textId="77777777" w:rsidR="00FA2ADF" w:rsidRDefault="00FA2ADF" w:rsidP="008A3792">
      <w:pPr>
        <w:spacing w:after="0" w:line="240" w:lineRule="auto"/>
      </w:pPr>
      <w:r>
        <w:separator/>
      </w:r>
    </w:p>
  </w:footnote>
  <w:footnote w:type="continuationSeparator" w:id="0">
    <w:p w14:paraId="0443E8A4" w14:textId="77777777" w:rsidR="00FA2ADF" w:rsidRDefault="00FA2ADF" w:rsidP="008A3792">
      <w:pPr>
        <w:spacing w:after="0" w:line="240" w:lineRule="auto"/>
      </w:pPr>
      <w:r>
        <w:continuationSeparator/>
      </w:r>
    </w:p>
  </w:footnote>
  <w:footnote w:type="continuationNotice" w:id="1">
    <w:p w14:paraId="15356CD2" w14:textId="77777777" w:rsidR="00FA2ADF" w:rsidRDefault="00FA2A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4CB"/>
    <w:multiLevelType w:val="hybridMultilevel"/>
    <w:tmpl w:val="B1E40104"/>
    <w:lvl w:ilvl="0" w:tplc="0809000F">
      <w:start w:val="1"/>
      <w:numFmt w:val="decimal"/>
      <w:lvlText w:val="%1."/>
      <w:lvlJc w:val="left"/>
      <w:pPr>
        <w:ind w:left="7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DE6F4E"/>
    <w:multiLevelType w:val="hybridMultilevel"/>
    <w:tmpl w:val="91502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533EC"/>
    <w:multiLevelType w:val="hybridMultilevel"/>
    <w:tmpl w:val="5F62B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72F8A"/>
    <w:multiLevelType w:val="hybridMultilevel"/>
    <w:tmpl w:val="D8A0184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D57A42"/>
    <w:multiLevelType w:val="hybridMultilevel"/>
    <w:tmpl w:val="EDFC6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4276C"/>
    <w:multiLevelType w:val="hybridMultilevel"/>
    <w:tmpl w:val="B1E40104"/>
    <w:lvl w:ilvl="0" w:tplc="0809000F">
      <w:start w:val="1"/>
      <w:numFmt w:val="decimal"/>
      <w:lvlText w:val="%1."/>
      <w:lvlJc w:val="left"/>
      <w:pPr>
        <w:ind w:left="7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D6E78E7"/>
    <w:multiLevelType w:val="hybridMultilevel"/>
    <w:tmpl w:val="F6304BAE"/>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5751E"/>
    <w:multiLevelType w:val="hybridMultilevel"/>
    <w:tmpl w:val="B29C9D9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16930"/>
    <w:multiLevelType w:val="hybridMultilevel"/>
    <w:tmpl w:val="6E8C7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6423A"/>
    <w:multiLevelType w:val="hybridMultilevel"/>
    <w:tmpl w:val="D65C1A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5B3A4F"/>
    <w:multiLevelType w:val="hybridMultilevel"/>
    <w:tmpl w:val="54E8A51A"/>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91D71"/>
    <w:multiLevelType w:val="hybridMultilevel"/>
    <w:tmpl w:val="99781378"/>
    <w:lvl w:ilvl="0" w:tplc="7FD812F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3506F3"/>
    <w:multiLevelType w:val="hybridMultilevel"/>
    <w:tmpl w:val="F8A218C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E1046"/>
    <w:multiLevelType w:val="hybridMultilevel"/>
    <w:tmpl w:val="9CB8A4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C74F8D"/>
    <w:multiLevelType w:val="hybridMultilevel"/>
    <w:tmpl w:val="3B908B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3F714D"/>
    <w:multiLevelType w:val="hybridMultilevel"/>
    <w:tmpl w:val="C44416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35AFC"/>
    <w:multiLevelType w:val="hybridMultilevel"/>
    <w:tmpl w:val="813A18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D11862"/>
    <w:multiLevelType w:val="multilevel"/>
    <w:tmpl w:val="56707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67066E"/>
    <w:multiLevelType w:val="hybridMultilevel"/>
    <w:tmpl w:val="F8ACA95A"/>
    <w:lvl w:ilvl="0" w:tplc="0809000F">
      <w:start w:val="1"/>
      <w:numFmt w:val="decimal"/>
      <w:lvlText w:val="%1."/>
      <w:lvlJc w:val="left"/>
      <w:pPr>
        <w:ind w:left="360" w:hanging="360"/>
      </w:pPr>
    </w:lvl>
    <w:lvl w:ilvl="1" w:tplc="08090003">
      <w:start w:val="1"/>
      <w:numFmt w:val="bullet"/>
      <w:lvlText w:val="o"/>
      <w:lvlJc w:val="left"/>
      <w:pPr>
        <w:ind w:left="1440" w:hanging="360"/>
      </w:pPr>
      <w:rPr>
        <w:rFonts w:ascii="Courier New" w:hAnsi="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533FA7"/>
    <w:multiLevelType w:val="hybridMultilevel"/>
    <w:tmpl w:val="B1E40104"/>
    <w:lvl w:ilvl="0" w:tplc="0809000F">
      <w:start w:val="1"/>
      <w:numFmt w:val="decimal"/>
      <w:lvlText w:val="%1."/>
      <w:lvlJc w:val="left"/>
      <w:pPr>
        <w:ind w:left="36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24079CB"/>
    <w:multiLevelType w:val="hybridMultilevel"/>
    <w:tmpl w:val="B1E40104"/>
    <w:lvl w:ilvl="0" w:tplc="0809000F">
      <w:start w:val="1"/>
      <w:numFmt w:val="decimal"/>
      <w:lvlText w:val="%1."/>
      <w:lvlJc w:val="left"/>
      <w:pPr>
        <w:ind w:left="7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3480322"/>
    <w:multiLevelType w:val="hybridMultilevel"/>
    <w:tmpl w:val="C338CDAA"/>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45A1F99"/>
    <w:multiLevelType w:val="hybridMultilevel"/>
    <w:tmpl w:val="D26C16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66A50A0"/>
    <w:multiLevelType w:val="hybridMultilevel"/>
    <w:tmpl w:val="BC2C9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8A5556"/>
    <w:multiLevelType w:val="hybridMultilevel"/>
    <w:tmpl w:val="05E0A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783090"/>
    <w:multiLevelType w:val="multilevel"/>
    <w:tmpl w:val="8F26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2D1748"/>
    <w:multiLevelType w:val="hybridMultilevel"/>
    <w:tmpl w:val="B678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327CF"/>
    <w:multiLevelType w:val="hybridMultilevel"/>
    <w:tmpl w:val="F83CD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D27426"/>
    <w:multiLevelType w:val="hybridMultilevel"/>
    <w:tmpl w:val="B1E40104"/>
    <w:lvl w:ilvl="0" w:tplc="0809000F">
      <w:start w:val="1"/>
      <w:numFmt w:val="decimal"/>
      <w:lvlText w:val="%1."/>
      <w:lvlJc w:val="left"/>
      <w:pPr>
        <w:ind w:left="7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9AB5C1B"/>
    <w:multiLevelType w:val="hybridMultilevel"/>
    <w:tmpl w:val="46EA12B4"/>
    <w:lvl w:ilvl="0" w:tplc="64DA5E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AE676B"/>
    <w:multiLevelType w:val="hybridMultilevel"/>
    <w:tmpl w:val="B1E40104"/>
    <w:lvl w:ilvl="0" w:tplc="0809000F">
      <w:start w:val="1"/>
      <w:numFmt w:val="decimal"/>
      <w:lvlText w:val="%1."/>
      <w:lvlJc w:val="left"/>
      <w:pPr>
        <w:ind w:left="7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19B7C3E"/>
    <w:multiLevelType w:val="hybridMultilevel"/>
    <w:tmpl w:val="8DE27A9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20F4DCC"/>
    <w:multiLevelType w:val="hybridMultilevel"/>
    <w:tmpl w:val="B1E40104"/>
    <w:lvl w:ilvl="0" w:tplc="0809000F">
      <w:start w:val="1"/>
      <w:numFmt w:val="decimal"/>
      <w:lvlText w:val="%1."/>
      <w:lvlJc w:val="left"/>
      <w:pPr>
        <w:ind w:left="7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2666331"/>
    <w:multiLevelType w:val="hybridMultilevel"/>
    <w:tmpl w:val="3C2CB698"/>
    <w:lvl w:ilvl="0" w:tplc="08090003">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57F229E"/>
    <w:multiLevelType w:val="hybridMultilevel"/>
    <w:tmpl w:val="D492994A"/>
    <w:lvl w:ilvl="0" w:tplc="0080788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CE05349"/>
    <w:multiLevelType w:val="hybridMultilevel"/>
    <w:tmpl w:val="CD3C013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FD0E24"/>
    <w:multiLevelType w:val="hybridMultilevel"/>
    <w:tmpl w:val="B1E40104"/>
    <w:lvl w:ilvl="0" w:tplc="0809000F">
      <w:start w:val="1"/>
      <w:numFmt w:val="decimal"/>
      <w:lvlText w:val="%1."/>
      <w:lvlJc w:val="left"/>
      <w:pPr>
        <w:ind w:left="7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D0A18B4"/>
    <w:multiLevelType w:val="hybridMultilevel"/>
    <w:tmpl w:val="56E4FDB0"/>
    <w:lvl w:ilvl="0" w:tplc="2BC8ECD6">
      <w:numFmt w:val="bullet"/>
      <w:lvlText w:val="-"/>
      <w:lvlJc w:val="left"/>
      <w:pPr>
        <w:ind w:left="720" w:hanging="360"/>
      </w:pPr>
      <w:rPr>
        <w:rFonts w:ascii="Calibri" w:eastAsiaTheme="minorHAns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0E1BBB"/>
    <w:multiLevelType w:val="hybridMultilevel"/>
    <w:tmpl w:val="77346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C81A95"/>
    <w:multiLevelType w:val="hybridMultilevel"/>
    <w:tmpl w:val="071ABD9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40394D"/>
    <w:multiLevelType w:val="hybridMultilevel"/>
    <w:tmpl w:val="DD8616F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80547EB"/>
    <w:multiLevelType w:val="hybridMultilevel"/>
    <w:tmpl w:val="6F3230A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03D63"/>
    <w:multiLevelType w:val="hybridMultilevel"/>
    <w:tmpl w:val="67D6D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C34D58"/>
    <w:multiLevelType w:val="hybridMultilevel"/>
    <w:tmpl w:val="E74CEDB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88443C"/>
    <w:multiLevelType w:val="hybridMultilevel"/>
    <w:tmpl w:val="B1E40104"/>
    <w:lvl w:ilvl="0" w:tplc="0809000F">
      <w:start w:val="1"/>
      <w:numFmt w:val="decimal"/>
      <w:lvlText w:val="%1."/>
      <w:lvlJc w:val="left"/>
      <w:pPr>
        <w:ind w:left="7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6A835FD3"/>
    <w:multiLevelType w:val="hybridMultilevel"/>
    <w:tmpl w:val="CE2AC0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F0968AE"/>
    <w:multiLevelType w:val="hybridMultilevel"/>
    <w:tmpl w:val="5A9216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78316D"/>
    <w:multiLevelType w:val="hybridMultilevel"/>
    <w:tmpl w:val="B1E40104"/>
    <w:lvl w:ilvl="0" w:tplc="0809000F">
      <w:start w:val="1"/>
      <w:numFmt w:val="decimal"/>
      <w:lvlText w:val="%1."/>
      <w:lvlJc w:val="left"/>
      <w:pPr>
        <w:ind w:left="7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733E57A5"/>
    <w:multiLevelType w:val="hybridMultilevel"/>
    <w:tmpl w:val="B1E40104"/>
    <w:lvl w:ilvl="0" w:tplc="0809000F">
      <w:start w:val="1"/>
      <w:numFmt w:val="decimal"/>
      <w:lvlText w:val="%1."/>
      <w:lvlJc w:val="left"/>
      <w:pPr>
        <w:ind w:left="7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7DA56C59"/>
    <w:multiLevelType w:val="hybridMultilevel"/>
    <w:tmpl w:val="F88E05CC"/>
    <w:lvl w:ilvl="0" w:tplc="AC70D7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23"/>
  </w:num>
  <w:num w:numId="3">
    <w:abstractNumId w:val="9"/>
  </w:num>
  <w:num w:numId="4">
    <w:abstractNumId w:val="45"/>
  </w:num>
  <w:num w:numId="5">
    <w:abstractNumId w:val="4"/>
  </w:num>
  <w:num w:numId="6">
    <w:abstractNumId w:val="16"/>
  </w:num>
  <w:num w:numId="7">
    <w:abstractNumId w:val="17"/>
  </w:num>
  <w:num w:numId="8">
    <w:abstractNumId w:val="46"/>
  </w:num>
  <w:num w:numId="9">
    <w:abstractNumId w:val="26"/>
  </w:num>
  <w:num w:numId="10">
    <w:abstractNumId w:val="25"/>
  </w:num>
  <w:num w:numId="11">
    <w:abstractNumId w:val="42"/>
  </w:num>
  <w:num w:numId="12">
    <w:abstractNumId w:val="27"/>
  </w:num>
  <w:num w:numId="13">
    <w:abstractNumId w:val="15"/>
  </w:num>
  <w:num w:numId="14">
    <w:abstractNumId w:val="38"/>
  </w:num>
  <w:num w:numId="15">
    <w:abstractNumId w:val="1"/>
  </w:num>
  <w:num w:numId="16">
    <w:abstractNumId w:val="6"/>
  </w:num>
  <w:num w:numId="17">
    <w:abstractNumId w:val="40"/>
  </w:num>
  <w:num w:numId="18">
    <w:abstractNumId w:val="2"/>
  </w:num>
  <w:num w:numId="19">
    <w:abstractNumId w:val="18"/>
  </w:num>
  <w:num w:numId="20">
    <w:abstractNumId w:val="21"/>
  </w:num>
  <w:num w:numId="21">
    <w:abstractNumId w:val="33"/>
  </w:num>
  <w:num w:numId="22">
    <w:abstractNumId w:val="24"/>
  </w:num>
  <w:num w:numId="23">
    <w:abstractNumId w:val="35"/>
  </w:num>
  <w:num w:numId="24">
    <w:abstractNumId w:val="12"/>
  </w:num>
  <w:num w:numId="25">
    <w:abstractNumId w:val="41"/>
  </w:num>
  <w:num w:numId="26">
    <w:abstractNumId w:val="43"/>
  </w:num>
  <w:num w:numId="27">
    <w:abstractNumId w:val="39"/>
  </w:num>
  <w:num w:numId="28">
    <w:abstractNumId w:val="8"/>
  </w:num>
  <w:num w:numId="29">
    <w:abstractNumId w:val="34"/>
  </w:num>
  <w:num w:numId="30">
    <w:abstractNumId w:val="10"/>
  </w:num>
  <w:num w:numId="31">
    <w:abstractNumId w:val="3"/>
  </w:num>
  <w:num w:numId="32">
    <w:abstractNumId w:val="7"/>
  </w:num>
  <w:num w:numId="33">
    <w:abstractNumId w:val="22"/>
  </w:num>
  <w:num w:numId="34">
    <w:abstractNumId w:val="49"/>
  </w:num>
  <w:num w:numId="35">
    <w:abstractNumId w:val="37"/>
  </w:num>
  <w:num w:numId="36">
    <w:abstractNumId w:val="11"/>
  </w:num>
  <w:num w:numId="37">
    <w:abstractNumId w:val="29"/>
  </w:num>
  <w:num w:numId="38">
    <w:abstractNumId w:val="32"/>
  </w:num>
  <w:num w:numId="39">
    <w:abstractNumId w:val="48"/>
  </w:num>
  <w:num w:numId="40">
    <w:abstractNumId w:val="19"/>
  </w:num>
  <w:num w:numId="41">
    <w:abstractNumId w:val="44"/>
  </w:num>
  <w:num w:numId="42">
    <w:abstractNumId w:val="20"/>
  </w:num>
  <w:num w:numId="43">
    <w:abstractNumId w:val="47"/>
  </w:num>
  <w:num w:numId="44">
    <w:abstractNumId w:val="30"/>
  </w:num>
  <w:num w:numId="45">
    <w:abstractNumId w:val="0"/>
  </w:num>
  <w:num w:numId="46">
    <w:abstractNumId w:val="5"/>
  </w:num>
  <w:num w:numId="47">
    <w:abstractNumId w:val="36"/>
  </w:num>
  <w:num w:numId="48">
    <w:abstractNumId w:val="28"/>
  </w:num>
  <w:num w:numId="49">
    <w:abstractNumId w:val="14"/>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E3"/>
    <w:rsid w:val="00000B6E"/>
    <w:rsid w:val="000060B5"/>
    <w:rsid w:val="00012EF8"/>
    <w:rsid w:val="00022127"/>
    <w:rsid w:val="00024710"/>
    <w:rsid w:val="00024BAB"/>
    <w:rsid w:val="00025AE2"/>
    <w:rsid w:val="00032AF6"/>
    <w:rsid w:val="00035CBE"/>
    <w:rsid w:val="00035EAD"/>
    <w:rsid w:val="00047FBD"/>
    <w:rsid w:val="00051E51"/>
    <w:rsid w:val="00061E77"/>
    <w:rsid w:val="00062CA6"/>
    <w:rsid w:val="00064F92"/>
    <w:rsid w:val="00067114"/>
    <w:rsid w:val="00067B48"/>
    <w:rsid w:val="0007029C"/>
    <w:rsid w:val="00075D32"/>
    <w:rsid w:val="000813BB"/>
    <w:rsid w:val="00085E3B"/>
    <w:rsid w:val="000A178C"/>
    <w:rsid w:val="000A446D"/>
    <w:rsid w:val="000A68F5"/>
    <w:rsid w:val="000B14EF"/>
    <w:rsid w:val="000B272C"/>
    <w:rsid w:val="000B3C24"/>
    <w:rsid w:val="000C6E64"/>
    <w:rsid w:val="000C7813"/>
    <w:rsid w:val="000E0F1B"/>
    <w:rsid w:val="000E36E0"/>
    <w:rsid w:val="000F059D"/>
    <w:rsid w:val="000F0C07"/>
    <w:rsid w:val="000F2B7E"/>
    <w:rsid w:val="000F3A04"/>
    <w:rsid w:val="000F3A4E"/>
    <w:rsid w:val="0010285E"/>
    <w:rsid w:val="00103225"/>
    <w:rsid w:val="001102EE"/>
    <w:rsid w:val="00112A86"/>
    <w:rsid w:val="00113B90"/>
    <w:rsid w:val="001237C1"/>
    <w:rsid w:val="001256A5"/>
    <w:rsid w:val="00132EEB"/>
    <w:rsid w:val="001331CC"/>
    <w:rsid w:val="0013542A"/>
    <w:rsid w:val="00146C1F"/>
    <w:rsid w:val="00153059"/>
    <w:rsid w:val="00154FCC"/>
    <w:rsid w:val="00156C17"/>
    <w:rsid w:val="00161E02"/>
    <w:rsid w:val="0016369A"/>
    <w:rsid w:val="00167475"/>
    <w:rsid w:val="001732AF"/>
    <w:rsid w:val="0017506E"/>
    <w:rsid w:val="00181C37"/>
    <w:rsid w:val="001902D1"/>
    <w:rsid w:val="00192212"/>
    <w:rsid w:val="00193D71"/>
    <w:rsid w:val="001A079D"/>
    <w:rsid w:val="001A1BCC"/>
    <w:rsid w:val="001A27AF"/>
    <w:rsid w:val="001A3793"/>
    <w:rsid w:val="001A3CF0"/>
    <w:rsid w:val="001A6293"/>
    <w:rsid w:val="001A729F"/>
    <w:rsid w:val="001C7977"/>
    <w:rsid w:val="001D12BA"/>
    <w:rsid w:val="001D203F"/>
    <w:rsid w:val="001D71E7"/>
    <w:rsid w:val="001D7396"/>
    <w:rsid w:val="001D7831"/>
    <w:rsid w:val="001E1A02"/>
    <w:rsid w:val="001E4CEA"/>
    <w:rsid w:val="001E53C9"/>
    <w:rsid w:val="001E5FAF"/>
    <w:rsid w:val="001F2E8A"/>
    <w:rsid w:val="001F5055"/>
    <w:rsid w:val="00203D4D"/>
    <w:rsid w:val="00210040"/>
    <w:rsid w:val="00213DAF"/>
    <w:rsid w:val="00215056"/>
    <w:rsid w:val="00216D37"/>
    <w:rsid w:val="00217970"/>
    <w:rsid w:val="0022210B"/>
    <w:rsid w:val="002328C9"/>
    <w:rsid w:val="002366B2"/>
    <w:rsid w:val="002367DD"/>
    <w:rsid w:val="00244B4C"/>
    <w:rsid w:val="002450B2"/>
    <w:rsid w:val="00245556"/>
    <w:rsid w:val="0025151F"/>
    <w:rsid w:val="00253568"/>
    <w:rsid w:val="002549B5"/>
    <w:rsid w:val="00255150"/>
    <w:rsid w:val="002614D0"/>
    <w:rsid w:val="002701CD"/>
    <w:rsid w:val="00271666"/>
    <w:rsid w:val="002725DC"/>
    <w:rsid w:val="002764F6"/>
    <w:rsid w:val="00287595"/>
    <w:rsid w:val="00291813"/>
    <w:rsid w:val="00292484"/>
    <w:rsid w:val="00292A0F"/>
    <w:rsid w:val="002954A6"/>
    <w:rsid w:val="002A6008"/>
    <w:rsid w:val="002B64A2"/>
    <w:rsid w:val="002D4490"/>
    <w:rsid w:val="002E00D1"/>
    <w:rsid w:val="002E063F"/>
    <w:rsid w:val="002E6889"/>
    <w:rsid w:val="002E7E22"/>
    <w:rsid w:val="002F2E87"/>
    <w:rsid w:val="002F7D00"/>
    <w:rsid w:val="00301B2D"/>
    <w:rsid w:val="0031484B"/>
    <w:rsid w:val="0032160B"/>
    <w:rsid w:val="003251E7"/>
    <w:rsid w:val="00335840"/>
    <w:rsid w:val="0035154C"/>
    <w:rsid w:val="0035522B"/>
    <w:rsid w:val="00355B5D"/>
    <w:rsid w:val="0035736C"/>
    <w:rsid w:val="00362E73"/>
    <w:rsid w:val="0036674D"/>
    <w:rsid w:val="00367902"/>
    <w:rsid w:val="00372A55"/>
    <w:rsid w:val="00376B6E"/>
    <w:rsid w:val="00380282"/>
    <w:rsid w:val="00380379"/>
    <w:rsid w:val="00386195"/>
    <w:rsid w:val="0039188B"/>
    <w:rsid w:val="003A0C87"/>
    <w:rsid w:val="003A18A8"/>
    <w:rsid w:val="003B3CFA"/>
    <w:rsid w:val="003B3D0A"/>
    <w:rsid w:val="003B5501"/>
    <w:rsid w:val="003B5AD5"/>
    <w:rsid w:val="003B7FA0"/>
    <w:rsid w:val="003C0F00"/>
    <w:rsid w:val="003C4B93"/>
    <w:rsid w:val="003D2BE1"/>
    <w:rsid w:val="003E09B8"/>
    <w:rsid w:val="003E15B4"/>
    <w:rsid w:val="003E1708"/>
    <w:rsid w:val="003E30E9"/>
    <w:rsid w:val="003E738D"/>
    <w:rsid w:val="003F5462"/>
    <w:rsid w:val="0040175C"/>
    <w:rsid w:val="00404430"/>
    <w:rsid w:val="0040729C"/>
    <w:rsid w:val="004169C9"/>
    <w:rsid w:val="004171FE"/>
    <w:rsid w:val="00422830"/>
    <w:rsid w:val="00430392"/>
    <w:rsid w:val="004309D4"/>
    <w:rsid w:val="004316F5"/>
    <w:rsid w:val="0043624B"/>
    <w:rsid w:val="00437E1F"/>
    <w:rsid w:val="00445116"/>
    <w:rsid w:val="004466CE"/>
    <w:rsid w:val="00450086"/>
    <w:rsid w:val="00451A96"/>
    <w:rsid w:val="0046383E"/>
    <w:rsid w:val="00467F23"/>
    <w:rsid w:val="00471FF7"/>
    <w:rsid w:val="00472EC1"/>
    <w:rsid w:val="00472FB9"/>
    <w:rsid w:val="00474E41"/>
    <w:rsid w:val="00476164"/>
    <w:rsid w:val="00485C65"/>
    <w:rsid w:val="0049277B"/>
    <w:rsid w:val="00493474"/>
    <w:rsid w:val="0049611A"/>
    <w:rsid w:val="004961CB"/>
    <w:rsid w:val="004A0BD1"/>
    <w:rsid w:val="004A5248"/>
    <w:rsid w:val="004A5634"/>
    <w:rsid w:val="004A62BB"/>
    <w:rsid w:val="004A6733"/>
    <w:rsid w:val="004A6FD3"/>
    <w:rsid w:val="004B7A8D"/>
    <w:rsid w:val="004C756C"/>
    <w:rsid w:val="004D6A29"/>
    <w:rsid w:val="004E0168"/>
    <w:rsid w:val="004E16E0"/>
    <w:rsid w:val="004E2251"/>
    <w:rsid w:val="004E425D"/>
    <w:rsid w:val="004E4F19"/>
    <w:rsid w:val="004F4263"/>
    <w:rsid w:val="004F5290"/>
    <w:rsid w:val="004F738B"/>
    <w:rsid w:val="004F7393"/>
    <w:rsid w:val="005001BB"/>
    <w:rsid w:val="005109E6"/>
    <w:rsid w:val="005137F9"/>
    <w:rsid w:val="00515CB6"/>
    <w:rsid w:val="0051723C"/>
    <w:rsid w:val="005179A6"/>
    <w:rsid w:val="0052300A"/>
    <w:rsid w:val="00523B91"/>
    <w:rsid w:val="00536D13"/>
    <w:rsid w:val="0053706D"/>
    <w:rsid w:val="005379EE"/>
    <w:rsid w:val="00540DBD"/>
    <w:rsid w:val="00541DEF"/>
    <w:rsid w:val="005465F7"/>
    <w:rsid w:val="00547857"/>
    <w:rsid w:val="00547DC4"/>
    <w:rsid w:val="005518D7"/>
    <w:rsid w:val="005522EA"/>
    <w:rsid w:val="005641CF"/>
    <w:rsid w:val="005644E3"/>
    <w:rsid w:val="00574004"/>
    <w:rsid w:val="00580502"/>
    <w:rsid w:val="00580828"/>
    <w:rsid w:val="005844DE"/>
    <w:rsid w:val="00585FD1"/>
    <w:rsid w:val="00597A51"/>
    <w:rsid w:val="005A11CE"/>
    <w:rsid w:val="005A3021"/>
    <w:rsid w:val="005A40ED"/>
    <w:rsid w:val="005A461E"/>
    <w:rsid w:val="005B43E5"/>
    <w:rsid w:val="005B5DA9"/>
    <w:rsid w:val="005B6867"/>
    <w:rsid w:val="005C09BF"/>
    <w:rsid w:val="005C2A3B"/>
    <w:rsid w:val="005D1221"/>
    <w:rsid w:val="005D1D51"/>
    <w:rsid w:val="005D28A8"/>
    <w:rsid w:val="005D29EB"/>
    <w:rsid w:val="005D718C"/>
    <w:rsid w:val="005E7DCD"/>
    <w:rsid w:val="005F1EF6"/>
    <w:rsid w:val="006057DF"/>
    <w:rsid w:val="0060663D"/>
    <w:rsid w:val="00607A23"/>
    <w:rsid w:val="00611662"/>
    <w:rsid w:val="00617D0D"/>
    <w:rsid w:val="00620981"/>
    <w:rsid w:val="006246B8"/>
    <w:rsid w:val="00626AC8"/>
    <w:rsid w:val="00627132"/>
    <w:rsid w:val="00635F83"/>
    <w:rsid w:val="00640C59"/>
    <w:rsid w:val="00650E98"/>
    <w:rsid w:val="00652CC2"/>
    <w:rsid w:val="006573DD"/>
    <w:rsid w:val="00657D20"/>
    <w:rsid w:val="00660660"/>
    <w:rsid w:val="006657B5"/>
    <w:rsid w:val="00671605"/>
    <w:rsid w:val="00672A79"/>
    <w:rsid w:val="00675497"/>
    <w:rsid w:val="00677C08"/>
    <w:rsid w:val="00690E16"/>
    <w:rsid w:val="00691535"/>
    <w:rsid w:val="006972E0"/>
    <w:rsid w:val="006975E7"/>
    <w:rsid w:val="006A04CD"/>
    <w:rsid w:val="006A0644"/>
    <w:rsid w:val="006A3D65"/>
    <w:rsid w:val="006A4A70"/>
    <w:rsid w:val="006A4F1C"/>
    <w:rsid w:val="006B40B5"/>
    <w:rsid w:val="006B612A"/>
    <w:rsid w:val="006B6931"/>
    <w:rsid w:val="006C3828"/>
    <w:rsid w:val="006C4565"/>
    <w:rsid w:val="006C61FC"/>
    <w:rsid w:val="006C7AF2"/>
    <w:rsid w:val="006D09CE"/>
    <w:rsid w:val="006D247A"/>
    <w:rsid w:val="006D2DF2"/>
    <w:rsid w:val="006D5474"/>
    <w:rsid w:val="006D742F"/>
    <w:rsid w:val="006E1D67"/>
    <w:rsid w:val="006E1EC5"/>
    <w:rsid w:val="006F414E"/>
    <w:rsid w:val="006F5088"/>
    <w:rsid w:val="007019D0"/>
    <w:rsid w:val="00701EB6"/>
    <w:rsid w:val="00704558"/>
    <w:rsid w:val="00705748"/>
    <w:rsid w:val="00712B1D"/>
    <w:rsid w:val="007136FF"/>
    <w:rsid w:val="007168F4"/>
    <w:rsid w:val="007242E8"/>
    <w:rsid w:val="00730E00"/>
    <w:rsid w:val="00731A22"/>
    <w:rsid w:val="00734331"/>
    <w:rsid w:val="0073569D"/>
    <w:rsid w:val="00740305"/>
    <w:rsid w:val="00742570"/>
    <w:rsid w:val="00743BA3"/>
    <w:rsid w:val="00752AF3"/>
    <w:rsid w:val="007563BD"/>
    <w:rsid w:val="007579E6"/>
    <w:rsid w:val="00765483"/>
    <w:rsid w:val="00767AB2"/>
    <w:rsid w:val="00767BF1"/>
    <w:rsid w:val="007732A4"/>
    <w:rsid w:val="00773F92"/>
    <w:rsid w:val="00774696"/>
    <w:rsid w:val="00780075"/>
    <w:rsid w:val="00780704"/>
    <w:rsid w:val="00785D49"/>
    <w:rsid w:val="00786FD4"/>
    <w:rsid w:val="0079126A"/>
    <w:rsid w:val="007A0CF2"/>
    <w:rsid w:val="007A15DE"/>
    <w:rsid w:val="007A27BB"/>
    <w:rsid w:val="007A2AEF"/>
    <w:rsid w:val="007A389C"/>
    <w:rsid w:val="007A3F60"/>
    <w:rsid w:val="007A471C"/>
    <w:rsid w:val="007A48D3"/>
    <w:rsid w:val="007A7CC9"/>
    <w:rsid w:val="007B0F69"/>
    <w:rsid w:val="007B1C36"/>
    <w:rsid w:val="007C7B68"/>
    <w:rsid w:val="007D153D"/>
    <w:rsid w:val="007D303E"/>
    <w:rsid w:val="007D4BB0"/>
    <w:rsid w:val="007D5094"/>
    <w:rsid w:val="007D734B"/>
    <w:rsid w:val="007D7434"/>
    <w:rsid w:val="007E2384"/>
    <w:rsid w:val="007E2F99"/>
    <w:rsid w:val="007E7C4A"/>
    <w:rsid w:val="007F03A5"/>
    <w:rsid w:val="007F74A8"/>
    <w:rsid w:val="0080263C"/>
    <w:rsid w:val="00802FC4"/>
    <w:rsid w:val="0080638C"/>
    <w:rsid w:val="008127DC"/>
    <w:rsid w:val="00814725"/>
    <w:rsid w:val="00815BB5"/>
    <w:rsid w:val="0082209C"/>
    <w:rsid w:val="0082354E"/>
    <w:rsid w:val="008261ED"/>
    <w:rsid w:val="008268E3"/>
    <w:rsid w:val="0083272D"/>
    <w:rsid w:val="0083284F"/>
    <w:rsid w:val="00841D36"/>
    <w:rsid w:val="00843C32"/>
    <w:rsid w:val="00851745"/>
    <w:rsid w:val="00860C25"/>
    <w:rsid w:val="0086697D"/>
    <w:rsid w:val="00870E9B"/>
    <w:rsid w:val="008713C8"/>
    <w:rsid w:val="00871D1B"/>
    <w:rsid w:val="0087309D"/>
    <w:rsid w:val="00875A5E"/>
    <w:rsid w:val="00881A84"/>
    <w:rsid w:val="00884BFD"/>
    <w:rsid w:val="008902B8"/>
    <w:rsid w:val="008920F0"/>
    <w:rsid w:val="008A11F2"/>
    <w:rsid w:val="008A24E6"/>
    <w:rsid w:val="008A29F6"/>
    <w:rsid w:val="008A3792"/>
    <w:rsid w:val="008A75A4"/>
    <w:rsid w:val="008B08CC"/>
    <w:rsid w:val="008B12D6"/>
    <w:rsid w:val="008B37A4"/>
    <w:rsid w:val="008C0378"/>
    <w:rsid w:val="008C1AA7"/>
    <w:rsid w:val="008C4078"/>
    <w:rsid w:val="008C5EA2"/>
    <w:rsid w:val="008C6C5A"/>
    <w:rsid w:val="008D3516"/>
    <w:rsid w:val="008D4C9D"/>
    <w:rsid w:val="008D7DE0"/>
    <w:rsid w:val="008E61B9"/>
    <w:rsid w:val="008E61D0"/>
    <w:rsid w:val="008F1711"/>
    <w:rsid w:val="0090163B"/>
    <w:rsid w:val="00902E0B"/>
    <w:rsid w:val="00905436"/>
    <w:rsid w:val="00907201"/>
    <w:rsid w:val="009149F7"/>
    <w:rsid w:val="0091600F"/>
    <w:rsid w:val="0091657E"/>
    <w:rsid w:val="00921140"/>
    <w:rsid w:val="00925550"/>
    <w:rsid w:val="00926278"/>
    <w:rsid w:val="009275B7"/>
    <w:rsid w:val="00930804"/>
    <w:rsid w:val="00932205"/>
    <w:rsid w:val="009347C8"/>
    <w:rsid w:val="00936B35"/>
    <w:rsid w:val="0094464B"/>
    <w:rsid w:val="00951875"/>
    <w:rsid w:val="00960985"/>
    <w:rsid w:val="00971860"/>
    <w:rsid w:val="0098231E"/>
    <w:rsid w:val="0098261F"/>
    <w:rsid w:val="0098310C"/>
    <w:rsid w:val="00984D13"/>
    <w:rsid w:val="00984DDD"/>
    <w:rsid w:val="00985CD7"/>
    <w:rsid w:val="00986BC5"/>
    <w:rsid w:val="00991386"/>
    <w:rsid w:val="00991616"/>
    <w:rsid w:val="00993BC1"/>
    <w:rsid w:val="00994812"/>
    <w:rsid w:val="009969A8"/>
    <w:rsid w:val="00997BD1"/>
    <w:rsid w:val="009A1D71"/>
    <w:rsid w:val="009B33B1"/>
    <w:rsid w:val="009C09FB"/>
    <w:rsid w:val="009C3191"/>
    <w:rsid w:val="009C38A3"/>
    <w:rsid w:val="009D0471"/>
    <w:rsid w:val="009D1EC4"/>
    <w:rsid w:val="009D50FF"/>
    <w:rsid w:val="009E3002"/>
    <w:rsid w:val="009E42E7"/>
    <w:rsid w:val="009E487D"/>
    <w:rsid w:val="009E6485"/>
    <w:rsid w:val="009E7192"/>
    <w:rsid w:val="009F276B"/>
    <w:rsid w:val="009F2ED1"/>
    <w:rsid w:val="009F3F29"/>
    <w:rsid w:val="009F6CD2"/>
    <w:rsid w:val="00A00DA9"/>
    <w:rsid w:val="00A011C5"/>
    <w:rsid w:val="00A03FB0"/>
    <w:rsid w:val="00A064ED"/>
    <w:rsid w:val="00A12E89"/>
    <w:rsid w:val="00A13F97"/>
    <w:rsid w:val="00A23C32"/>
    <w:rsid w:val="00A3001A"/>
    <w:rsid w:val="00A35ED5"/>
    <w:rsid w:val="00A36539"/>
    <w:rsid w:val="00A3693B"/>
    <w:rsid w:val="00A430B5"/>
    <w:rsid w:val="00A510C0"/>
    <w:rsid w:val="00A53A0F"/>
    <w:rsid w:val="00A53E7D"/>
    <w:rsid w:val="00A60F49"/>
    <w:rsid w:val="00A60FC0"/>
    <w:rsid w:val="00A667A1"/>
    <w:rsid w:val="00A7084D"/>
    <w:rsid w:val="00A734CA"/>
    <w:rsid w:val="00A7532B"/>
    <w:rsid w:val="00A80F7C"/>
    <w:rsid w:val="00A82A48"/>
    <w:rsid w:val="00A90C48"/>
    <w:rsid w:val="00A96CBC"/>
    <w:rsid w:val="00AA1E5D"/>
    <w:rsid w:val="00AA4546"/>
    <w:rsid w:val="00AB065E"/>
    <w:rsid w:val="00AB4F24"/>
    <w:rsid w:val="00AB55A8"/>
    <w:rsid w:val="00AB633F"/>
    <w:rsid w:val="00AC008E"/>
    <w:rsid w:val="00AC148A"/>
    <w:rsid w:val="00AC4212"/>
    <w:rsid w:val="00AC4980"/>
    <w:rsid w:val="00AC54E4"/>
    <w:rsid w:val="00AC569D"/>
    <w:rsid w:val="00AC5CBC"/>
    <w:rsid w:val="00AC6887"/>
    <w:rsid w:val="00AD0BA4"/>
    <w:rsid w:val="00AE05F2"/>
    <w:rsid w:val="00AE1F30"/>
    <w:rsid w:val="00AE680C"/>
    <w:rsid w:val="00AF0E03"/>
    <w:rsid w:val="00AF77E1"/>
    <w:rsid w:val="00B01227"/>
    <w:rsid w:val="00B02F09"/>
    <w:rsid w:val="00B03B08"/>
    <w:rsid w:val="00B059F3"/>
    <w:rsid w:val="00B066F4"/>
    <w:rsid w:val="00B12729"/>
    <w:rsid w:val="00B156E3"/>
    <w:rsid w:val="00B16732"/>
    <w:rsid w:val="00B17CF9"/>
    <w:rsid w:val="00B23D04"/>
    <w:rsid w:val="00B30737"/>
    <w:rsid w:val="00B44E18"/>
    <w:rsid w:val="00B51D51"/>
    <w:rsid w:val="00B57DFA"/>
    <w:rsid w:val="00B616CC"/>
    <w:rsid w:val="00B7494D"/>
    <w:rsid w:val="00B767CB"/>
    <w:rsid w:val="00B90446"/>
    <w:rsid w:val="00B963DF"/>
    <w:rsid w:val="00BA0F2D"/>
    <w:rsid w:val="00BA3931"/>
    <w:rsid w:val="00BB3C12"/>
    <w:rsid w:val="00BB664E"/>
    <w:rsid w:val="00BC0B83"/>
    <w:rsid w:val="00BC43F6"/>
    <w:rsid w:val="00BC7CEC"/>
    <w:rsid w:val="00BD310A"/>
    <w:rsid w:val="00BD613C"/>
    <w:rsid w:val="00BD7329"/>
    <w:rsid w:val="00BE4543"/>
    <w:rsid w:val="00BE6281"/>
    <w:rsid w:val="00BE7FE5"/>
    <w:rsid w:val="00BF14EC"/>
    <w:rsid w:val="00BF4924"/>
    <w:rsid w:val="00C033D6"/>
    <w:rsid w:val="00C10EBD"/>
    <w:rsid w:val="00C11906"/>
    <w:rsid w:val="00C13AA2"/>
    <w:rsid w:val="00C1468C"/>
    <w:rsid w:val="00C15A64"/>
    <w:rsid w:val="00C165DC"/>
    <w:rsid w:val="00C2260A"/>
    <w:rsid w:val="00C2655A"/>
    <w:rsid w:val="00C266CA"/>
    <w:rsid w:val="00C26E0B"/>
    <w:rsid w:val="00C26FC0"/>
    <w:rsid w:val="00C277E1"/>
    <w:rsid w:val="00C40194"/>
    <w:rsid w:val="00C4171A"/>
    <w:rsid w:val="00C435B5"/>
    <w:rsid w:val="00C62032"/>
    <w:rsid w:val="00C623C5"/>
    <w:rsid w:val="00C6673D"/>
    <w:rsid w:val="00C66E27"/>
    <w:rsid w:val="00C71C8A"/>
    <w:rsid w:val="00C74E2E"/>
    <w:rsid w:val="00C80A1A"/>
    <w:rsid w:val="00C80ED8"/>
    <w:rsid w:val="00C817E6"/>
    <w:rsid w:val="00C82E86"/>
    <w:rsid w:val="00C90351"/>
    <w:rsid w:val="00C926E4"/>
    <w:rsid w:val="00C96E24"/>
    <w:rsid w:val="00CA1613"/>
    <w:rsid w:val="00CA542A"/>
    <w:rsid w:val="00CB013F"/>
    <w:rsid w:val="00CB78ED"/>
    <w:rsid w:val="00CB7D8C"/>
    <w:rsid w:val="00CC2D89"/>
    <w:rsid w:val="00CC4F4D"/>
    <w:rsid w:val="00CE3181"/>
    <w:rsid w:val="00CE4DDC"/>
    <w:rsid w:val="00CE626C"/>
    <w:rsid w:val="00CF023B"/>
    <w:rsid w:val="00CF0383"/>
    <w:rsid w:val="00CF17EB"/>
    <w:rsid w:val="00CF6E9A"/>
    <w:rsid w:val="00D05FAA"/>
    <w:rsid w:val="00D1685F"/>
    <w:rsid w:val="00D24645"/>
    <w:rsid w:val="00D25513"/>
    <w:rsid w:val="00D305B1"/>
    <w:rsid w:val="00D32171"/>
    <w:rsid w:val="00D321B5"/>
    <w:rsid w:val="00D3289F"/>
    <w:rsid w:val="00D35356"/>
    <w:rsid w:val="00D36D94"/>
    <w:rsid w:val="00D404CC"/>
    <w:rsid w:val="00D43EFA"/>
    <w:rsid w:val="00D50FB8"/>
    <w:rsid w:val="00D52165"/>
    <w:rsid w:val="00D52609"/>
    <w:rsid w:val="00D5274E"/>
    <w:rsid w:val="00D54E9F"/>
    <w:rsid w:val="00D5644E"/>
    <w:rsid w:val="00D573FB"/>
    <w:rsid w:val="00D57ABB"/>
    <w:rsid w:val="00D6260C"/>
    <w:rsid w:val="00D65D29"/>
    <w:rsid w:val="00D7683D"/>
    <w:rsid w:val="00D80D82"/>
    <w:rsid w:val="00D857B5"/>
    <w:rsid w:val="00D91A60"/>
    <w:rsid w:val="00D9766C"/>
    <w:rsid w:val="00DA594B"/>
    <w:rsid w:val="00DB11C3"/>
    <w:rsid w:val="00DB2411"/>
    <w:rsid w:val="00DB4B9E"/>
    <w:rsid w:val="00DB5421"/>
    <w:rsid w:val="00DB739D"/>
    <w:rsid w:val="00DB79D8"/>
    <w:rsid w:val="00DD656E"/>
    <w:rsid w:val="00DD6B2B"/>
    <w:rsid w:val="00DD7A6D"/>
    <w:rsid w:val="00DE40B3"/>
    <w:rsid w:val="00DE6A75"/>
    <w:rsid w:val="00DF16D8"/>
    <w:rsid w:val="00DF2C14"/>
    <w:rsid w:val="00DF33FD"/>
    <w:rsid w:val="00DF5783"/>
    <w:rsid w:val="00DF5ADF"/>
    <w:rsid w:val="00DF72E7"/>
    <w:rsid w:val="00E076E2"/>
    <w:rsid w:val="00E31FA5"/>
    <w:rsid w:val="00E37EBF"/>
    <w:rsid w:val="00E405DA"/>
    <w:rsid w:val="00E437D6"/>
    <w:rsid w:val="00E43BED"/>
    <w:rsid w:val="00E461D4"/>
    <w:rsid w:val="00E47715"/>
    <w:rsid w:val="00E51E15"/>
    <w:rsid w:val="00E5436A"/>
    <w:rsid w:val="00E5639C"/>
    <w:rsid w:val="00E56666"/>
    <w:rsid w:val="00E64702"/>
    <w:rsid w:val="00E65F43"/>
    <w:rsid w:val="00E71517"/>
    <w:rsid w:val="00E74264"/>
    <w:rsid w:val="00E80F7E"/>
    <w:rsid w:val="00E81B2D"/>
    <w:rsid w:val="00E86376"/>
    <w:rsid w:val="00E87AAF"/>
    <w:rsid w:val="00E91289"/>
    <w:rsid w:val="00EA2B15"/>
    <w:rsid w:val="00EA6155"/>
    <w:rsid w:val="00EB07CF"/>
    <w:rsid w:val="00EB07FE"/>
    <w:rsid w:val="00EB105F"/>
    <w:rsid w:val="00EB2AA6"/>
    <w:rsid w:val="00EB468E"/>
    <w:rsid w:val="00EC183F"/>
    <w:rsid w:val="00EC4700"/>
    <w:rsid w:val="00EC6C9A"/>
    <w:rsid w:val="00ED4A43"/>
    <w:rsid w:val="00ED6BE7"/>
    <w:rsid w:val="00ED71EB"/>
    <w:rsid w:val="00ED7923"/>
    <w:rsid w:val="00EE7FC3"/>
    <w:rsid w:val="00EF0F40"/>
    <w:rsid w:val="00EF2A00"/>
    <w:rsid w:val="00F076DF"/>
    <w:rsid w:val="00F10FEE"/>
    <w:rsid w:val="00F11A17"/>
    <w:rsid w:val="00F12ACC"/>
    <w:rsid w:val="00F1398F"/>
    <w:rsid w:val="00F2116D"/>
    <w:rsid w:val="00F24EB0"/>
    <w:rsid w:val="00F254A1"/>
    <w:rsid w:val="00F2616D"/>
    <w:rsid w:val="00F26271"/>
    <w:rsid w:val="00F31EC9"/>
    <w:rsid w:val="00F350CF"/>
    <w:rsid w:val="00F542CD"/>
    <w:rsid w:val="00F559CD"/>
    <w:rsid w:val="00F6488A"/>
    <w:rsid w:val="00F66739"/>
    <w:rsid w:val="00F74E79"/>
    <w:rsid w:val="00F81ADA"/>
    <w:rsid w:val="00F85970"/>
    <w:rsid w:val="00F87057"/>
    <w:rsid w:val="00F92011"/>
    <w:rsid w:val="00F93F79"/>
    <w:rsid w:val="00F95531"/>
    <w:rsid w:val="00F9722E"/>
    <w:rsid w:val="00F97CAC"/>
    <w:rsid w:val="00F97E37"/>
    <w:rsid w:val="00FA2ADF"/>
    <w:rsid w:val="00FA2F81"/>
    <w:rsid w:val="00FA686D"/>
    <w:rsid w:val="00FB3ADD"/>
    <w:rsid w:val="00FB4D43"/>
    <w:rsid w:val="00FC0571"/>
    <w:rsid w:val="00FC16EC"/>
    <w:rsid w:val="00FC172F"/>
    <w:rsid w:val="00FC3435"/>
    <w:rsid w:val="00FC6116"/>
    <w:rsid w:val="00FD7C71"/>
    <w:rsid w:val="00FE068A"/>
    <w:rsid w:val="00FF1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3E9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1289"/>
    <w:rPr>
      <w:sz w:val="24"/>
    </w:rPr>
  </w:style>
  <w:style w:type="paragraph" w:styleId="Heading1">
    <w:name w:val="heading 1"/>
    <w:basedOn w:val="Normal"/>
    <w:next w:val="Normal"/>
    <w:link w:val="Heading1Char"/>
    <w:uiPriority w:val="9"/>
    <w:qFormat/>
    <w:rsid w:val="005808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7977"/>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Heading2"/>
    <w:next w:val="Normal"/>
    <w:link w:val="Heading3Char"/>
    <w:uiPriority w:val="9"/>
    <w:unhideWhenUsed/>
    <w:qFormat/>
    <w:rsid w:val="00A82A48"/>
    <w:pPr>
      <w:outlineLvl w:val="2"/>
    </w:pPr>
    <w:rPr>
      <w:i/>
      <w:iCs/>
    </w:rPr>
  </w:style>
  <w:style w:type="paragraph" w:styleId="Heading4">
    <w:name w:val="heading 4"/>
    <w:basedOn w:val="Heading2"/>
    <w:next w:val="Normal"/>
    <w:link w:val="Heading4Char"/>
    <w:uiPriority w:val="9"/>
    <w:unhideWhenUsed/>
    <w:qFormat/>
    <w:rsid w:val="00A82A48"/>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Para,Bulletr List Paragraph,FooterText,List Paragraph1,List Paragraph2,List Paragraph21,Listeafsnit1,NFP GP Bulleted List,Paragraphe de liste1,Parágrafo da Lista1,Párrafo de lista1,Recommendation,numbered,列出段落,列出段落1,Bullet List"/>
    <w:basedOn w:val="Normal"/>
    <w:link w:val="ListParagraphChar"/>
    <w:uiPriority w:val="34"/>
    <w:qFormat/>
    <w:rsid w:val="00FC16EC"/>
    <w:pPr>
      <w:ind w:left="720"/>
      <w:contextualSpacing/>
    </w:pPr>
  </w:style>
  <w:style w:type="paragraph" w:styleId="Header">
    <w:name w:val="header"/>
    <w:basedOn w:val="Normal"/>
    <w:link w:val="HeaderChar"/>
    <w:uiPriority w:val="99"/>
    <w:unhideWhenUsed/>
    <w:rsid w:val="008A3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92"/>
  </w:style>
  <w:style w:type="paragraph" w:styleId="Footer">
    <w:name w:val="footer"/>
    <w:basedOn w:val="Normal"/>
    <w:link w:val="FooterChar"/>
    <w:uiPriority w:val="99"/>
    <w:unhideWhenUsed/>
    <w:rsid w:val="008A3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92"/>
  </w:style>
  <w:style w:type="character" w:customStyle="1" w:styleId="Heading2Char">
    <w:name w:val="Heading 2 Char"/>
    <w:basedOn w:val="DefaultParagraphFont"/>
    <w:link w:val="Heading2"/>
    <w:uiPriority w:val="9"/>
    <w:rsid w:val="001C7977"/>
    <w:rPr>
      <w:rFonts w:asciiTheme="majorHAnsi" w:eastAsiaTheme="majorEastAsia" w:hAnsiTheme="majorHAnsi" w:cstheme="majorBidi"/>
      <w:b/>
      <w:color w:val="2F5496" w:themeColor="accent1" w:themeShade="BF"/>
      <w:sz w:val="26"/>
      <w:szCs w:val="26"/>
    </w:rPr>
  </w:style>
  <w:style w:type="paragraph" w:styleId="Revision">
    <w:name w:val="Revision"/>
    <w:hidden/>
    <w:uiPriority w:val="99"/>
    <w:semiHidden/>
    <w:rsid w:val="00A7532B"/>
    <w:pPr>
      <w:spacing w:after="0" w:line="240" w:lineRule="auto"/>
    </w:pPr>
  </w:style>
  <w:style w:type="character" w:customStyle="1" w:styleId="Heading1Char">
    <w:name w:val="Heading 1 Char"/>
    <w:basedOn w:val="DefaultParagraphFont"/>
    <w:link w:val="Heading1"/>
    <w:uiPriority w:val="9"/>
    <w:rsid w:val="0058082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91289"/>
    <w:rPr>
      <w:b/>
      <w:bCs/>
    </w:rPr>
  </w:style>
  <w:style w:type="paragraph" w:customStyle="1" w:styleId="TableText">
    <w:name w:val="Table Text"/>
    <w:basedOn w:val="Normal"/>
    <w:link w:val="TableTextChar"/>
    <w:uiPriority w:val="13"/>
    <w:qFormat/>
    <w:rsid w:val="00E91289"/>
    <w:pPr>
      <w:spacing w:before="60" w:after="60" w:line="240" w:lineRule="auto"/>
    </w:pPr>
    <w:rPr>
      <w:rFonts w:ascii="Cambria" w:eastAsia="Calibri" w:hAnsi="Cambria" w:cs="Times New Roman"/>
      <w:b/>
      <w:sz w:val="18"/>
    </w:rPr>
  </w:style>
  <w:style w:type="paragraph" w:customStyle="1" w:styleId="TableHeading">
    <w:name w:val="Table Heading"/>
    <w:basedOn w:val="TableText"/>
    <w:uiPriority w:val="14"/>
    <w:qFormat/>
    <w:rsid w:val="00E91289"/>
    <w:pPr>
      <w:keepNext/>
    </w:pPr>
    <w:rPr>
      <w:b w:val="0"/>
    </w:rPr>
  </w:style>
  <w:style w:type="character" w:customStyle="1" w:styleId="TableTextChar">
    <w:name w:val="Table Text Char"/>
    <w:basedOn w:val="DefaultParagraphFont"/>
    <w:link w:val="TableText"/>
    <w:uiPriority w:val="13"/>
    <w:rsid w:val="00E91289"/>
    <w:rPr>
      <w:rFonts w:ascii="Cambria" w:eastAsia="Calibri" w:hAnsi="Cambria" w:cs="Times New Roman"/>
      <w:sz w:val="18"/>
    </w:rPr>
  </w:style>
  <w:style w:type="character" w:customStyle="1" w:styleId="Heading4Char">
    <w:name w:val="Heading 4 Char"/>
    <w:basedOn w:val="DefaultParagraphFont"/>
    <w:link w:val="Heading4"/>
    <w:uiPriority w:val="9"/>
    <w:rsid w:val="00A82A48"/>
    <w:rPr>
      <w:rFonts w:asciiTheme="majorHAnsi" w:eastAsiaTheme="majorEastAsia" w:hAnsiTheme="majorHAnsi" w:cstheme="majorBidi"/>
      <w:b/>
      <w:color w:val="2F5496" w:themeColor="accent1" w:themeShade="BF"/>
      <w:sz w:val="26"/>
      <w:szCs w:val="26"/>
    </w:rPr>
  </w:style>
  <w:style w:type="character" w:customStyle="1" w:styleId="ListParagraphChar">
    <w:name w:val="List Paragraph Char"/>
    <w:aliases w:val="Bulleted Para Char,Bulletr List Paragraph Char,FooterText Char,List Paragraph1 Char,List Paragraph2 Char,List Paragraph21 Char,Listeafsnit1 Char,NFP GP Bulleted List Char,Paragraphe de liste1 Char,Parágrafo da Lista1 Char,列出段落 Char"/>
    <w:basedOn w:val="DefaultParagraphFont"/>
    <w:link w:val="ListParagraph"/>
    <w:uiPriority w:val="34"/>
    <w:locked/>
    <w:rsid w:val="00386195"/>
    <w:rPr>
      <w:sz w:val="24"/>
    </w:rPr>
  </w:style>
  <w:style w:type="paragraph" w:styleId="FootnoteText">
    <w:name w:val="footnote text"/>
    <w:basedOn w:val="Normal"/>
    <w:link w:val="FootnoteTextChar"/>
    <w:uiPriority w:val="99"/>
    <w:semiHidden/>
    <w:unhideWhenUsed/>
    <w:rsid w:val="00626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AC8"/>
    <w:rPr>
      <w:sz w:val="20"/>
      <w:szCs w:val="20"/>
    </w:rPr>
  </w:style>
  <w:style w:type="character" w:styleId="FootnoteReference">
    <w:name w:val="footnote reference"/>
    <w:basedOn w:val="DefaultParagraphFont"/>
    <w:uiPriority w:val="99"/>
    <w:semiHidden/>
    <w:unhideWhenUsed/>
    <w:rsid w:val="00626AC8"/>
    <w:rPr>
      <w:vertAlign w:val="superscript"/>
    </w:rPr>
  </w:style>
  <w:style w:type="character" w:customStyle="1" w:styleId="Heading3Char">
    <w:name w:val="Heading 3 Char"/>
    <w:basedOn w:val="DefaultParagraphFont"/>
    <w:link w:val="Heading3"/>
    <w:uiPriority w:val="9"/>
    <w:rsid w:val="00A82A48"/>
    <w:rPr>
      <w:rFonts w:asciiTheme="majorHAnsi" w:eastAsiaTheme="majorEastAsia" w:hAnsiTheme="majorHAnsi" w:cstheme="majorBidi"/>
      <w:b/>
      <w:i/>
      <w:iCs/>
      <w:color w:val="2F5496" w:themeColor="accent1" w:themeShade="BF"/>
      <w:sz w:val="26"/>
      <w:szCs w:val="26"/>
    </w:rPr>
  </w:style>
  <w:style w:type="character" w:styleId="CommentReference">
    <w:name w:val="annotation reference"/>
    <w:basedOn w:val="DefaultParagraphFont"/>
    <w:uiPriority w:val="99"/>
    <w:semiHidden/>
    <w:unhideWhenUsed/>
    <w:rsid w:val="007D7434"/>
    <w:rPr>
      <w:sz w:val="16"/>
      <w:szCs w:val="16"/>
    </w:rPr>
  </w:style>
  <w:style w:type="paragraph" w:styleId="CommentText">
    <w:name w:val="annotation text"/>
    <w:basedOn w:val="Normal"/>
    <w:link w:val="CommentTextChar"/>
    <w:uiPriority w:val="99"/>
    <w:unhideWhenUsed/>
    <w:rsid w:val="007D7434"/>
    <w:pPr>
      <w:spacing w:line="240" w:lineRule="auto"/>
    </w:pPr>
    <w:rPr>
      <w:sz w:val="20"/>
      <w:szCs w:val="20"/>
    </w:rPr>
  </w:style>
  <w:style w:type="character" w:customStyle="1" w:styleId="CommentTextChar">
    <w:name w:val="Comment Text Char"/>
    <w:basedOn w:val="DefaultParagraphFont"/>
    <w:link w:val="CommentText"/>
    <w:uiPriority w:val="99"/>
    <w:rsid w:val="007D7434"/>
    <w:rPr>
      <w:sz w:val="20"/>
      <w:szCs w:val="20"/>
    </w:rPr>
  </w:style>
  <w:style w:type="paragraph" w:styleId="CommentSubject">
    <w:name w:val="annotation subject"/>
    <w:basedOn w:val="CommentText"/>
    <w:next w:val="CommentText"/>
    <w:link w:val="CommentSubjectChar"/>
    <w:uiPriority w:val="99"/>
    <w:semiHidden/>
    <w:unhideWhenUsed/>
    <w:rsid w:val="007D7434"/>
    <w:rPr>
      <w:b/>
      <w:bCs/>
    </w:rPr>
  </w:style>
  <w:style w:type="character" w:customStyle="1" w:styleId="CommentSubjectChar">
    <w:name w:val="Comment Subject Char"/>
    <w:basedOn w:val="CommentTextChar"/>
    <w:link w:val="CommentSubject"/>
    <w:uiPriority w:val="99"/>
    <w:semiHidden/>
    <w:rsid w:val="007D7434"/>
    <w:rPr>
      <w:b/>
      <w:bCs/>
      <w:sz w:val="20"/>
      <w:szCs w:val="20"/>
    </w:rPr>
  </w:style>
  <w:style w:type="paragraph" w:styleId="BalloonText">
    <w:name w:val="Balloon Text"/>
    <w:basedOn w:val="Normal"/>
    <w:link w:val="BalloonTextChar"/>
    <w:uiPriority w:val="99"/>
    <w:semiHidden/>
    <w:unhideWhenUsed/>
    <w:rsid w:val="00B059F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59F3"/>
    <w:rPr>
      <w:rFonts w:ascii="Times New Roman" w:hAnsi="Times New Roman" w:cs="Times New Roman"/>
      <w:sz w:val="18"/>
      <w:szCs w:val="18"/>
    </w:rPr>
  </w:style>
  <w:style w:type="character" w:styleId="Hyperlink">
    <w:name w:val="Hyperlink"/>
    <w:basedOn w:val="DefaultParagraphFont"/>
    <w:uiPriority w:val="99"/>
    <w:unhideWhenUsed/>
    <w:rsid w:val="006C7AF2"/>
    <w:rPr>
      <w:color w:val="0563C1" w:themeColor="hyperlink"/>
      <w:u w:val="single"/>
    </w:rPr>
  </w:style>
  <w:style w:type="character" w:styleId="UnresolvedMention">
    <w:name w:val="Unresolved Mention"/>
    <w:basedOn w:val="DefaultParagraphFont"/>
    <w:uiPriority w:val="99"/>
    <w:rsid w:val="006C7AF2"/>
    <w:rPr>
      <w:color w:val="605E5C"/>
      <w:shd w:val="clear" w:color="auto" w:fill="E1DFDD"/>
    </w:rPr>
  </w:style>
  <w:style w:type="character" w:styleId="FollowedHyperlink">
    <w:name w:val="FollowedHyperlink"/>
    <w:basedOn w:val="DefaultParagraphFont"/>
    <w:uiPriority w:val="99"/>
    <w:semiHidden/>
    <w:unhideWhenUsed/>
    <w:rsid w:val="00E87AAF"/>
    <w:rPr>
      <w:color w:val="954F72" w:themeColor="followedHyperlink"/>
      <w:u w:val="single"/>
    </w:rPr>
  </w:style>
  <w:style w:type="character" w:customStyle="1" w:styleId="field">
    <w:name w:val="field"/>
    <w:basedOn w:val="DefaultParagraphFont"/>
    <w:rsid w:val="00870E9B"/>
  </w:style>
  <w:style w:type="character" w:styleId="PageNumber">
    <w:name w:val="page number"/>
    <w:basedOn w:val="DefaultParagraphFont"/>
    <w:uiPriority w:val="99"/>
    <w:semiHidden/>
    <w:unhideWhenUsed/>
    <w:rsid w:val="00701EB6"/>
  </w:style>
  <w:style w:type="paragraph" w:styleId="Title">
    <w:name w:val="Title"/>
    <w:basedOn w:val="Normal"/>
    <w:next w:val="Normal"/>
    <w:link w:val="TitleChar"/>
    <w:uiPriority w:val="10"/>
    <w:qFormat/>
    <w:rsid w:val="009446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64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45116"/>
    <w:pPr>
      <w:outlineLvl w:val="9"/>
    </w:pPr>
    <w:rPr>
      <w:lang w:val="en-US"/>
    </w:rPr>
  </w:style>
  <w:style w:type="paragraph" w:styleId="TOC1">
    <w:name w:val="toc 1"/>
    <w:basedOn w:val="Normal"/>
    <w:next w:val="Normal"/>
    <w:autoRedefine/>
    <w:uiPriority w:val="39"/>
    <w:unhideWhenUsed/>
    <w:rsid w:val="00445116"/>
    <w:pPr>
      <w:spacing w:after="100"/>
    </w:pPr>
  </w:style>
  <w:style w:type="paragraph" w:styleId="TOC2">
    <w:name w:val="toc 2"/>
    <w:basedOn w:val="Normal"/>
    <w:next w:val="Normal"/>
    <w:autoRedefine/>
    <w:uiPriority w:val="39"/>
    <w:unhideWhenUsed/>
    <w:rsid w:val="00445116"/>
    <w:pPr>
      <w:spacing w:after="100"/>
      <w:ind w:left="240"/>
    </w:pPr>
  </w:style>
  <w:style w:type="paragraph" w:styleId="TOC3">
    <w:name w:val="toc 3"/>
    <w:basedOn w:val="Normal"/>
    <w:next w:val="Normal"/>
    <w:autoRedefine/>
    <w:uiPriority w:val="39"/>
    <w:unhideWhenUsed/>
    <w:rsid w:val="0098231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13470">
      <w:bodyDiv w:val="1"/>
      <w:marLeft w:val="0"/>
      <w:marRight w:val="0"/>
      <w:marTop w:val="0"/>
      <w:marBottom w:val="0"/>
      <w:divBdr>
        <w:top w:val="none" w:sz="0" w:space="0" w:color="auto"/>
        <w:left w:val="none" w:sz="0" w:space="0" w:color="auto"/>
        <w:bottom w:val="none" w:sz="0" w:space="0" w:color="auto"/>
        <w:right w:val="none" w:sz="0" w:space="0" w:color="auto"/>
      </w:divBdr>
    </w:div>
    <w:div w:id="880945140">
      <w:bodyDiv w:val="1"/>
      <w:marLeft w:val="0"/>
      <w:marRight w:val="0"/>
      <w:marTop w:val="0"/>
      <w:marBottom w:val="0"/>
      <w:divBdr>
        <w:top w:val="none" w:sz="0" w:space="0" w:color="auto"/>
        <w:left w:val="none" w:sz="0" w:space="0" w:color="auto"/>
        <w:bottom w:val="none" w:sz="0" w:space="0" w:color="auto"/>
        <w:right w:val="none" w:sz="0" w:space="0" w:color="auto"/>
      </w:divBdr>
    </w:div>
    <w:div w:id="1324118988">
      <w:bodyDiv w:val="1"/>
      <w:marLeft w:val="0"/>
      <w:marRight w:val="0"/>
      <w:marTop w:val="0"/>
      <w:marBottom w:val="0"/>
      <w:divBdr>
        <w:top w:val="none" w:sz="0" w:space="0" w:color="auto"/>
        <w:left w:val="none" w:sz="0" w:space="0" w:color="auto"/>
        <w:bottom w:val="none" w:sz="0" w:space="0" w:color="auto"/>
        <w:right w:val="none" w:sz="0" w:space="0" w:color="auto"/>
      </w:divBdr>
      <w:divsChild>
        <w:div w:id="1232037326">
          <w:marLeft w:val="0"/>
          <w:marRight w:val="0"/>
          <w:marTop w:val="0"/>
          <w:marBottom w:val="0"/>
          <w:divBdr>
            <w:top w:val="none" w:sz="0" w:space="0" w:color="auto"/>
            <w:left w:val="none" w:sz="0" w:space="0" w:color="auto"/>
            <w:bottom w:val="none" w:sz="0" w:space="0" w:color="auto"/>
            <w:right w:val="none" w:sz="0" w:space="0" w:color="auto"/>
          </w:divBdr>
        </w:div>
        <w:div w:id="818495471">
          <w:marLeft w:val="0"/>
          <w:marRight w:val="0"/>
          <w:marTop w:val="0"/>
          <w:marBottom w:val="0"/>
          <w:divBdr>
            <w:top w:val="none" w:sz="0" w:space="0" w:color="auto"/>
            <w:left w:val="none" w:sz="0" w:space="0" w:color="auto"/>
            <w:bottom w:val="none" w:sz="0" w:space="0" w:color="auto"/>
            <w:right w:val="none" w:sz="0" w:space="0" w:color="auto"/>
          </w:divBdr>
        </w:div>
      </w:divsChild>
    </w:div>
    <w:div w:id="211389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F0C7-731D-B14F-B126-3F08D755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8578</Words>
  <Characters>48899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The Review of biosecurity risks of prawns imported from all countries for human consumption, September 2020</vt:lpstr>
    </vt:vector>
  </TitlesOfParts>
  <Company/>
  <LinksUpToDate>false</LinksUpToDate>
  <CharactersWithSpaces>57363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Review of biosecurity risks of prawns imported from all countries for human consumption, September 2020</dc:title>
  <dc:subject/>
  <dc:creator/>
  <cp:keywords/>
  <dc:description/>
  <cp:lastModifiedBy/>
  <cp:revision>1</cp:revision>
  <dcterms:created xsi:type="dcterms:W3CDTF">2021-05-20T05:24:00Z</dcterms:created>
  <dcterms:modified xsi:type="dcterms:W3CDTF">2021-05-24T03:23:00Z</dcterms:modified>
</cp:coreProperties>
</file>