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8AD46" w14:textId="2AAEFBAB" w:rsidR="000E455C" w:rsidRDefault="00172619" w:rsidP="0013173D">
      <w:pPr>
        <w:pStyle w:val="Date"/>
        <w:spacing w:before="1440"/>
      </w:pPr>
      <w:r>
        <w:t>January</w:t>
      </w:r>
      <w:r w:rsidR="0044304D">
        <w:t xml:space="preserve"> </w:t>
      </w:r>
      <w:r w:rsidR="00B82095">
        <w:t>20</w:t>
      </w:r>
      <w:r w:rsidR="0044304D">
        <w:t>2</w:t>
      </w:r>
      <w:r w:rsidR="00441CB1">
        <w:t>6</w:t>
      </w:r>
    </w:p>
    <w:p w14:paraId="32088C53" w14:textId="57E542C8" w:rsidR="00B82095" w:rsidRDefault="00230344" w:rsidP="0099431F">
      <w:pPr>
        <w:pStyle w:val="Heading1"/>
      </w:pPr>
      <w:r>
        <w:t xml:space="preserve">Export </w:t>
      </w:r>
      <w:r w:rsidR="003D624E">
        <w:t>a</w:t>
      </w:r>
      <w:r>
        <w:t xml:space="preserve">ssurance </w:t>
      </w:r>
      <w:r w:rsidR="003D624E">
        <w:t>r</w:t>
      </w:r>
      <w:r>
        <w:t>eform for non-prescribed goods</w:t>
      </w:r>
    </w:p>
    <w:p w14:paraId="71B6135F" w14:textId="5EDFAF9A" w:rsidR="00921503" w:rsidRDefault="00921503" w:rsidP="0041573A">
      <w:r w:rsidRPr="00921503">
        <w:t xml:space="preserve">The </w:t>
      </w:r>
      <w:r w:rsidR="00046B1C">
        <w:t xml:space="preserve">Australian </w:t>
      </w:r>
      <w:r w:rsidRPr="00921503">
        <w:t>Government is committing $21 million to implement reforms to establish appropriate export regulatory and cost recovery arrangements for non-prescribed goods</w:t>
      </w:r>
      <w:r w:rsidR="004A0CFB">
        <w:t xml:space="preserve"> (NPGs)</w:t>
      </w:r>
      <w:r w:rsidR="00BD50FE">
        <w:t>,</w:t>
      </w:r>
      <w:r w:rsidRPr="00921503">
        <w:t xml:space="preserve"> </w:t>
      </w:r>
      <w:r w:rsidR="001F319B">
        <w:t>which</w:t>
      </w:r>
      <w:r w:rsidRPr="00921503">
        <w:t xml:space="preserve"> are worth an estimated $11 billion in exports</w:t>
      </w:r>
      <w:r w:rsidR="0054425A">
        <w:t xml:space="preserve"> per year</w:t>
      </w:r>
      <w:r w:rsidRPr="00921503">
        <w:t>.</w:t>
      </w:r>
      <w:r w:rsidR="0008426A">
        <w:t xml:space="preserve"> </w:t>
      </w:r>
      <w:r w:rsidR="004A0CFB">
        <w:t>NPGs include products such as honey,</w:t>
      </w:r>
      <w:r w:rsidR="004A0CFB" w:rsidRPr="00921503">
        <w:t xml:space="preserve"> wool, skins and hides</w:t>
      </w:r>
      <w:r w:rsidR="004A0CFB">
        <w:t>.</w:t>
      </w:r>
    </w:p>
    <w:p w14:paraId="6093EF3F" w14:textId="466084E8" w:rsidR="00A35F02" w:rsidRDefault="00A35F02" w:rsidP="0041573A">
      <w:r>
        <w:t>This funding will enable:</w:t>
      </w:r>
    </w:p>
    <w:p w14:paraId="179EF868" w14:textId="7FD78993" w:rsidR="00A35F02" w:rsidRDefault="0008426A" w:rsidP="00191BC2">
      <w:pPr>
        <w:pStyle w:val="ListBullet"/>
      </w:pPr>
      <w:r>
        <w:t xml:space="preserve">the delivery of </w:t>
      </w:r>
      <w:r w:rsidR="001F319B">
        <w:t>a</w:t>
      </w:r>
      <w:r w:rsidR="00A35F02">
        <w:t xml:space="preserve"> General Products </w:t>
      </w:r>
      <w:r>
        <w:t>R</w:t>
      </w:r>
      <w:r w:rsidR="00A35F02">
        <w:t xml:space="preserve">ule to bring commodities currently classified as non-prescribed into the framework of the </w:t>
      </w:r>
      <w:r w:rsidR="00A35F02" w:rsidRPr="00BE3F40">
        <w:rPr>
          <w:rStyle w:val="Emphasis"/>
        </w:rPr>
        <w:t>Export Control Act</w:t>
      </w:r>
      <w:r w:rsidRPr="00BE3F40">
        <w:rPr>
          <w:rStyle w:val="Emphasis"/>
        </w:rPr>
        <w:t xml:space="preserve"> 2020</w:t>
      </w:r>
    </w:p>
    <w:p w14:paraId="3408BB31" w14:textId="1EC3DB7F" w:rsidR="00A35F02" w:rsidRDefault="001F319B" w:rsidP="00191BC2">
      <w:pPr>
        <w:pStyle w:val="ListBullet"/>
      </w:pPr>
      <w:r>
        <w:t>e</w:t>
      </w:r>
      <w:r w:rsidR="00002777">
        <w:t>nhanced</w:t>
      </w:r>
      <w:r w:rsidR="00A35F02" w:rsidRPr="00A35F02">
        <w:t xml:space="preserve"> digital systems, including NEXDOC permit setup and licensing forms</w:t>
      </w:r>
    </w:p>
    <w:p w14:paraId="6E90E879" w14:textId="53E2B82D" w:rsidR="00A35F02" w:rsidRDefault="001F319B" w:rsidP="00191BC2">
      <w:pPr>
        <w:pStyle w:val="ListBullet"/>
      </w:pPr>
      <w:r>
        <w:t>e</w:t>
      </w:r>
      <w:r w:rsidR="00A35F02">
        <w:t>ngagement with industry to build understanding and capability to engage with new regulatory systems</w:t>
      </w:r>
    </w:p>
    <w:p w14:paraId="4AC6B008" w14:textId="0AC5CFAE" w:rsidR="00A35F02" w:rsidRDefault="001F319B" w:rsidP="00191BC2">
      <w:pPr>
        <w:pStyle w:val="ListBullet"/>
      </w:pPr>
      <w:r>
        <w:t>s</w:t>
      </w:r>
      <w:r w:rsidR="00A35F02">
        <w:t>upplementation of the gap between revenue and costs whil</w:t>
      </w:r>
      <w:r w:rsidR="0008426A">
        <w:t>e</w:t>
      </w:r>
      <w:r w:rsidR="00A35F02">
        <w:t xml:space="preserve"> new cost recovery arrangements are implemented.</w:t>
      </w:r>
    </w:p>
    <w:p w14:paraId="0CFC198F" w14:textId="2B1C9718" w:rsidR="0041573A" w:rsidRDefault="00ED201F" w:rsidP="0041573A">
      <w:r>
        <w:t>We will phase c</w:t>
      </w:r>
      <w:r w:rsidR="00A35F02">
        <w:t xml:space="preserve">ommodities </w:t>
      </w:r>
      <w:r w:rsidR="001A6DDB">
        <w:t>into the reform over</w:t>
      </w:r>
      <w:r w:rsidR="00A35F02">
        <w:t xml:space="preserve"> the next </w:t>
      </w:r>
      <w:r w:rsidR="00002777">
        <w:t>3</w:t>
      </w:r>
      <w:r w:rsidR="00A35F02">
        <w:t xml:space="preserve"> years.</w:t>
      </w:r>
      <w:r w:rsidR="00131A90">
        <w:t xml:space="preserve"> </w:t>
      </w:r>
      <w:r w:rsidR="007726B3" w:rsidRPr="007726B3">
        <w:t xml:space="preserve">The reform aims to ensure that Australia’s export system can continue to provide the levels and types of </w:t>
      </w:r>
      <w:r w:rsidR="0008426A">
        <w:t xml:space="preserve">ongoing </w:t>
      </w:r>
      <w:r w:rsidR="007726B3" w:rsidRPr="007726B3">
        <w:t>assurance required by importing countries.</w:t>
      </w:r>
    </w:p>
    <w:p w14:paraId="3E6D286A" w14:textId="05AA846D" w:rsidR="0041573A" w:rsidRDefault="00191BC2" w:rsidP="0041573A">
      <w:pPr>
        <w:pStyle w:val="Heading2"/>
      </w:pPr>
      <w:bookmarkStart w:id="0" w:name="_Hlk215654676"/>
      <w:r>
        <w:t>The need for reform</w:t>
      </w:r>
    </w:p>
    <w:p w14:paraId="3E853AB5" w14:textId="763BD0B7" w:rsidR="005948C9" w:rsidRDefault="0008426A" w:rsidP="005948C9">
      <w:pPr>
        <w:rPr>
          <w:lang w:eastAsia="ja-JP"/>
        </w:rPr>
      </w:pPr>
      <w:r>
        <w:rPr>
          <w:lang w:eastAsia="ja-JP"/>
        </w:rPr>
        <w:t xml:space="preserve">To accommodate the growing success of our export industries, new products and changing risks, </w:t>
      </w:r>
      <w:r w:rsidR="005948C9">
        <w:rPr>
          <w:lang w:eastAsia="ja-JP"/>
        </w:rPr>
        <w:t>Australia needs export assurance systems and processes that are efficient, fit for purpose and flexible</w:t>
      </w:r>
      <w:r w:rsidR="002943DA">
        <w:rPr>
          <w:lang w:eastAsia="ja-JP"/>
        </w:rPr>
        <w:t xml:space="preserve">. </w:t>
      </w:r>
      <w:r w:rsidR="005948C9">
        <w:rPr>
          <w:lang w:eastAsia="ja-JP"/>
        </w:rPr>
        <w:t>Th</w:t>
      </w:r>
      <w:r>
        <w:rPr>
          <w:lang w:eastAsia="ja-JP"/>
        </w:rPr>
        <w:t>ree</w:t>
      </w:r>
      <w:r w:rsidR="005948C9">
        <w:rPr>
          <w:lang w:eastAsia="ja-JP"/>
        </w:rPr>
        <w:t xml:space="preserve"> main factors </w:t>
      </w:r>
      <w:r>
        <w:rPr>
          <w:lang w:eastAsia="ja-JP"/>
        </w:rPr>
        <w:t xml:space="preserve">are </w:t>
      </w:r>
      <w:r w:rsidR="005948C9">
        <w:rPr>
          <w:lang w:eastAsia="ja-JP"/>
        </w:rPr>
        <w:t>driving the need for reform:</w:t>
      </w:r>
    </w:p>
    <w:p w14:paraId="182A059A" w14:textId="2548040D" w:rsidR="005948C9" w:rsidRDefault="005948C9" w:rsidP="002943DA">
      <w:pPr>
        <w:pStyle w:val="ListNumber"/>
        <w:rPr>
          <w:lang w:eastAsia="ja-JP"/>
        </w:rPr>
      </w:pPr>
      <w:r w:rsidRPr="00E70077">
        <w:rPr>
          <w:rStyle w:val="Strong"/>
        </w:rPr>
        <w:t>Importing countries require more assurances</w:t>
      </w:r>
      <w:r>
        <w:rPr>
          <w:lang w:eastAsia="ja-JP"/>
        </w:rPr>
        <w:t xml:space="preserve"> – Australian exporters operate within a landscape of ever-changing importing country requirements</w:t>
      </w:r>
      <w:r w:rsidR="0008426A">
        <w:rPr>
          <w:lang w:eastAsia="ja-JP"/>
        </w:rPr>
        <w:t xml:space="preserve"> that</w:t>
      </w:r>
      <w:r>
        <w:rPr>
          <w:lang w:eastAsia="ja-JP"/>
        </w:rPr>
        <w:t xml:space="preserve"> are increasing in number and complexity. For certain NPGs, importing countries now expect a higher level of government oversight than our export legislation requires. This trend is expected to continue.</w:t>
      </w:r>
    </w:p>
    <w:p w14:paraId="1F25A23D" w14:textId="1579FFB6" w:rsidR="005948C9" w:rsidRDefault="005948C9" w:rsidP="002943DA">
      <w:pPr>
        <w:pStyle w:val="ListNumber"/>
        <w:rPr>
          <w:lang w:eastAsia="ja-JP"/>
        </w:rPr>
      </w:pPr>
      <w:r w:rsidRPr="00E70077">
        <w:rPr>
          <w:rStyle w:val="Strong"/>
        </w:rPr>
        <w:t>Cost recovery is not appropriately attributed to where the costs originate</w:t>
      </w:r>
      <w:r>
        <w:rPr>
          <w:lang w:eastAsia="ja-JP"/>
        </w:rPr>
        <w:t xml:space="preserve"> </w:t>
      </w:r>
      <w:r w:rsidR="0026528E">
        <w:rPr>
          <w:lang w:eastAsia="ja-JP"/>
        </w:rPr>
        <w:t>–</w:t>
      </w:r>
      <w:r>
        <w:rPr>
          <w:lang w:eastAsia="ja-JP"/>
        </w:rPr>
        <w:t xml:space="preserve"> </w:t>
      </w:r>
      <w:r w:rsidR="007653A0">
        <w:rPr>
          <w:lang w:eastAsia="ja-JP"/>
        </w:rPr>
        <w:t>Under t</w:t>
      </w:r>
      <w:r>
        <w:rPr>
          <w:lang w:eastAsia="ja-JP"/>
        </w:rPr>
        <w:t>he current legislative framework</w:t>
      </w:r>
      <w:r w:rsidR="007653A0">
        <w:rPr>
          <w:lang w:eastAsia="ja-JP"/>
        </w:rPr>
        <w:t>, an export certificate is</w:t>
      </w:r>
      <w:r>
        <w:rPr>
          <w:lang w:eastAsia="ja-JP"/>
        </w:rPr>
        <w:t xml:space="preserve"> </w:t>
      </w:r>
      <w:proofErr w:type="spellStart"/>
      <w:r w:rsidR="003D41E7">
        <w:rPr>
          <w:lang w:eastAsia="ja-JP"/>
        </w:rPr>
        <w:t>c</w:t>
      </w:r>
      <w:r w:rsidR="00890CAD">
        <w:rPr>
          <w:lang w:eastAsia="ja-JP"/>
        </w:rPr>
        <w:t>the</w:t>
      </w:r>
      <w:proofErr w:type="spellEnd"/>
      <w:r>
        <w:rPr>
          <w:lang w:eastAsia="ja-JP"/>
        </w:rPr>
        <w:t xml:space="preserve"> single charge point. </w:t>
      </w:r>
      <w:r w:rsidR="00890CAD">
        <w:rPr>
          <w:lang w:eastAsia="ja-JP"/>
        </w:rPr>
        <w:t>This</w:t>
      </w:r>
      <w:r>
        <w:rPr>
          <w:lang w:eastAsia="ja-JP"/>
        </w:rPr>
        <w:t xml:space="preserve"> does not reflect the time and cost to the department of undertaking administrative activities and providing services to assure trading partners. This single charge point also imposes the full cost of the assurance system onto the applicant for a certificate, rather than charging at points throughout the supply chain for services provided.</w:t>
      </w:r>
    </w:p>
    <w:p w14:paraId="01CDC7F8" w14:textId="780FE902" w:rsidR="005948C9" w:rsidRDefault="005948C9" w:rsidP="002943DA">
      <w:pPr>
        <w:pStyle w:val="ListNumber"/>
        <w:rPr>
          <w:lang w:eastAsia="ja-JP"/>
        </w:rPr>
      </w:pPr>
      <w:r w:rsidRPr="00E70077">
        <w:rPr>
          <w:rStyle w:val="Strong"/>
        </w:rPr>
        <w:t>Unsustainable administrative processes</w:t>
      </w:r>
      <w:r>
        <w:rPr>
          <w:lang w:eastAsia="ja-JP"/>
        </w:rPr>
        <w:t xml:space="preserve"> </w:t>
      </w:r>
      <w:r w:rsidR="0026528E">
        <w:rPr>
          <w:lang w:eastAsia="ja-JP"/>
        </w:rPr>
        <w:t>–</w:t>
      </w:r>
      <w:r>
        <w:rPr>
          <w:lang w:eastAsia="ja-JP"/>
        </w:rPr>
        <w:t xml:space="preserve"> The process used for exporting NPG</w:t>
      </w:r>
      <w:r w:rsidR="0008426A">
        <w:rPr>
          <w:lang w:eastAsia="ja-JP"/>
        </w:rPr>
        <w:t>s</w:t>
      </w:r>
      <w:r>
        <w:rPr>
          <w:lang w:eastAsia="ja-JP"/>
        </w:rPr>
        <w:t xml:space="preserve"> has become complicated and unsustainable alongside the growth of NPG industries. Reform is needed to put a new system in place that can handle the size of NPG industries and the importing country requirements.</w:t>
      </w:r>
    </w:p>
    <w:p w14:paraId="103F903B" w14:textId="156AEBDD" w:rsidR="007610EB" w:rsidRDefault="005948C9" w:rsidP="005948C9">
      <w:pPr>
        <w:rPr>
          <w:lang w:eastAsia="ja-JP"/>
        </w:rPr>
      </w:pPr>
      <w:r>
        <w:rPr>
          <w:lang w:eastAsia="ja-JP"/>
        </w:rPr>
        <w:lastRenderedPageBreak/>
        <w:t xml:space="preserve">The regulatory powers that will enable the required reforms of the NPG export sector are available to the department under the Export Control Act. If we prescribe the export of goods currently described as NPGs, we gain access to </w:t>
      </w:r>
      <w:r w:rsidR="00852A66">
        <w:rPr>
          <w:lang w:eastAsia="ja-JP"/>
        </w:rPr>
        <w:t>those regulatory powers</w:t>
      </w:r>
      <w:r>
        <w:rPr>
          <w:lang w:eastAsia="ja-JP"/>
        </w:rPr>
        <w:t xml:space="preserve"> </w:t>
      </w:r>
      <w:r w:rsidR="000C536E">
        <w:rPr>
          <w:lang w:eastAsia="ja-JP"/>
        </w:rPr>
        <w:t xml:space="preserve">and </w:t>
      </w:r>
      <w:r>
        <w:rPr>
          <w:lang w:eastAsia="ja-JP"/>
        </w:rPr>
        <w:t>tools and can continue meeting importing country requirements in a modern and flexible way.</w:t>
      </w:r>
    </w:p>
    <w:p w14:paraId="20445DCD" w14:textId="08664424" w:rsidR="00764A7A" w:rsidRDefault="00764A7A" w:rsidP="006556F4">
      <w:pPr>
        <w:pStyle w:val="Heading2"/>
      </w:pPr>
      <w:bookmarkStart w:id="1" w:name="_Hlk213852298"/>
      <w:r>
        <w:t>Benefits for exporters</w:t>
      </w:r>
    </w:p>
    <w:p w14:paraId="6F2E54F7" w14:textId="41E733C2" w:rsidR="00134A3E" w:rsidRDefault="00B41B3C" w:rsidP="00134A3E">
      <w:pPr>
        <w:keepNext/>
      </w:pPr>
      <w:r w:rsidRPr="00B41B3C">
        <w:t xml:space="preserve">Australian agricultural exporters will benefit from the reform </w:t>
      </w:r>
      <w:r w:rsidR="0008426A">
        <w:t>through</w:t>
      </w:r>
      <w:r w:rsidRPr="00B41B3C">
        <w:t>:</w:t>
      </w:r>
    </w:p>
    <w:p w14:paraId="2DA7A865" w14:textId="5D985606" w:rsidR="00134A3E" w:rsidRDefault="000C536E" w:rsidP="00764A7A">
      <w:pPr>
        <w:pStyle w:val="ListBullet"/>
        <w:ind w:left="454" w:hanging="454"/>
        <w:rPr>
          <w:lang w:eastAsia="ja-JP"/>
        </w:rPr>
      </w:pPr>
      <w:r>
        <w:rPr>
          <w:lang w:eastAsia="ja-JP"/>
        </w:rPr>
        <w:t>i</w:t>
      </w:r>
      <w:r w:rsidR="00134A3E">
        <w:rPr>
          <w:lang w:eastAsia="ja-JP"/>
        </w:rPr>
        <w:t>mproved and simplified processes for exporters</w:t>
      </w:r>
    </w:p>
    <w:p w14:paraId="13F3EB35" w14:textId="2ED7589B" w:rsidR="00134A3E" w:rsidRDefault="000C536E" w:rsidP="00764A7A">
      <w:pPr>
        <w:pStyle w:val="ListBullet"/>
        <w:ind w:left="454" w:hanging="454"/>
        <w:rPr>
          <w:lang w:eastAsia="ja-JP"/>
        </w:rPr>
      </w:pPr>
      <w:r>
        <w:rPr>
          <w:lang w:eastAsia="ja-JP"/>
        </w:rPr>
        <w:t>i</w:t>
      </w:r>
      <w:r w:rsidR="00134A3E">
        <w:rPr>
          <w:lang w:eastAsia="ja-JP"/>
        </w:rPr>
        <w:t xml:space="preserve">ncreased visibility and control (where necessary) of </w:t>
      </w:r>
      <w:r w:rsidR="00B01886">
        <w:rPr>
          <w:lang w:eastAsia="ja-JP"/>
        </w:rPr>
        <w:t xml:space="preserve">which </w:t>
      </w:r>
      <w:r w:rsidR="00134A3E">
        <w:rPr>
          <w:lang w:eastAsia="ja-JP"/>
        </w:rPr>
        <w:t>goods are being exported to which destinations and by which exporter</w:t>
      </w:r>
      <w:r w:rsidR="00B01886">
        <w:rPr>
          <w:lang w:eastAsia="ja-JP"/>
        </w:rPr>
        <w:t>s</w:t>
      </w:r>
    </w:p>
    <w:p w14:paraId="0F9312CB" w14:textId="1FB7C1CB" w:rsidR="00134A3E" w:rsidRDefault="00D32EB3" w:rsidP="00764A7A">
      <w:pPr>
        <w:pStyle w:val="ListBullet"/>
        <w:ind w:left="454" w:hanging="454"/>
        <w:rPr>
          <w:lang w:eastAsia="ja-JP"/>
        </w:rPr>
      </w:pPr>
      <w:r>
        <w:rPr>
          <w:lang w:eastAsia="ja-JP"/>
        </w:rPr>
        <w:t>appropriate</w:t>
      </w:r>
      <w:r w:rsidR="005A1C71">
        <w:rPr>
          <w:lang w:eastAsia="ja-JP"/>
        </w:rPr>
        <w:t xml:space="preserve"> </w:t>
      </w:r>
      <w:r w:rsidR="00C03B86">
        <w:rPr>
          <w:lang w:eastAsia="ja-JP"/>
        </w:rPr>
        <w:t>cost recover</w:t>
      </w:r>
      <w:r>
        <w:rPr>
          <w:lang w:eastAsia="ja-JP"/>
        </w:rPr>
        <w:t>y for</w:t>
      </w:r>
      <w:r w:rsidR="00134A3E">
        <w:rPr>
          <w:lang w:eastAsia="ja-JP"/>
        </w:rPr>
        <w:t xml:space="preserve"> the services </w:t>
      </w:r>
      <w:r w:rsidR="00B01886">
        <w:rPr>
          <w:lang w:eastAsia="ja-JP"/>
        </w:rPr>
        <w:t>we</w:t>
      </w:r>
      <w:r>
        <w:rPr>
          <w:lang w:eastAsia="ja-JP"/>
        </w:rPr>
        <w:t xml:space="preserve"> </w:t>
      </w:r>
      <w:r w:rsidR="00134A3E">
        <w:rPr>
          <w:lang w:eastAsia="ja-JP"/>
        </w:rPr>
        <w:t xml:space="preserve">provide, allocating costs equitably to </w:t>
      </w:r>
      <w:r w:rsidR="00DB68B1">
        <w:rPr>
          <w:lang w:eastAsia="ja-JP"/>
        </w:rPr>
        <w:t>exporters</w:t>
      </w:r>
      <w:r w:rsidR="00134A3E">
        <w:rPr>
          <w:lang w:eastAsia="ja-JP"/>
        </w:rPr>
        <w:t xml:space="preserve"> </w:t>
      </w:r>
      <w:r w:rsidR="00B01886">
        <w:rPr>
          <w:lang w:eastAsia="ja-JP"/>
        </w:rPr>
        <w:t xml:space="preserve">who </w:t>
      </w:r>
      <w:r w:rsidR="00134A3E">
        <w:rPr>
          <w:lang w:eastAsia="ja-JP"/>
        </w:rPr>
        <w:t>receive services</w:t>
      </w:r>
    </w:p>
    <w:p w14:paraId="1844B49D" w14:textId="49947162" w:rsidR="00134A3E" w:rsidRDefault="00134A3E" w:rsidP="00764A7A">
      <w:pPr>
        <w:pStyle w:val="ListBullet"/>
        <w:ind w:left="454" w:hanging="454"/>
        <w:rPr>
          <w:lang w:eastAsia="ja-JP"/>
        </w:rPr>
      </w:pPr>
      <w:r>
        <w:rPr>
          <w:lang w:eastAsia="ja-JP"/>
        </w:rPr>
        <w:t>a clear approach to making decisions and providing assurance for our exports</w:t>
      </w:r>
    </w:p>
    <w:p w14:paraId="1ED1ADB9" w14:textId="67924177" w:rsidR="00134A3E" w:rsidRDefault="00B01886" w:rsidP="00764A7A">
      <w:pPr>
        <w:pStyle w:val="ListBullet"/>
        <w:ind w:left="454" w:hanging="454"/>
        <w:rPr>
          <w:lang w:eastAsia="ja-JP"/>
        </w:rPr>
      </w:pPr>
      <w:r>
        <w:rPr>
          <w:lang w:eastAsia="ja-JP"/>
        </w:rPr>
        <w:t xml:space="preserve">a flexible system that can adapt to </w:t>
      </w:r>
      <w:r w:rsidR="00134A3E">
        <w:rPr>
          <w:lang w:eastAsia="ja-JP"/>
        </w:rPr>
        <w:t>changes in importing country requirements</w:t>
      </w:r>
    </w:p>
    <w:p w14:paraId="6D025F02" w14:textId="70E65F53" w:rsidR="00134A3E" w:rsidRDefault="00134A3E" w:rsidP="00764A7A">
      <w:pPr>
        <w:pStyle w:val="ListBullet"/>
        <w:ind w:left="454" w:hanging="454"/>
        <w:rPr>
          <w:lang w:eastAsia="ja-JP"/>
        </w:rPr>
      </w:pPr>
      <w:r>
        <w:rPr>
          <w:lang w:eastAsia="ja-JP"/>
        </w:rPr>
        <w:t>appropriate, consistent and transparent management of export risks</w:t>
      </w:r>
    </w:p>
    <w:p w14:paraId="0F03B08A" w14:textId="50EDDEFB" w:rsidR="00134A3E" w:rsidRDefault="00134A3E" w:rsidP="00764A7A">
      <w:pPr>
        <w:pStyle w:val="ListBullet"/>
        <w:ind w:left="454" w:hanging="454"/>
        <w:rPr>
          <w:lang w:eastAsia="ja-JP"/>
        </w:rPr>
      </w:pPr>
      <w:r>
        <w:rPr>
          <w:lang w:eastAsia="ja-JP"/>
        </w:rPr>
        <w:t>continued trust in Australia’s export</w:t>
      </w:r>
      <w:r w:rsidR="00B01886">
        <w:rPr>
          <w:lang w:eastAsia="ja-JP"/>
        </w:rPr>
        <w:t xml:space="preserve"> system</w:t>
      </w:r>
      <w:r>
        <w:rPr>
          <w:lang w:eastAsia="ja-JP"/>
        </w:rPr>
        <w:t xml:space="preserve">, </w:t>
      </w:r>
      <w:r w:rsidR="00B01886">
        <w:rPr>
          <w:lang w:eastAsia="ja-JP"/>
        </w:rPr>
        <w:t>the department as an</w:t>
      </w:r>
      <w:r>
        <w:rPr>
          <w:lang w:eastAsia="ja-JP"/>
        </w:rPr>
        <w:t xml:space="preserve"> export regulator, and our status as a world-leading trading partner.</w:t>
      </w:r>
    </w:p>
    <w:p w14:paraId="7AD91C5E" w14:textId="50902BEF" w:rsidR="00A82923" w:rsidRPr="00A82923" w:rsidRDefault="003570D7" w:rsidP="00BE3F40">
      <w:pPr>
        <w:rPr>
          <w:lang w:eastAsia="ja-JP"/>
        </w:rPr>
      </w:pPr>
      <w:r>
        <w:rPr>
          <w:lang w:eastAsia="ja-JP"/>
        </w:rPr>
        <w:t>We are</w:t>
      </w:r>
      <w:r w:rsidR="00A82923" w:rsidRPr="00A82923">
        <w:rPr>
          <w:lang w:eastAsia="ja-JP"/>
        </w:rPr>
        <w:t xml:space="preserve"> laying the foundations to implement these reforms. This includes development of a new General Products Rule under the Export Control Act that will prescribe products within scope and set the legal framework for these systems.</w:t>
      </w:r>
    </w:p>
    <w:p w14:paraId="76223A41" w14:textId="45F2471E" w:rsidR="00A82923" w:rsidRPr="00A82923" w:rsidRDefault="00CC3854" w:rsidP="00BE3F40">
      <w:pPr>
        <w:rPr>
          <w:lang w:eastAsia="ja-JP"/>
        </w:rPr>
      </w:pPr>
      <w:r>
        <w:rPr>
          <w:lang w:eastAsia="ja-JP"/>
        </w:rPr>
        <w:t>We</w:t>
      </w:r>
      <w:r w:rsidR="00A82923" w:rsidRPr="00A82923">
        <w:rPr>
          <w:lang w:eastAsia="ja-JP"/>
        </w:rPr>
        <w:t xml:space="preserve"> will keep industries updated as this work progresses in 2026, with the aim to commence a phased implementation from early 2027.</w:t>
      </w:r>
    </w:p>
    <w:bookmarkEnd w:id="0"/>
    <w:bookmarkEnd w:id="1"/>
    <w:p w14:paraId="0C898D4F" w14:textId="77777777" w:rsidR="00B82095" w:rsidRPr="0080517C" w:rsidRDefault="000913B5" w:rsidP="00755B17">
      <w:pPr>
        <w:pStyle w:val="Heading2"/>
      </w:pPr>
      <w:r>
        <w:t>More</w:t>
      </w:r>
      <w:r w:rsidR="00B82095" w:rsidRPr="0080517C">
        <w:t xml:space="preserve"> information</w:t>
      </w:r>
    </w:p>
    <w:p w14:paraId="13FED04A" w14:textId="4FD9359A" w:rsidR="000E7803" w:rsidRPr="00017ACB" w:rsidRDefault="000E7803" w:rsidP="00B82095">
      <w:pPr>
        <w:rPr>
          <w:lang w:eastAsia="ja-JP"/>
        </w:rPr>
      </w:pPr>
      <w:r>
        <w:rPr>
          <w:lang w:eastAsia="ja-JP"/>
        </w:rPr>
        <w:t xml:space="preserve">Learn more about </w:t>
      </w:r>
      <w:hyperlink r:id="rId11" w:history="1">
        <w:r w:rsidR="004C7E2F" w:rsidRPr="0008426A">
          <w:rPr>
            <w:rStyle w:val="Hyperlink"/>
            <w:lang w:eastAsia="ja-JP"/>
          </w:rPr>
          <w:t>Export Assurance Reform</w:t>
        </w:r>
        <w:r w:rsidR="0008426A" w:rsidRPr="0008426A">
          <w:rPr>
            <w:rStyle w:val="Hyperlink"/>
          </w:rPr>
          <w:t xml:space="preserve"> for non-prescribed goods</w:t>
        </w:r>
      </w:hyperlink>
      <w:r w:rsidRPr="00017ACB">
        <w:rPr>
          <w:lang w:eastAsia="ja-JP"/>
        </w:rPr>
        <w:t>.</w:t>
      </w:r>
    </w:p>
    <w:p w14:paraId="31897064" w14:textId="17BC461F" w:rsidR="000E7803" w:rsidRPr="00017ACB" w:rsidRDefault="000E7803" w:rsidP="000E7803">
      <w:pPr>
        <w:rPr>
          <w:rStyle w:val="Hyperlink"/>
          <w:lang w:eastAsia="ja-JP"/>
        </w:rPr>
      </w:pPr>
      <w:r w:rsidRPr="00017ACB">
        <w:rPr>
          <w:lang w:eastAsia="ja-JP"/>
        </w:rPr>
        <w:t xml:space="preserve">Web </w:t>
      </w:r>
      <w:hyperlink r:id="rId12" w:history="1">
        <w:r w:rsidR="00F900F8" w:rsidRPr="004C7E2F">
          <w:rPr>
            <w:rStyle w:val="Hyperlink"/>
            <w:lang w:eastAsia="ja-JP"/>
          </w:rPr>
          <w:t>agriculture.gov.au/biosecurity-trade/export/controlled-goods/non-prescribed-goods/export-assurance-reform</w:t>
        </w:r>
      </w:hyperlink>
    </w:p>
    <w:p w14:paraId="00A96713" w14:textId="55DF39F8" w:rsidR="00B82095" w:rsidRDefault="00B82095" w:rsidP="000E7803">
      <w:pPr>
        <w:spacing w:after="360"/>
        <w:rPr>
          <w:lang w:eastAsia="ja-JP"/>
        </w:rPr>
      </w:pPr>
      <w:r w:rsidRPr="00017ACB">
        <w:rPr>
          <w:lang w:eastAsia="ja-JP"/>
        </w:rPr>
        <w:t xml:space="preserve">Email </w:t>
      </w:r>
      <w:hyperlink r:id="rId13" w:history="1">
        <w:r w:rsidR="00C17780" w:rsidRPr="003920BB">
          <w:rPr>
            <w:rStyle w:val="Hyperlink"/>
            <w:lang w:eastAsia="ja-JP"/>
          </w:rPr>
          <w:t>NPGReform@aff.gov.au</w:t>
        </w:r>
      </w:hyperlink>
    </w:p>
    <w:p w14:paraId="7DE406F6" w14:textId="77777777" w:rsidR="000A5BA0" w:rsidRDefault="000A5BA0" w:rsidP="00441CB1">
      <w:pPr>
        <w:pStyle w:val="Normalsmall"/>
        <w:spacing w:after="0"/>
      </w:pPr>
      <w:r>
        <w:rPr>
          <w:rStyle w:val="Strong"/>
        </w:rPr>
        <w:t>Acknowledgement of Country</w:t>
      </w:r>
    </w:p>
    <w:p w14:paraId="2FEBFB03"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0B0979D6" w14:textId="77777777" w:rsidR="00E9781D" w:rsidRDefault="00E9781D" w:rsidP="00E9781D">
      <w:pPr>
        <w:pStyle w:val="Normalsmall"/>
        <w:spacing w:before="360"/>
      </w:pPr>
      <w:r>
        <w:t>© Commonwealth of Australia 202</w:t>
      </w:r>
      <w:r w:rsidR="00441CB1">
        <w:t>6</w:t>
      </w:r>
    </w:p>
    <w:p w14:paraId="0593AEC2"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0DA3FBCE" w14:textId="77777777" w:rsidR="00E9781D" w:rsidRDefault="00E9781D" w:rsidP="00E9781D">
      <w:pPr>
        <w:pStyle w:val="Normalsmall"/>
      </w:pPr>
      <w:r>
        <w:t xml:space="preserve">All material in this publication is licensed under a </w:t>
      </w:r>
      <w:hyperlink r:id="rId14" w:history="1">
        <w:r>
          <w:rPr>
            <w:rStyle w:val="Hyperlink"/>
          </w:rPr>
          <w:t>Creative Commons Attribution 4.0 International Licence</w:t>
        </w:r>
      </w:hyperlink>
      <w:r>
        <w:t xml:space="preserve"> except content supplied by third parties, logos and the Commonwealth Coat of Arms.</w:t>
      </w:r>
    </w:p>
    <w:p w14:paraId="66FFD192"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 xml:space="preserve">Department of Agriculture, </w:t>
      </w:r>
      <w:r w:rsidR="009C37F9" w:rsidRPr="007B1F92">
        <w:lastRenderedPageBreak/>
        <w:t>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5B656B" w:rsidSect="00160DC0">
      <w:headerReference w:type="even" r:id="rId15"/>
      <w:headerReference w:type="default" r:id="rId16"/>
      <w:footerReference w:type="even" r:id="rId17"/>
      <w:footerReference w:type="default" r:id="rId18"/>
      <w:headerReference w:type="first" r:id="rId19"/>
      <w:footerReference w:type="first" r:id="rId20"/>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9FD49" w14:textId="77777777" w:rsidR="005F65B2" w:rsidRDefault="005F65B2">
      <w:r>
        <w:separator/>
      </w:r>
    </w:p>
    <w:p w14:paraId="1F969191" w14:textId="77777777" w:rsidR="005F65B2" w:rsidRDefault="005F65B2"/>
    <w:p w14:paraId="6E5B3C6B" w14:textId="77777777" w:rsidR="005F65B2" w:rsidRDefault="005F65B2"/>
  </w:endnote>
  <w:endnote w:type="continuationSeparator" w:id="0">
    <w:p w14:paraId="05A1511A" w14:textId="77777777" w:rsidR="005F65B2" w:rsidRDefault="005F65B2">
      <w:r>
        <w:continuationSeparator/>
      </w:r>
    </w:p>
    <w:p w14:paraId="18B11522" w14:textId="77777777" w:rsidR="005F65B2" w:rsidRDefault="005F65B2"/>
    <w:p w14:paraId="5C848627" w14:textId="77777777" w:rsidR="005F65B2" w:rsidRDefault="005F65B2"/>
  </w:endnote>
  <w:endnote w:type="continuationNotice" w:id="1">
    <w:p w14:paraId="2D4A525F" w14:textId="77777777" w:rsidR="005F65B2" w:rsidRDefault="005F65B2">
      <w:pPr>
        <w:pStyle w:val="Footer"/>
      </w:pPr>
    </w:p>
    <w:p w14:paraId="1746E047" w14:textId="77777777" w:rsidR="005F65B2" w:rsidRDefault="005F65B2"/>
    <w:p w14:paraId="1516CE80" w14:textId="77777777" w:rsidR="005F65B2" w:rsidRDefault="005F6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A36C" w14:textId="77777777" w:rsidR="00F637B6" w:rsidRDefault="005A3361">
    <w:pPr>
      <w:pStyle w:val="Footer"/>
    </w:pPr>
    <w:r>
      <w:rPr>
        <w:noProof/>
      </w:rPr>
      <mc:AlternateContent>
        <mc:Choice Requires="wps">
          <w:drawing>
            <wp:anchor distT="0" distB="0" distL="0" distR="0" simplePos="0" relativeHeight="251658245" behindDoc="0" locked="0" layoutInCell="1" allowOverlap="1" wp14:anchorId="59EB86E8" wp14:editId="3BA35ABB">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7CEB81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EB86E8"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27CEB81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3F87" w14:textId="77777777" w:rsidR="000542B4" w:rsidRDefault="005A3361" w:rsidP="00BC3323">
    <w:pPr>
      <w:pStyle w:val="Footer"/>
    </w:pPr>
    <w:r>
      <w:rPr>
        <w:noProof/>
      </w:rPr>
      <mc:AlternateContent>
        <mc:Choice Requires="wps">
          <w:drawing>
            <wp:anchor distT="0" distB="0" distL="0" distR="0" simplePos="0" relativeHeight="251658246" behindDoc="0" locked="0" layoutInCell="1" allowOverlap="1" wp14:anchorId="04DC99B8" wp14:editId="1E01DCE5">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1C19C2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DC99B8"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61C19C2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E3D4" w14:textId="77777777" w:rsidR="00577F29" w:rsidRDefault="005A3361" w:rsidP="00296F50">
    <w:pPr>
      <w:pStyle w:val="Footer"/>
    </w:pPr>
    <w:r>
      <w:rPr>
        <w:noProof/>
      </w:rPr>
      <mc:AlternateContent>
        <mc:Choice Requires="wps">
          <w:drawing>
            <wp:anchor distT="0" distB="0" distL="0" distR="0" simplePos="0" relativeHeight="251658244" behindDoc="0" locked="0" layoutInCell="1" allowOverlap="1" wp14:anchorId="5643B4F4" wp14:editId="7E81D67E">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5A6A5A0"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43B4F4"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55A6A5A0"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4428D" w14:textId="77777777" w:rsidR="005F65B2" w:rsidRDefault="005F65B2">
      <w:r>
        <w:separator/>
      </w:r>
    </w:p>
    <w:p w14:paraId="3C29DE6F" w14:textId="77777777" w:rsidR="005F65B2" w:rsidRDefault="005F65B2"/>
    <w:p w14:paraId="2D471F8B" w14:textId="77777777" w:rsidR="005F65B2" w:rsidRDefault="005F65B2"/>
  </w:footnote>
  <w:footnote w:type="continuationSeparator" w:id="0">
    <w:p w14:paraId="229CE7AE" w14:textId="77777777" w:rsidR="005F65B2" w:rsidRDefault="005F65B2">
      <w:r>
        <w:continuationSeparator/>
      </w:r>
    </w:p>
    <w:p w14:paraId="7870BF52" w14:textId="77777777" w:rsidR="005F65B2" w:rsidRDefault="005F65B2"/>
    <w:p w14:paraId="1868A713" w14:textId="77777777" w:rsidR="005F65B2" w:rsidRDefault="005F65B2"/>
  </w:footnote>
  <w:footnote w:type="continuationNotice" w:id="1">
    <w:p w14:paraId="478338F1" w14:textId="77777777" w:rsidR="005F65B2" w:rsidRDefault="005F65B2">
      <w:pPr>
        <w:pStyle w:val="Footer"/>
      </w:pPr>
    </w:p>
    <w:p w14:paraId="102C4C8C" w14:textId="77777777" w:rsidR="005F65B2" w:rsidRDefault="005F65B2"/>
    <w:p w14:paraId="0E815CEC" w14:textId="77777777" w:rsidR="005F65B2" w:rsidRDefault="005F65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668F"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4B19FD67" wp14:editId="3F1B382D">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60EA88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19FD67"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60EA88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D9F0" w14:textId="4EA20DB9" w:rsidR="000542B4" w:rsidRDefault="005A3361">
    <w:pPr>
      <w:pStyle w:val="Header"/>
    </w:pPr>
    <w:r>
      <w:rPr>
        <w:noProof/>
      </w:rPr>
      <mc:AlternateContent>
        <mc:Choice Requires="wps">
          <w:drawing>
            <wp:anchor distT="0" distB="0" distL="0" distR="0" simplePos="0" relativeHeight="251658243" behindDoc="0" locked="0" layoutInCell="1" allowOverlap="1" wp14:anchorId="1246F56F" wp14:editId="47426A0E">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C4FC193"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46F56F"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0C4FC193"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B21EAE">
      <w:t>Export assurance reform for non-prescribed goods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931F" w14:textId="77777777" w:rsidR="000E455C" w:rsidRDefault="005A3361" w:rsidP="00A8157A">
    <w:pPr>
      <w:pStyle w:val="Footer"/>
      <w:spacing w:after="0"/>
      <w:jc w:val="left"/>
    </w:pPr>
    <w:r>
      <w:rPr>
        <w:noProof/>
      </w:rPr>
      <mc:AlternateContent>
        <mc:Choice Requires="wps">
          <w:drawing>
            <wp:anchor distT="0" distB="0" distL="0" distR="0" simplePos="0" relativeHeight="251658241" behindDoc="0" locked="0" layoutInCell="1" allowOverlap="1" wp14:anchorId="488407BF" wp14:editId="0C29F9F7">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C90528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8407BF"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6C90528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41672876" wp14:editId="2D880565">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E2713FF"/>
    <w:multiLevelType w:val="hybridMultilevel"/>
    <w:tmpl w:val="A5D467A0"/>
    <w:lvl w:ilvl="0" w:tplc="C1BA87F6">
      <w:start w:val="1"/>
      <w:numFmt w:val="bullet"/>
      <w:lvlText w:val="-"/>
      <w:lvlJc w:val="left"/>
      <w:pPr>
        <w:tabs>
          <w:tab w:val="num" w:pos="720"/>
        </w:tabs>
        <w:ind w:left="720" w:hanging="360"/>
      </w:pPr>
      <w:rPr>
        <w:rFonts w:ascii="Times New Roman" w:hAnsi="Times New Roman" w:hint="default"/>
      </w:rPr>
    </w:lvl>
    <w:lvl w:ilvl="1" w:tplc="572E0428">
      <w:numFmt w:val="bullet"/>
      <w:lvlText w:val="-"/>
      <w:lvlJc w:val="left"/>
      <w:pPr>
        <w:tabs>
          <w:tab w:val="num" w:pos="1440"/>
        </w:tabs>
        <w:ind w:left="1440" w:hanging="360"/>
      </w:pPr>
      <w:rPr>
        <w:rFonts w:ascii="Times New Roman" w:hAnsi="Times New Roman" w:hint="default"/>
      </w:rPr>
    </w:lvl>
    <w:lvl w:ilvl="2" w:tplc="C384166C" w:tentative="1">
      <w:start w:val="1"/>
      <w:numFmt w:val="bullet"/>
      <w:lvlText w:val="-"/>
      <w:lvlJc w:val="left"/>
      <w:pPr>
        <w:tabs>
          <w:tab w:val="num" w:pos="2160"/>
        </w:tabs>
        <w:ind w:left="2160" w:hanging="360"/>
      </w:pPr>
      <w:rPr>
        <w:rFonts w:ascii="Times New Roman" w:hAnsi="Times New Roman" w:hint="default"/>
      </w:rPr>
    </w:lvl>
    <w:lvl w:ilvl="3" w:tplc="75F0E850" w:tentative="1">
      <w:start w:val="1"/>
      <w:numFmt w:val="bullet"/>
      <w:lvlText w:val="-"/>
      <w:lvlJc w:val="left"/>
      <w:pPr>
        <w:tabs>
          <w:tab w:val="num" w:pos="2880"/>
        </w:tabs>
        <w:ind w:left="2880" w:hanging="360"/>
      </w:pPr>
      <w:rPr>
        <w:rFonts w:ascii="Times New Roman" w:hAnsi="Times New Roman" w:hint="default"/>
      </w:rPr>
    </w:lvl>
    <w:lvl w:ilvl="4" w:tplc="E1C83F28" w:tentative="1">
      <w:start w:val="1"/>
      <w:numFmt w:val="bullet"/>
      <w:lvlText w:val="-"/>
      <w:lvlJc w:val="left"/>
      <w:pPr>
        <w:tabs>
          <w:tab w:val="num" w:pos="3600"/>
        </w:tabs>
        <w:ind w:left="3600" w:hanging="360"/>
      </w:pPr>
      <w:rPr>
        <w:rFonts w:ascii="Times New Roman" w:hAnsi="Times New Roman" w:hint="default"/>
      </w:rPr>
    </w:lvl>
    <w:lvl w:ilvl="5" w:tplc="70DE7F92" w:tentative="1">
      <w:start w:val="1"/>
      <w:numFmt w:val="bullet"/>
      <w:lvlText w:val="-"/>
      <w:lvlJc w:val="left"/>
      <w:pPr>
        <w:tabs>
          <w:tab w:val="num" w:pos="4320"/>
        </w:tabs>
        <w:ind w:left="4320" w:hanging="360"/>
      </w:pPr>
      <w:rPr>
        <w:rFonts w:ascii="Times New Roman" w:hAnsi="Times New Roman" w:hint="default"/>
      </w:rPr>
    </w:lvl>
    <w:lvl w:ilvl="6" w:tplc="A47C95F4" w:tentative="1">
      <w:start w:val="1"/>
      <w:numFmt w:val="bullet"/>
      <w:lvlText w:val="-"/>
      <w:lvlJc w:val="left"/>
      <w:pPr>
        <w:tabs>
          <w:tab w:val="num" w:pos="5040"/>
        </w:tabs>
        <w:ind w:left="5040" w:hanging="360"/>
      </w:pPr>
      <w:rPr>
        <w:rFonts w:ascii="Times New Roman" w:hAnsi="Times New Roman" w:hint="default"/>
      </w:rPr>
    </w:lvl>
    <w:lvl w:ilvl="7" w:tplc="2B62B36C" w:tentative="1">
      <w:start w:val="1"/>
      <w:numFmt w:val="bullet"/>
      <w:lvlText w:val="-"/>
      <w:lvlJc w:val="left"/>
      <w:pPr>
        <w:tabs>
          <w:tab w:val="num" w:pos="5760"/>
        </w:tabs>
        <w:ind w:left="5760" w:hanging="360"/>
      </w:pPr>
      <w:rPr>
        <w:rFonts w:ascii="Times New Roman" w:hAnsi="Times New Roman" w:hint="default"/>
      </w:rPr>
    </w:lvl>
    <w:lvl w:ilvl="8" w:tplc="D74E44E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3FC675E"/>
    <w:multiLevelType w:val="hybridMultilevel"/>
    <w:tmpl w:val="A35ED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8"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9"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0"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5"/>
  </w:num>
  <w:num w:numId="2" w16cid:durableId="1209954464">
    <w:abstractNumId w:val="2"/>
  </w:num>
  <w:num w:numId="3" w16cid:durableId="211696695">
    <w:abstractNumId w:val="8"/>
  </w:num>
  <w:num w:numId="4" w16cid:durableId="1550148830">
    <w:abstractNumId w:val="9"/>
  </w:num>
  <w:num w:numId="5" w16cid:durableId="1460108156">
    <w:abstractNumId w:val="0"/>
  </w:num>
  <w:num w:numId="6" w16cid:durableId="1934704985">
    <w:abstractNumId w:val="6"/>
  </w:num>
  <w:num w:numId="7" w16cid:durableId="1013073201">
    <w:abstractNumId w:val="7"/>
  </w:num>
  <w:num w:numId="8" w16cid:durableId="524289160">
    <w:abstractNumId w:val="1"/>
  </w:num>
  <w:num w:numId="9" w16cid:durableId="94401862">
    <w:abstractNumId w:val="11"/>
  </w:num>
  <w:num w:numId="10" w16cid:durableId="1262253482">
    <w:abstractNumId w:val="11"/>
  </w:num>
  <w:num w:numId="11" w16cid:durableId="1504468562">
    <w:abstractNumId w:val="11"/>
  </w:num>
  <w:num w:numId="12" w16cid:durableId="1296328144">
    <w:abstractNumId w:val="11"/>
  </w:num>
  <w:num w:numId="13" w16cid:durableId="1361395064">
    <w:abstractNumId w:val="10"/>
  </w:num>
  <w:num w:numId="14" w16cid:durableId="1080635027">
    <w:abstractNumId w:val="12"/>
  </w:num>
  <w:num w:numId="15" w16cid:durableId="774177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68399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1447746">
    <w:abstractNumId w:val="8"/>
  </w:num>
  <w:num w:numId="18" w16cid:durableId="395324411">
    <w:abstractNumId w:val="8"/>
  </w:num>
  <w:num w:numId="19" w16cid:durableId="1488088060">
    <w:abstractNumId w:val="8"/>
  </w:num>
  <w:num w:numId="20" w16cid:durableId="2117433875">
    <w:abstractNumId w:val="3"/>
  </w:num>
  <w:num w:numId="21" w16cid:durableId="72267624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593"/>
    <w:rsid w:val="0000059E"/>
    <w:rsid w:val="0000066F"/>
    <w:rsid w:val="00001B53"/>
    <w:rsid w:val="00002777"/>
    <w:rsid w:val="000029E1"/>
    <w:rsid w:val="00017ACB"/>
    <w:rsid w:val="00021590"/>
    <w:rsid w:val="00022C25"/>
    <w:rsid w:val="00025D1B"/>
    <w:rsid w:val="000266C4"/>
    <w:rsid w:val="0003648C"/>
    <w:rsid w:val="00046B1C"/>
    <w:rsid w:val="0005308A"/>
    <w:rsid w:val="000542B4"/>
    <w:rsid w:val="000618F3"/>
    <w:rsid w:val="00066D0B"/>
    <w:rsid w:val="000717D2"/>
    <w:rsid w:val="00071927"/>
    <w:rsid w:val="000721C3"/>
    <w:rsid w:val="00074A56"/>
    <w:rsid w:val="00074B00"/>
    <w:rsid w:val="00077756"/>
    <w:rsid w:val="00080827"/>
    <w:rsid w:val="000815F1"/>
    <w:rsid w:val="0008277A"/>
    <w:rsid w:val="0008426A"/>
    <w:rsid w:val="00084605"/>
    <w:rsid w:val="000904C1"/>
    <w:rsid w:val="000913B5"/>
    <w:rsid w:val="000A5BA0"/>
    <w:rsid w:val="000A732F"/>
    <w:rsid w:val="000A7670"/>
    <w:rsid w:val="000B3924"/>
    <w:rsid w:val="000B3C44"/>
    <w:rsid w:val="000C0412"/>
    <w:rsid w:val="000C453F"/>
    <w:rsid w:val="000C4558"/>
    <w:rsid w:val="000C536E"/>
    <w:rsid w:val="000E086D"/>
    <w:rsid w:val="000E455C"/>
    <w:rsid w:val="000E4D74"/>
    <w:rsid w:val="000E7803"/>
    <w:rsid w:val="000F0491"/>
    <w:rsid w:val="00113B5C"/>
    <w:rsid w:val="001233A8"/>
    <w:rsid w:val="00127B9F"/>
    <w:rsid w:val="0013173D"/>
    <w:rsid w:val="00131A90"/>
    <w:rsid w:val="00133505"/>
    <w:rsid w:val="00134A3E"/>
    <w:rsid w:val="00143A7B"/>
    <w:rsid w:val="00144601"/>
    <w:rsid w:val="00160DC0"/>
    <w:rsid w:val="00172619"/>
    <w:rsid w:val="00174238"/>
    <w:rsid w:val="00190D7E"/>
    <w:rsid w:val="00191BC2"/>
    <w:rsid w:val="001929D2"/>
    <w:rsid w:val="001A6968"/>
    <w:rsid w:val="001A6DDB"/>
    <w:rsid w:val="001C45E1"/>
    <w:rsid w:val="001D0EF3"/>
    <w:rsid w:val="001F319B"/>
    <w:rsid w:val="0020140C"/>
    <w:rsid w:val="00201BCC"/>
    <w:rsid w:val="00201BFB"/>
    <w:rsid w:val="00203DE1"/>
    <w:rsid w:val="0021006E"/>
    <w:rsid w:val="00217F50"/>
    <w:rsid w:val="00220618"/>
    <w:rsid w:val="002268C4"/>
    <w:rsid w:val="00230344"/>
    <w:rsid w:val="00237A69"/>
    <w:rsid w:val="00243E8B"/>
    <w:rsid w:val="0026528E"/>
    <w:rsid w:val="00275B58"/>
    <w:rsid w:val="00284B53"/>
    <w:rsid w:val="00285324"/>
    <w:rsid w:val="002943DA"/>
    <w:rsid w:val="00296F50"/>
    <w:rsid w:val="002B1FAF"/>
    <w:rsid w:val="002D6CC5"/>
    <w:rsid w:val="002E0D11"/>
    <w:rsid w:val="002E3FD4"/>
    <w:rsid w:val="002F4595"/>
    <w:rsid w:val="00300AFD"/>
    <w:rsid w:val="003032C0"/>
    <w:rsid w:val="00313401"/>
    <w:rsid w:val="00324326"/>
    <w:rsid w:val="003350AD"/>
    <w:rsid w:val="00336B60"/>
    <w:rsid w:val="00347AA5"/>
    <w:rsid w:val="0035108D"/>
    <w:rsid w:val="003569F9"/>
    <w:rsid w:val="003570D7"/>
    <w:rsid w:val="00363C00"/>
    <w:rsid w:val="00366721"/>
    <w:rsid w:val="00370990"/>
    <w:rsid w:val="0037698A"/>
    <w:rsid w:val="00392124"/>
    <w:rsid w:val="0039298F"/>
    <w:rsid w:val="003937B8"/>
    <w:rsid w:val="003B77B9"/>
    <w:rsid w:val="003D41E7"/>
    <w:rsid w:val="003D624E"/>
    <w:rsid w:val="003F73D7"/>
    <w:rsid w:val="00411260"/>
    <w:rsid w:val="0041573A"/>
    <w:rsid w:val="004365E8"/>
    <w:rsid w:val="00441CB1"/>
    <w:rsid w:val="00442630"/>
    <w:rsid w:val="0044304D"/>
    <w:rsid w:val="00446CB3"/>
    <w:rsid w:val="00474BB1"/>
    <w:rsid w:val="00477888"/>
    <w:rsid w:val="00495068"/>
    <w:rsid w:val="004A0CFB"/>
    <w:rsid w:val="004A46C2"/>
    <w:rsid w:val="004A7380"/>
    <w:rsid w:val="004B07EC"/>
    <w:rsid w:val="004C2DA2"/>
    <w:rsid w:val="004C7E2F"/>
    <w:rsid w:val="004D0888"/>
    <w:rsid w:val="004E6316"/>
    <w:rsid w:val="005019C1"/>
    <w:rsid w:val="005070C8"/>
    <w:rsid w:val="00514CEE"/>
    <w:rsid w:val="00515287"/>
    <w:rsid w:val="005157CF"/>
    <w:rsid w:val="00531B5A"/>
    <w:rsid w:val="0054262A"/>
    <w:rsid w:val="0054425A"/>
    <w:rsid w:val="00553E9D"/>
    <w:rsid w:val="0055447F"/>
    <w:rsid w:val="00567DFC"/>
    <w:rsid w:val="00577F29"/>
    <w:rsid w:val="00592A61"/>
    <w:rsid w:val="005948C9"/>
    <w:rsid w:val="005A1C71"/>
    <w:rsid w:val="005A3361"/>
    <w:rsid w:val="005A48A6"/>
    <w:rsid w:val="005B613F"/>
    <w:rsid w:val="005B656B"/>
    <w:rsid w:val="005C2BFD"/>
    <w:rsid w:val="005F11AC"/>
    <w:rsid w:val="005F65B2"/>
    <w:rsid w:val="00607075"/>
    <w:rsid w:val="006078C7"/>
    <w:rsid w:val="00607A21"/>
    <w:rsid w:val="00607A36"/>
    <w:rsid w:val="006133E3"/>
    <w:rsid w:val="006156DF"/>
    <w:rsid w:val="00625B78"/>
    <w:rsid w:val="00625D8D"/>
    <w:rsid w:val="006360F9"/>
    <w:rsid w:val="00642F36"/>
    <w:rsid w:val="00646917"/>
    <w:rsid w:val="006556F4"/>
    <w:rsid w:val="00656587"/>
    <w:rsid w:val="00696682"/>
    <w:rsid w:val="006B0030"/>
    <w:rsid w:val="006B4626"/>
    <w:rsid w:val="006B49DE"/>
    <w:rsid w:val="006D413F"/>
    <w:rsid w:val="006E353E"/>
    <w:rsid w:val="006F6FE8"/>
    <w:rsid w:val="00700A80"/>
    <w:rsid w:val="0070464B"/>
    <w:rsid w:val="00705E21"/>
    <w:rsid w:val="00706DAE"/>
    <w:rsid w:val="00721291"/>
    <w:rsid w:val="007258B1"/>
    <w:rsid w:val="00725C8B"/>
    <w:rsid w:val="00754CA3"/>
    <w:rsid w:val="00755891"/>
    <w:rsid w:val="00755B17"/>
    <w:rsid w:val="007610EB"/>
    <w:rsid w:val="00764A7A"/>
    <w:rsid w:val="007653A0"/>
    <w:rsid w:val="0076549B"/>
    <w:rsid w:val="007726B3"/>
    <w:rsid w:val="00793E18"/>
    <w:rsid w:val="007A7BE7"/>
    <w:rsid w:val="007B4C63"/>
    <w:rsid w:val="007C0010"/>
    <w:rsid w:val="007E2FC7"/>
    <w:rsid w:val="007E69AF"/>
    <w:rsid w:val="007E6B19"/>
    <w:rsid w:val="007F4986"/>
    <w:rsid w:val="0080517C"/>
    <w:rsid w:val="00807AEF"/>
    <w:rsid w:val="0081072F"/>
    <w:rsid w:val="00832638"/>
    <w:rsid w:val="00852A66"/>
    <w:rsid w:val="00863E83"/>
    <w:rsid w:val="00864D72"/>
    <w:rsid w:val="00865130"/>
    <w:rsid w:val="00890CAD"/>
    <w:rsid w:val="00892F53"/>
    <w:rsid w:val="00895341"/>
    <w:rsid w:val="008D2681"/>
    <w:rsid w:val="008E3B54"/>
    <w:rsid w:val="008F1712"/>
    <w:rsid w:val="008F382A"/>
    <w:rsid w:val="008F6FFE"/>
    <w:rsid w:val="00902E92"/>
    <w:rsid w:val="0090743D"/>
    <w:rsid w:val="00911F4A"/>
    <w:rsid w:val="00913D62"/>
    <w:rsid w:val="00916FC3"/>
    <w:rsid w:val="00921503"/>
    <w:rsid w:val="00930D38"/>
    <w:rsid w:val="009351C8"/>
    <w:rsid w:val="00943779"/>
    <w:rsid w:val="00974CD6"/>
    <w:rsid w:val="009844EA"/>
    <w:rsid w:val="0099431F"/>
    <w:rsid w:val="009A2BCD"/>
    <w:rsid w:val="009B232C"/>
    <w:rsid w:val="009C206F"/>
    <w:rsid w:val="009C37F9"/>
    <w:rsid w:val="009C3FA3"/>
    <w:rsid w:val="009C5CE4"/>
    <w:rsid w:val="009D7044"/>
    <w:rsid w:val="009F4C7C"/>
    <w:rsid w:val="00A0018B"/>
    <w:rsid w:val="00A002C0"/>
    <w:rsid w:val="00A04AFD"/>
    <w:rsid w:val="00A11D9B"/>
    <w:rsid w:val="00A130F7"/>
    <w:rsid w:val="00A138B6"/>
    <w:rsid w:val="00A25483"/>
    <w:rsid w:val="00A26FAA"/>
    <w:rsid w:val="00A32860"/>
    <w:rsid w:val="00A35F02"/>
    <w:rsid w:val="00A42628"/>
    <w:rsid w:val="00A473C3"/>
    <w:rsid w:val="00A62CD6"/>
    <w:rsid w:val="00A62F99"/>
    <w:rsid w:val="00A65D84"/>
    <w:rsid w:val="00A66DA7"/>
    <w:rsid w:val="00A74FD3"/>
    <w:rsid w:val="00A77E8E"/>
    <w:rsid w:val="00A8157A"/>
    <w:rsid w:val="00A82923"/>
    <w:rsid w:val="00A91ACA"/>
    <w:rsid w:val="00A92CD3"/>
    <w:rsid w:val="00AA1D89"/>
    <w:rsid w:val="00AB665C"/>
    <w:rsid w:val="00AB7CB8"/>
    <w:rsid w:val="00AE1E6E"/>
    <w:rsid w:val="00AE40DE"/>
    <w:rsid w:val="00AE4763"/>
    <w:rsid w:val="00AF0EAA"/>
    <w:rsid w:val="00B0121B"/>
    <w:rsid w:val="00B01886"/>
    <w:rsid w:val="00B0455B"/>
    <w:rsid w:val="00B11E02"/>
    <w:rsid w:val="00B21CFE"/>
    <w:rsid w:val="00B21EAE"/>
    <w:rsid w:val="00B260CF"/>
    <w:rsid w:val="00B3476F"/>
    <w:rsid w:val="00B404AB"/>
    <w:rsid w:val="00B41B3C"/>
    <w:rsid w:val="00B43568"/>
    <w:rsid w:val="00B44CFB"/>
    <w:rsid w:val="00B62E3D"/>
    <w:rsid w:val="00B65593"/>
    <w:rsid w:val="00B82095"/>
    <w:rsid w:val="00B90975"/>
    <w:rsid w:val="00B93571"/>
    <w:rsid w:val="00B94CBD"/>
    <w:rsid w:val="00BA2806"/>
    <w:rsid w:val="00BC321A"/>
    <w:rsid w:val="00BC3323"/>
    <w:rsid w:val="00BD4F8E"/>
    <w:rsid w:val="00BD50FE"/>
    <w:rsid w:val="00BE345B"/>
    <w:rsid w:val="00BE3F40"/>
    <w:rsid w:val="00BF6B40"/>
    <w:rsid w:val="00C03B86"/>
    <w:rsid w:val="00C17780"/>
    <w:rsid w:val="00C23C44"/>
    <w:rsid w:val="00C262AE"/>
    <w:rsid w:val="00C6128D"/>
    <w:rsid w:val="00C73278"/>
    <w:rsid w:val="00C765C8"/>
    <w:rsid w:val="00C82029"/>
    <w:rsid w:val="00C9283A"/>
    <w:rsid w:val="00C95039"/>
    <w:rsid w:val="00CA4615"/>
    <w:rsid w:val="00CA7C6F"/>
    <w:rsid w:val="00CB4E93"/>
    <w:rsid w:val="00CC3854"/>
    <w:rsid w:val="00CD122B"/>
    <w:rsid w:val="00CD3A6F"/>
    <w:rsid w:val="00CD6263"/>
    <w:rsid w:val="00CE7F36"/>
    <w:rsid w:val="00CF7D08"/>
    <w:rsid w:val="00D04A3C"/>
    <w:rsid w:val="00D06C32"/>
    <w:rsid w:val="00D22097"/>
    <w:rsid w:val="00D32EB3"/>
    <w:rsid w:val="00D36C41"/>
    <w:rsid w:val="00D4039B"/>
    <w:rsid w:val="00D55A85"/>
    <w:rsid w:val="00D67457"/>
    <w:rsid w:val="00D750D0"/>
    <w:rsid w:val="00D80CB9"/>
    <w:rsid w:val="00D87480"/>
    <w:rsid w:val="00DB0F8E"/>
    <w:rsid w:val="00DB68B1"/>
    <w:rsid w:val="00DB71FD"/>
    <w:rsid w:val="00DC453F"/>
    <w:rsid w:val="00DC57F0"/>
    <w:rsid w:val="00DE546F"/>
    <w:rsid w:val="00DF241E"/>
    <w:rsid w:val="00DF4BDF"/>
    <w:rsid w:val="00DF6463"/>
    <w:rsid w:val="00DF754D"/>
    <w:rsid w:val="00E223F4"/>
    <w:rsid w:val="00E25A07"/>
    <w:rsid w:val="00E333DF"/>
    <w:rsid w:val="00E44E91"/>
    <w:rsid w:val="00E60E5E"/>
    <w:rsid w:val="00E70077"/>
    <w:rsid w:val="00E83C41"/>
    <w:rsid w:val="00E86196"/>
    <w:rsid w:val="00E87842"/>
    <w:rsid w:val="00E9781D"/>
    <w:rsid w:val="00EA5D76"/>
    <w:rsid w:val="00EA5E9E"/>
    <w:rsid w:val="00EC2925"/>
    <w:rsid w:val="00EC5579"/>
    <w:rsid w:val="00EC5C40"/>
    <w:rsid w:val="00EC73E2"/>
    <w:rsid w:val="00ED201F"/>
    <w:rsid w:val="00ED774B"/>
    <w:rsid w:val="00ED7984"/>
    <w:rsid w:val="00EE0118"/>
    <w:rsid w:val="00EE49CE"/>
    <w:rsid w:val="00EE7C8D"/>
    <w:rsid w:val="00EF01B2"/>
    <w:rsid w:val="00EF24B1"/>
    <w:rsid w:val="00EF3918"/>
    <w:rsid w:val="00F01D00"/>
    <w:rsid w:val="00F23AF2"/>
    <w:rsid w:val="00F266CC"/>
    <w:rsid w:val="00F30857"/>
    <w:rsid w:val="00F330C3"/>
    <w:rsid w:val="00F3602D"/>
    <w:rsid w:val="00F637B6"/>
    <w:rsid w:val="00F66F1F"/>
    <w:rsid w:val="00F67822"/>
    <w:rsid w:val="00F75F33"/>
    <w:rsid w:val="00F84236"/>
    <w:rsid w:val="00F900F8"/>
    <w:rsid w:val="00F90A09"/>
    <w:rsid w:val="00FB689D"/>
    <w:rsid w:val="00FC2CE4"/>
    <w:rsid w:val="00FC379E"/>
    <w:rsid w:val="00FC45E8"/>
    <w:rsid w:val="00FD337C"/>
    <w:rsid w:val="00FD3BAE"/>
    <w:rsid w:val="00FD5236"/>
    <w:rsid w:val="00FD7D5B"/>
    <w:rsid w:val="00FE0F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78937"/>
  <w15:docId w15:val="{CC60E419-EE7E-4413-BD7F-CA7DA60D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ind w:left="964" w:hanging="96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paragraph" w:styleId="ListParagraph">
    <w:name w:val="List Paragraph"/>
    <w:basedOn w:val="Normal"/>
    <w:uiPriority w:val="99"/>
    <w:qFormat/>
    <w:rsid w:val="00A35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PGReform@aff.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griculture.gov.au/biosecurity-trade/export/controlled-goods/non-prescribed-goods/export-assurance-refor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biosecurity-trade/export/controlled-goods/non-prescribed-goods/export-assurance-refor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legalcode"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0321BB19B07468AC3978871DDA496" ma:contentTypeVersion="20" ma:contentTypeDescription="Create a new document." ma:contentTypeScope="" ma:versionID="175e669ce2cc7ad5ff432bc92f6a846b">
  <xsd:schema xmlns:xsd="http://www.w3.org/2001/XMLSchema" xmlns:xs="http://www.w3.org/2001/XMLSchema" xmlns:p="http://schemas.microsoft.com/office/2006/metadata/properties" xmlns:ns2="05ae9dfb-8234-4dee-b010-b18fc1d24d34" xmlns:ns3="3831e8a4-9d05-4fa9-b62b-4dc281877bbf" xmlns:ns4="81c01dc6-2c49-4730-b140-874c95cac377" targetNamespace="http://schemas.microsoft.com/office/2006/metadata/properties" ma:root="true" ma:fieldsID="195d0995f57ea9f441f40984b004750d" ns2:_="" ns3:_="" ns4:_="">
    <xsd:import namespace="05ae9dfb-8234-4dee-b010-b18fc1d24d34"/>
    <xsd:import namespace="3831e8a4-9d05-4fa9-b62b-4dc281877bbf"/>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element ref="ns2:Note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e9dfb-8234-4dee-b010-b18fc1d24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element name="DateandTime" ma:index="27"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831e8a4-9d05-4fa9-b62b-4dc281877b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4cb8922-c4b8-458b-82aa-71ce3b7a34b4}" ma:internalName="TaxCatchAll" ma:showField="CatchAllData" ma:web="3831e8a4-9d05-4fa9-b62b-4dc281877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05ae9dfb-8234-4dee-b010-b18fc1d24d34">
      <Terms xmlns="http://schemas.microsoft.com/office/infopath/2007/PartnerControls"/>
    </lcf76f155ced4ddcb4097134ff3c332f>
    <Notes xmlns="05ae9dfb-8234-4dee-b010-b18fc1d24d34" xsi:nil="true"/>
    <DateandTime xmlns="05ae9dfb-8234-4dee-b010-b18fc1d24d34" xsi:nil="true"/>
  </documentManagement>
</p:properties>
</file>

<file path=customXml/itemProps1.xml><?xml version="1.0" encoding="utf-8"?>
<ds:datastoreItem xmlns:ds="http://schemas.openxmlformats.org/officeDocument/2006/customXml" ds:itemID="{A05A1783-4DF6-4B73-8C56-9447D7CAF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e9dfb-8234-4dee-b010-b18fc1d24d34"/>
    <ds:schemaRef ds:uri="3831e8a4-9d05-4fa9-b62b-4dc281877bbf"/>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9D1CAD33-3B39-4665-A5E6-666D035120E9}">
  <ds:schemaRefs>
    <ds:schemaRef ds:uri="http://purl.org/dc/dcmitype/"/>
    <ds:schemaRef ds:uri="http://purl.org/dc/terms/"/>
    <ds:schemaRef ds:uri="http://schemas.microsoft.com/office/2006/documentManagement/types"/>
    <ds:schemaRef ds:uri="http://schemas.microsoft.com/office/infopath/2007/PartnerControls"/>
    <ds:schemaRef ds:uri="http://purl.org/dc/elements/1.1/"/>
    <ds:schemaRef ds:uri="http://www.w3.org/XML/1998/namespace"/>
    <ds:schemaRef ds:uri="http://schemas.openxmlformats.org/package/2006/metadata/core-properties"/>
    <ds:schemaRef ds:uri="05ae9dfb-8234-4dee-b010-b18fc1d24d34"/>
    <ds:schemaRef ds:uri="81c01dc6-2c49-4730-b140-874c95cac377"/>
    <ds:schemaRef ds:uri="3831e8a4-9d05-4fa9-b62b-4dc281877bbf"/>
    <ds:schemaRef ds:uri="http://schemas.microsoft.com/office/2006/metadata/propertie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Template>
  <TotalTime>23</TotalTime>
  <Pages>3</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Export assurance reform for non-prescribed goods</vt:lpstr>
    </vt:vector>
  </TitlesOfParts>
  <Company/>
  <LinksUpToDate>false</LinksUpToDate>
  <CharactersWithSpaces>5912</CharactersWithSpaces>
  <SharedDoc>false</SharedDoc>
  <HLinks>
    <vt:vector size="24" baseType="variant">
      <vt:variant>
        <vt:i4>5373952</vt:i4>
      </vt:variant>
      <vt:variant>
        <vt:i4>9</vt:i4>
      </vt:variant>
      <vt:variant>
        <vt:i4>0</vt:i4>
      </vt:variant>
      <vt:variant>
        <vt:i4>5</vt:i4>
      </vt:variant>
      <vt:variant>
        <vt:lpwstr>https://creativecommons.org/licenses/by/4.0/legalcode</vt:lpwstr>
      </vt:variant>
      <vt:variant>
        <vt:lpwstr/>
      </vt:variant>
      <vt:variant>
        <vt:i4>8060949</vt:i4>
      </vt:variant>
      <vt:variant>
        <vt:i4>6</vt:i4>
      </vt:variant>
      <vt:variant>
        <vt:i4>0</vt:i4>
      </vt:variant>
      <vt:variant>
        <vt:i4>5</vt:i4>
      </vt:variant>
      <vt:variant>
        <vt:lpwstr>mailto:npgreform@aff.gov.au</vt:lpwstr>
      </vt:variant>
      <vt:variant>
        <vt:lpwstr/>
      </vt:variant>
      <vt:variant>
        <vt:i4>65</vt:i4>
      </vt:variant>
      <vt:variant>
        <vt:i4>3</vt:i4>
      </vt:variant>
      <vt:variant>
        <vt:i4>0</vt:i4>
      </vt:variant>
      <vt:variant>
        <vt:i4>5</vt:i4>
      </vt:variant>
      <vt:variant>
        <vt:lpwstr>https://www.agriculture.gov.au/biosecurity-trade/export/controlled-goods/non-prescribed-goods/export-assurance-reform</vt:lpwstr>
      </vt:variant>
      <vt:variant>
        <vt:lpwstr/>
      </vt:variant>
      <vt:variant>
        <vt:i4>65</vt:i4>
      </vt:variant>
      <vt:variant>
        <vt:i4>0</vt:i4>
      </vt:variant>
      <vt:variant>
        <vt:i4>0</vt:i4>
      </vt:variant>
      <vt:variant>
        <vt:i4>5</vt:i4>
      </vt:variant>
      <vt:variant>
        <vt:lpwstr>https://www.agriculture.gov.au/biosecurity-trade/export/controlled-goods/non-prescribed-goods/export-assurance-reform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assurance reform for non-prescribed goods</dc:title>
  <dc:subject/>
  <dc:creator>Department of Agriculture, Fisheries and Forestry</dc:creator>
  <cp:keywords/>
  <cp:lastModifiedBy>Davies, Danica</cp:lastModifiedBy>
  <cp:revision>13</cp:revision>
  <cp:lastPrinted>2022-10-26T05:30:00Z</cp:lastPrinted>
  <dcterms:created xsi:type="dcterms:W3CDTF">2026-01-21T06:39:00Z</dcterms:created>
  <dcterms:modified xsi:type="dcterms:W3CDTF">2026-01-22T03:04:00Z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0x0101008520321BB19B07468AC3978871DDA496</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y fmtid="{D5CDD505-2E9C-101B-9397-08002B2CF9AE}" pid="17" name="docLang">
    <vt:lpwstr>en</vt:lpwstr>
  </property>
</Properties>
</file>