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40C6" w14:textId="609A5FF0" w:rsidR="00032F0F" w:rsidRDefault="00032F0F" w:rsidP="00A16700">
      <w:pPr>
        <w:pStyle w:val="Heading1"/>
      </w:pPr>
      <w:r>
        <w:t xml:space="preserve">Detailed response </w:t>
      </w:r>
      <w:r w:rsidR="00D05057">
        <w:t xml:space="preserve">to APVMA reviews </w:t>
      </w:r>
      <w:r>
        <w:t>implementation update</w:t>
      </w:r>
    </w:p>
    <w:p w14:paraId="78B66377" w14:textId="5DB91C02" w:rsidR="00032F0F" w:rsidRDefault="001D2AB4" w:rsidP="00032F0F">
      <w:r>
        <w:t>September</w:t>
      </w:r>
      <w:r w:rsidR="00032F0F">
        <w:t xml:space="preserve"> 2025</w:t>
      </w:r>
      <w:r>
        <w:t xml:space="preserve"> to March 2026</w:t>
      </w:r>
    </w:p>
    <w:p w14:paraId="60050862" w14:textId="3696AA71" w:rsidR="00E362EF" w:rsidRDefault="00032F0F" w:rsidP="00AC06BC">
      <w:pPr>
        <w:pStyle w:val="Heading2"/>
        <w:numPr>
          <w:ilvl w:val="0"/>
          <w:numId w:val="0"/>
        </w:numPr>
        <w:ind w:left="720" w:hanging="720"/>
      </w:pPr>
      <w:r>
        <w:t>Key highlights</w:t>
      </w:r>
    </w:p>
    <w:p w14:paraId="7C8452B3" w14:textId="722CC6C9" w:rsidR="00E362EF" w:rsidRDefault="00032F0F" w:rsidP="00AC06BC">
      <w:r w:rsidRPr="00032F0F">
        <w:t xml:space="preserve">The department and the APVMA </w:t>
      </w:r>
      <w:r w:rsidR="00C8425B">
        <w:t>continue to implement</w:t>
      </w:r>
      <w:r w:rsidRPr="00032F0F">
        <w:t xml:space="preserve"> reforms to address the recommendations since the release of the </w:t>
      </w:r>
      <w:hyperlink r:id="rId11" w:history="1">
        <w:r w:rsidRPr="00032F0F">
          <w:rPr>
            <w:rStyle w:val="Hyperlink"/>
          </w:rPr>
          <w:t>Detailed response to the final report on future structure and governance arrangements for the Australian Pesticides and Veterinary Medicines Authority</w:t>
        </w:r>
      </w:hyperlink>
      <w:r w:rsidRPr="00032F0F">
        <w:t xml:space="preserve"> on 4 November 2024. </w:t>
      </w:r>
      <w:r w:rsidR="00C8425B">
        <w:t xml:space="preserve">Activities </w:t>
      </w:r>
      <w:r w:rsidRPr="00032F0F">
        <w:t xml:space="preserve">that have been implemented </w:t>
      </w:r>
      <w:r w:rsidR="00CC264C">
        <w:t xml:space="preserve">this reporting period </w:t>
      </w:r>
      <w:r w:rsidRPr="00032F0F">
        <w:t xml:space="preserve">include </w:t>
      </w:r>
      <w:r w:rsidR="00C8425B">
        <w:t>the publication of the APVMA’s Regulatory Posture Statement 2026</w:t>
      </w:r>
      <w:r w:rsidR="00B93856">
        <w:t>–</w:t>
      </w:r>
      <w:r w:rsidR="00C8425B">
        <w:t>30</w:t>
      </w:r>
      <w:r w:rsidR="00444ACE">
        <w:t>, while</w:t>
      </w:r>
      <w:r w:rsidRPr="00032F0F">
        <w:t xml:space="preserve"> </w:t>
      </w:r>
      <w:r w:rsidR="00444ACE">
        <w:t>t</w:t>
      </w:r>
      <w:r w:rsidRPr="00032F0F">
        <w:t xml:space="preserve">he department </w:t>
      </w:r>
      <w:r w:rsidR="00444ACE">
        <w:t xml:space="preserve">continues to </w:t>
      </w:r>
      <w:r w:rsidRPr="00032F0F">
        <w:t>prioritis</w:t>
      </w:r>
      <w:r w:rsidR="00444ACE">
        <w:t>e</w:t>
      </w:r>
      <w:r w:rsidRPr="00032F0F">
        <w:t xml:space="preserve"> work towards a sustainable funding model for the APVMA as a key enabling reform.</w:t>
      </w:r>
    </w:p>
    <w:p w14:paraId="5FBDCDCB" w14:textId="7DE889A6" w:rsidR="00C16CAF" w:rsidRDefault="00C16CAF" w:rsidP="00B8116A">
      <w:pPr>
        <w:pStyle w:val="Caption"/>
      </w:pPr>
      <w:r>
        <w:t xml:space="preserve">Table 1 </w:t>
      </w:r>
      <w:r w:rsidR="00911D8D">
        <w:t>Implementation progress on</w:t>
      </w:r>
      <w:r w:rsidR="009C21DB">
        <w:t xml:space="preserve"> detailed response reforms </w:t>
      </w:r>
      <w:r w:rsidR="00911D8D">
        <w:t xml:space="preserve">from </w:t>
      </w:r>
      <w:r w:rsidR="001D2AB4">
        <w:t>September</w:t>
      </w:r>
      <w:r w:rsidR="009C21DB">
        <w:t xml:space="preserve"> 2025</w:t>
      </w:r>
      <w:r w:rsidR="001D2AB4">
        <w:t xml:space="preserve"> </w:t>
      </w:r>
      <w:r w:rsidR="00911D8D">
        <w:t>to</w:t>
      </w:r>
      <w:r w:rsidR="001D2AB4">
        <w:t xml:space="preserve"> March 2026</w:t>
      </w:r>
      <w:r w:rsidR="009C21DB">
        <w:t>.</w:t>
      </w:r>
    </w:p>
    <w:tbl>
      <w:tblPr>
        <w:tblW w:w="4910" w:type="pct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6A0" w:firstRow="1" w:lastRow="0" w:firstColumn="1" w:lastColumn="0" w:noHBand="1" w:noVBand="1"/>
      </w:tblPr>
      <w:tblGrid>
        <w:gridCol w:w="1708"/>
        <w:gridCol w:w="2043"/>
        <w:gridCol w:w="1493"/>
        <w:gridCol w:w="8506"/>
      </w:tblGrid>
      <w:tr w:rsidR="00032F0F" w14:paraId="38A7F6D9" w14:textId="77777777" w:rsidTr="00B93856">
        <w:trPr>
          <w:cantSplit/>
          <w:tblHeader/>
        </w:trPr>
        <w:tc>
          <w:tcPr>
            <w:tcW w:w="1364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4605B" w14:textId="38329529" w:rsidR="00032F0F" w:rsidRDefault="00032F0F" w:rsidP="00B64A95">
            <w:pPr>
              <w:pStyle w:val="TableHeading"/>
            </w:pPr>
            <w:bookmarkStart w:id="0" w:name="Title_1"/>
            <w:bookmarkEnd w:id="0"/>
            <w:r>
              <w:t>Detailed response – area of focus</w:t>
            </w:r>
          </w:p>
        </w:tc>
        <w:tc>
          <w:tcPr>
            <w:tcW w:w="54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38EF" w14:textId="61E0F158" w:rsidR="00032F0F" w:rsidRDefault="00032F0F" w:rsidP="00032F0F">
            <w:pPr>
              <w:pStyle w:val="TableHeading"/>
            </w:pPr>
            <w:r>
              <w:t>Status</w:t>
            </w:r>
          </w:p>
        </w:tc>
        <w:tc>
          <w:tcPr>
            <w:tcW w:w="309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F34D" w14:textId="264B3287" w:rsidR="00032F0F" w:rsidRDefault="00032F0F" w:rsidP="00032F0F">
            <w:pPr>
              <w:pStyle w:val="TableHeading"/>
            </w:pPr>
            <w:r>
              <w:t>Update</w:t>
            </w:r>
          </w:p>
        </w:tc>
      </w:tr>
      <w:tr w:rsidR="00B66A54" w14:paraId="3594CF7C" w14:textId="77777777" w:rsidTr="00B93856"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1EB5C777" w14:textId="34D00D15" w:rsidR="00B66A54" w:rsidRPr="00DA71B8" w:rsidRDefault="00B66A54" w:rsidP="00B64A95">
            <w:pPr>
              <w:pStyle w:val="TableText"/>
            </w:pPr>
            <w:r w:rsidRPr="004F2267">
              <w:rPr>
                <w:rStyle w:val="Strong"/>
                <w:b w:val="0"/>
                <w:bCs w:val="0"/>
              </w:rPr>
              <w:t>Improvement in policy and regulation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D189" w14:textId="703834A9" w:rsidR="00B66A54" w:rsidRDefault="00B66A54" w:rsidP="00B64A95">
            <w:pPr>
              <w:pStyle w:val="TableText"/>
            </w:pPr>
            <w:r w:rsidRPr="00032F0F">
              <w:t>1.1 Regulatory best practice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3C2D" w14:textId="595D7859" w:rsidR="00B66A54" w:rsidRDefault="00B66A54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6828" w14:textId="40A0D644" w:rsidR="00B66A54" w:rsidRDefault="00B66A54" w:rsidP="00032F0F">
            <w:pPr>
              <w:pStyle w:val="TableText"/>
            </w:pPr>
            <w:r w:rsidRPr="00032F0F">
              <w:t xml:space="preserve">The </w:t>
            </w:r>
            <w:r w:rsidR="007731FF">
              <w:t xml:space="preserve">Assistant </w:t>
            </w:r>
            <w:r w:rsidRPr="00032F0F">
              <w:t>Minister for Agriculture</w:t>
            </w:r>
            <w:r w:rsidR="00224AC6">
              <w:t>,</w:t>
            </w:r>
            <w:r w:rsidRPr="00032F0F">
              <w:t xml:space="preserve"> Fisheries and Forestry issued a new </w:t>
            </w:r>
            <w:hyperlink r:id="rId12" w:history="1">
              <w:r w:rsidRPr="00475F0F">
                <w:rPr>
                  <w:rStyle w:val="Hyperlink"/>
                </w:rPr>
                <w:t>Ministerial Statement of Expectations</w:t>
              </w:r>
            </w:hyperlink>
            <w:r w:rsidRPr="00032F0F">
              <w:t xml:space="preserve"> in </w:t>
            </w:r>
            <w:r w:rsidR="007B5463">
              <w:t>December</w:t>
            </w:r>
            <w:r w:rsidR="007B5463" w:rsidRPr="00032F0F">
              <w:t xml:space="preserve"> </w:t>
            </w:r>
            <w:r w:rsidRPr="00032F0F">
              <w:t>2025</w:t>
            </w:r>
            <w:r w:rsidR="00251AD9">
              <w:t>.</w:t>
            </w:r>
            <w:r w:rsidRPr="00032F0F">
              <w:t xml:space="preserve"> The APVMA Board provided its </w:t>
            </w:r>
            <w:hyperlink r:id="rId13" w:history="1">
              <w:r w:rsidRPr="00032F0F">
                <w:rPr>
                  <w:rStyle w:val="Hyperlink"/>
                </w:rPr>
                <w:t>Regulator Statement of Intent</w:t>
              </w:r>
            </w:hyperlink>
            <w:r w:rsidRPr="00032F0F">
              <w:t xml:space="preserve"> in February 202</w:t>
            </w:r>
            <w:r w:rsidR="007B5463">
              <w:t>6</w:t>
            </w:r>
            <w:r w:rsidRPr="00032F0F">
              <w:t xml:space="preserve"> in response</w:t>
            </w:r>
            <w:r w:rsidR="00B93856">
              <w:t>.</w:t>
            </w:r>
          </w:p>
        </w:tc>
      </w:tr>
      <w:tr w:rsidR="00B66A54" w14:paraId="19FEB653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8E8991F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0244" w14:textId="0A36C569" w:rsidR="00B66A54" w:rsidRDefault="00B66A54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D9E7" w14:textId="68A65AAD" w:rsidR="00B66A54" w:rsidRDefault="00C755FD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154F" w14:textId="00217D8A" w:rsidR="00B66A54" w:rsidRDefault="00B66A54" w:rsidP="00032F0F">
            <w:pPr>
              <w:pStyle w:val="TableText"/>
            </w:pPr>
            <w:r w:rsidRPr="00134625">
              <w:t xml:space="preserve">The APVMA </w:t>
            </w:r>
            <w:r w:rsidR="00C755FD">
              <w:t xml:space="preserve">published its </w:t>
            </w:r>
            <w:hyperlink r:id="rId14" w:tooltip="APVMA Regulatory Posture Statement 2026–30" w:history="1">
              <w:r w:rsidR="00C755FD" w:rsidRPr="00C755FD">
                <w:rPr>
                  <w:rStyle w:val="Hyperlink"/>
                </w:rPr>
                <w:t>Regulatory Posture Statement 2026–30</w:t>
              </w:r>
            </w:hyperlink>
            <w:r w:rsidR="00C755FD" w:rsidRPr="00C755FD">
              <w:t> </w:t>
            </w:r>
            <w:r w:rsidR="00475F0F">
              <w:t>on 25</w:t>
            </w:r>
            <w:r w:rsidR="00C755FD">
              <w:t xml:space="preserve"> February 2026</w:t>
            </w:r>
            <w:r w:rsidR="00B93856">
              <w:t>.</w:t>
            </w:r>
          </w:p>
        </w:tc>
      </w:tr>
      <w:tr w:rsidR="00B66A54" w14:paraId="4230D970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BA54380" w14:textId="77777777" w:rsidR="00B66A54" w:rsidRDefault="00B66A54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6BED" w14:textId="04120A6D" w:rsidR="00B66A54" w:rsidRDefault="00B66A54" w:rsidP="00B64A95">
            <w:pPr>
              <w:pStyle w:val="TableText"/>
            </w:pPr>
            <w:r w:rsidRPr="00032F0F">
              <w:t>1.2 Regulatory approaches across states and territories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488D" w14:textId="6D892C98" w:rsidR="00B66A54" w:rsidRDefault="00B66A54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20F7" w14:textId="43EF58F3" w:rsidR="00B66A54" w:rsidRDefault="00B66A54" w:rsidP="00032F0F">
            <w:pPr>
              <w:pStyle w:val="TableText"/>
            </w:pPr>
            <w:r>
              <w:t xml:space="preserve">Agvet Chemicals Subcommittee (ACS) </w:t>
            </w:r>
            <w:r w:rsidR="006F5919">
              <w:t>was established in</w:t>
            </w:r>
            <w:r w:rsidR="000579BE">
              <w:t xml:space="preserve"> February </w:t>
            </w:r>
            <w:r w:rsidR="00D965AB">
              <w:t>2025</w:t>
            </w:r>
            <w:r w:rsidR="006F5919">
              <w:t xml:space="preserve">. In </w:t>
            </w:r>
            <w:r w:rsidR="000579BE">
              <w:t>March 2026</w:t>
            </w:r>
            <w:r>
              <w:t>,</w:t>
            </w:r>
            <w:r w:rsidR="003D713A">
              <w:t xml:space="preserve"> </w:t>
            </w:r>
            <w:r w:rsidR="006F5919">
              <w:t>the Agriculture Senior Officials Committee agreed to extend the subcommittee and update its</w:t>
            </w:r>
            <w:r>
              <w:t xml:space="preserve"> terms of reference</w:t>
            </w:r>
            <w:r w:rsidR="00B93856">
              <w:t>.</w:t>
            </w:r>
          </w:p>
        </w:tc>
      </w:tr>
      <w:tr w:rsidR="000579BE" w14:paraId="5FA933C4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4CA832ED" w14:textId="77777777" w:rsidR="000579BE" w:rsidRDefault="000579BE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8829" w14:textId="77777777" w:rsidR="000579BE" w:rsidRDefault="000579BE" w:rsidP="00B64A95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7378" w14:textId="3848486A" w:rsidR="000579BE" w:rsidRPr="00032F0F" w:rsidRDefault="000579BE" w:rsidP="00032F0F">
            <w:pPr>
              <w:pStyle w:val="TableText"/>
            </w:pPr>
            <w:r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B610" w14:textId="3FE61220" w:rsidR="000579BE" w:rsidRDefault="000579BE" w:rsidP="00032F0F">
            <w:pPr>
              <w:pStyle w:val="TableText"/>
            </w:pPr>
            <w:r>
              <w:t xml:space="preserve">ACS to identify and report on priority agvet chemical </w:t>
            </w:r>
            <w:r w:rsidR="00251AD9">
              <w:t>control of use</w:t>
            </w:r>
            <w:r>
              <w:t xml:space="preserve"> reform areas to progress</w:t>
            </w:r>
            <w:r w:rsidR="00B93856">
              <w:t>.</w:t>
            </w:r>
          </w:p>
        </w:tc>
      </w:tr>
      <w:tr w:rsidR="00B66A54" w14:paraId="4A547755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712707B" w14:textId="77777777" w:rsidR="00B66A54" w:rsidRDefault="00B66A54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13DF" w14:textId="4326A8FA" w:rsidR="00B66A54" w:rsidRDefault="00B66A54" w:rsidP="00B64A95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2F26" w14:textId="7A4D6DE9" w:rsidR="00B66A54" w:rsidRDefault="00B66A54" w:rsidP="00032F0F">
            <w:pPr>
              <w:pStyle w:val="TableText"/>
            </w:pPr>
            <w:r w:rsidRPr="00032F0F">
              <w:t>Next priority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62D" w14:textId="689BFB0A" w:rsidR="00B66A54" w:rsidRDefault="000579BE" w:rsidP="00032F0F">
            <w:pPr>
              <w:pStyle w:val="TableText"/>
            </w:pPr>
            <w:r>
              <w:t xml:space="preserve">ACS to develop and report </w:t>
            </w:r>
            <w:r w:rsidR="00DE6ADB">
              <w:t xml:space="preserve">on </w:t>
            </w:r>
            <w:r w:rsidR="00A8244D">
              <w:t xml:space="preserve">consistent policy positions and implementation options for each </w:t>
            </w:r>
            <w:r w:rsidR="006F5919">
              <w:t>priorit</w:t>
            </w:r>
            <w:r w:rsidR="00A8244D">
              <w:t>y reform area</w:t>
            </w:r>
            <w:r w:rsidR="00B93856">
              <w:t>.</w:t>
            </w:r>
          </w:p>
        </w:tc>
      </w:tr>
      <w:tr w:rsidR="00B66A54" w14:paraId="471E69CA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572C4E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C7A1" w14:textId="3D387698" w:rsidR="00B66A54" w:rsidRDefault="00B66A54" w:rsidP="00032F0F">
            <w:pPr>
              <w:pStyle w:val="TableText"/>
            </w:pPr>
            <w:r w:rsidRPr="00032F0F">
              <w:t>1.3 Stakeholder engagement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5309" w14:textId="343A5A7D" w:rsidR="00B66A54" w:rsidRDefault="00B66A54" w:rsidP="00032F0F">
            <w:pPr>
              <w:pStyle w:val="TableText"/>
            </w:pPr>
            <w:r w:rsidRPr="006E55B8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8186" w14:textId="60832458" w:rsidR="00B66A54" w:rsidRDefault="00B66A54" w:rsidP="00032F0F">
            <w:pPr>
              <w:pStyle w:val="TableText"/>
            </w:pPr>
            <w:r w:rsidRPr="006E55B8">
              <w:t>The APVMA finalised its Stakeholder Engagement Model. This model was developed following a public consultation process and consideration of independent reviews, the findings of the 2024 Stakeholder Survey, and the engagement practices of comparable organisations.</w:t>
            </w:r>
          </w:p>
        </w:tc>
      </w:tr>
      <w:tr w:rsidR="00B66A54" w14:paraId="028D3BA9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4CD461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ED26" w14:textId="0EDBEBE2" w:rsidR="00B66A54" w:rsidRDefault="00B66A54" w:rsidP="00032F0F">
            <w:pPr>
              <w:pStyle w:val="TableText"/>
            </w:pPr>
            <w:r w:rsidRPr="00032F0F">
              <w:t>1.4 Efficiency of regulatory processes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89F8" w14:textId="0684FA46" w:rsidR="00B66A54" w:rsidRDefault="00B66A54" w:rsidP="00032F0F">
            <w:pPr>
              <w:pStyle w:val="TableText"/>
            </w:pPr>
            <w:r w:rsidRPr="005A0E75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CDA8" w14:textId="7548C684" w:rsidR="00B66A54" w:rsidRDefault="00B66A54" w:rsidP="00032F0F">
            <w:pPr>
              <w:pStyle w:val="TableText"/>
            </w:pPr>
            <w:r w:rsidRPr="005A0E75">
              <w:t>The department is leading policy analysis of prioritised reform</w:t>
            </w:r>
            <w:r w:rsidR="007731FF">
              <w:t>s</w:t>
            </w:r>
            <w:r w:rsidRPr="005A0E75">
              <w:t xml:space="preserve"> in preparation for consultation: appropriate risk-based regulation for emerging products and low risk products</w:t>
            </w:r>
            <w:r w:rsidR="00B4752F">
              <w:t xml:space="preserve">. </w:t>
            </w:r>
            <w:r w:rsidR="006F5919">
              <w:t>Agricultural</w:t>
            </w:r>
            <w:r w:rsidR="00B4752F">
              <w:t xml:space="preserve"> emissions inhibitors discussion paper will be released for public consultation in Q2 2026.</w:t>
            </w:r>
          </w:p>
        </w:tc>
      </w:tr>
      <w:tr w:rsidR="00B66A54" w14:paraId="59FD3A86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7F367498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DFE2" w14:textId="394FC3C0" w:rsidR="00B66A54" w:rsidRDefault="00B66A54" w:rsidP="00032F0F">
            <w:pPr>
              <w:pStyle w:val="TableText"/>
            </w:pPr>
            <w:r w:rsidRPr="00D507E6">
              <w:t>1.5 Product labelling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CAD3" w14:textId="4726C8B1" w:rsidR="00B66A54" w:rsidRDefault="006C2146" w:rsidP="00032F0F">
            <w:pPr>
              <w:pStyle w:val="TableText"/>
            </w:pPr>
            <w:r>
              <w:t>n</w:t>
            </w:r>
            <w:r w:rsidR="00B66A54" w:rsidRPr="00D507E6">
              <w:t>/</w:t>
            </w:r>
            <w:r>
              <w:t>a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E5CE" w14:textId="6353A1F7" w:rsidR="00B66A54" w:rsidRDefault="00B66A54" w:rsidP="00032F0F">
            <w:pPr>
              <w:pStyle w:val="TableText"/>
            </w:pPr>
            <w:r w:rsidRPr="00D507E6">
              <w:t>Considering opportunities for reform, including through ACS</w:t>
            </w:r>
            <w:r w:rsidR="00B93856">
              <w:t>.</w:t>
            </w:r>
          </w:p>
        </w:tc>
      </w:tr>
      <w:tr w:rsidR="00B66A54" w14:paraId="36BF2473" w14:textId="77777777" w:rsidTr="00B93856"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2BB15DF" w14:textId="77777777" w:rsidR="00B66A54" w:rsidRDefault="00B66A54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FB21" w14:textId="471C2BF8" w:rsidR="00B66A54" w:rsidRDefault="00B66A54" w:rsidP="00032F0F">
            <w:pPr>
              <w:pStyle w:val="TableText"/>
            </w:pPr>
            <w:r w:rsidRPr="00AB1B80">
              <w:t>1.6 Assessment and application pathways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0924" w14:textId="1ECF9AC5" w:rsidR="00B66A54" w:rsidRDefault="00B66A54" w:rsidP="00032F0F">
            <w:pPr>
              <w:pStyle w:val="TableText"/>
            </w:pPr>
            <w:r w:rsidRPr="00AB1B80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FFD" w14:textId="72CD28B5" w:rsidR="00B66A54" w:rsidRDefault="00B66A54" w:rsidP="00032F0F">
            <w:pPr>
              <w:pStyle w:val="TableText"/>
            </w:pPr>
            <w:r w:rsidRPr="00AB1B80">
              <w:t>The department is leading policy analysis of prioritised reforms in preparation for consultation</w:t>
            </w:r>
            <w:r w:rsidR="007731FF">
              <w:t>:</w:t>
            </w:r>
            <w:r w:rsidRPr="00AB1B80">
              <w:t xml:space="preserve"> enhancing the efficiency and transparency of chemical reconsideration; a cyclical registration model</w:t>
            </w:r>
            <w:r w:rsidR="00B93856">
              <w:t>.</w:t>
            </w:r>
          </w:p>
        </w:tc>
      </w:tr>
      <w:tr w:rsidR="009A51DE" w14:paraId="506C6064" w14:textId="77777777" w:rsidTr="00B93856">
        <w:trPr>
          <w:trHeight w:val="338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DE6311C" w14:textId="77777777" w:rsidR="009A51DE" w:rsidRDefault="009A51DE" w:rsidP="00032F0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D723" w14:textId="420409F9" w:rsidR="009A51DE" w:rsidRDefault="009A51DE" w:rsidP="00032F0F">
            <w:pPr>
              <w:pStyle w:val="TableText"/>
            </w:pPr>
            <w:r w:rsidRPr="000F730B">
              <w:t>1.7 Product safety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3CFF" w14:textId="7243F84A" w:rsidR="009A51DE" w:rsidRDefault="006C2146" w:rsidP="00032F0F">
            <w:pPr>
              <w:pStyle w:val="TableText"/>
            </w:pPr>
            <w:r>
              <w:t>n</w:t>
            </w:r>
            <w:r w:rsidR="009A51DE" w:rsidRPr="000F730B">
              <w:t>/</w:t>
            </w:r>
            <w:r>
              <w:t>a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CFF6" w14:textId="20190189" w:rsidR="009A51DE" w:rsidRDefault="009A51DE" w:rsidP="00032F0F">
            <w:pPr>
              <w:pStyle w:val="TableText"/>
            </w:pPr>
            <w:r w:rsidRPr="000F730B">
              <w:t>Considering opportunities for reform, including through ACS</w:t>
            </w:r>
            <w:r w:rsidR="00B93856">
              <w:t>.</w:t>
            </w:r>
          </w:p>
        </w:tc>
      </w:tr>
      <w:tr w:rsidR="00B66A54" w14:paraId="39E752C9" w14:textId="77777777" w:rsidTr="00B93856">
        <w:trPr>
          <w:trHeight w:val="292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15153" w14:textId="77777777" w:rsidR="00B66A54" w:rsidRDefault="00B66A54" w:rsidP="00B66A5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ACBA" w14:textId="63206A8D" w:rsidR="00B66A54" w:rsidRPr="00C01C84" w:rsidRDefault="00B66A54" w:rsidP="00B66A54">
            <w:pPr>
              <w:pStyle w:val="TableText"/>
            </w:pPr>
            <w:r w:rsidRPr="00B66A54">
              <w:t>1.8 Other regulatory processes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31AB" w14:textId="454F41C9" w:rsidR="00B66A54" w:rsidRPr="00C01C84" w:rsidRDefault="00B66A54" w:rsidP="00B66A54">
            <w:pPr>
              <w:pStyle w:val="TableText"/>
            </w:pPr>
            <w:r w:rsidRPr="009C054A"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1549" w14:textId="13EDFFA9" w:rsidR="00B66A54" w:rsidRPr="00C01C84" w:rsidRDefault="00B66A54" w:rsidP="00B66A54">
            <w:pPr>
              <w:pStyle w:val="TableText"/>
            </w:pPr>
            <w:r w:rsidRPr="009C054A">
              <w:t>The department is leading policy analysis of prioritised reform in preparation for consultation</w:t>
            </w:r>
            <w:r w:rsidR="007731FF">
              <w:t>:</w:t>
            </w:r>
            <w:r w:rsidRPr="009C054A">
              <w:t xml:space="preserve"> consistency in the application of limits on use of information</w:t>
            </w:r>
            <w:r w:rsidR="007731FF">
              <w:t>;</w:t>
            </w:r>
            <w:r w:rsidRPr="009C054A">
              <w:t xml:space="preserve"> exploring removing APVMA’s mediation and arbitration provisions</w:t>
            </w:r>
            <w:r w:rsidR="00B93856">
              <w:t>.</w:t>
            </w:r>
          </w:p>
        </w:tc>
      </w:tr>
      <w:tr w:rsidR="00032F0F" w14:paraId="183095C7" w14:textId="77777777" w:rsidTr="00B93856"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1A6EC" w14:textId="580270E6" w:rsidR="00032F0F" w:rsidRPr="00DA71B8" w:rsidRDefault="00AC06BC" w:rsidP="00032F0F">
            <w:pPr>
              <w:pStyle w:val="TableText"/>
            </w:pPr>
            <w:r w:rsidRPr="00AC06BC">
              <w:rPr>
                <w:rStyle w:val="Strong"/>
                <w:b w:val="0"/>
                <w:bCs w:val="0"/>
              </w:rPr>
              <w:t>Improvement in governance of the APVMA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8B45" w14:textId="20AE2E83" w:rsidR="00032F0F" w:rsidRDefault="00032F0F" w:rsidP="00032F0F">
            <w:pPr>
              <w:pStyle w:val="TableText"/>
            </w:pPr>
            <w:r w:rsidRPr="00BD0F2B">
              <w:t>2.1 Links with APS and other regulators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A052" w14:textId="553B0D50" w:rsidR="00032F0F" w:rsidRDefault="00032F0F" w:rsidP="00032F0F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43DB" w14:textId="25C070D3" w:rsidR="00032F0F" w:rsidRDefault="00032F0F" w:rsidP="00032F0F">
            <w:pPr>
              <w:pStyle w:val="TableText"/>
            </w:pPr>
            <w:r w:rsidRPr="00BD0F2B">
              <w:t xml:space="preserve">A Reporting and Cooperation Framework </w:t>
            </w:r>
            <w:r w:rsidR="00C755FD">
              <w:t>was agreed by the department and the APVMA in 2025</w:t>
            </w:r>
            <w:r w:rsidR="00B93856">
              <w:t>.</w:t>
            </w:r>
          </w:p>
        </w:tc>
      </w:tr>
      <w:tr w:rsidR="00AC06BC" w14:paraId="3E058374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EB382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4F41" w14:textId="6207C51F" w:rsidR="00AC06BC" w:rsidRDefault="00AC06BC" w:rsidP="00AC06BC">
            <w:pPr>
              <w:pStyle w:val="TableText"/>
            </w:pPr>
            <w:r w:rsidRPr="00032F0F">
              <w:t>2.2 Transparency of governance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3FF7" w14:textId="35ADA92E" w:rsidR="00AC06BC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A7EB" w14:textId="1074511B" w:rsidR="00AC06BC" w:rsidRDefault="00AC06BC" w:rsidP="00AC06BC">
            <w:pPr>
              <w:pStyle w:val="TableText"/>
            </w:pPr>
            <w:r w:rsidRPr="004326BB">
              <w:t>The APVMA Governance Framework was finalised in December 2024</w:t>
            </w:r>
            <w:r w:rsidR="00B93856">
              <w:t>.</w:t>
            </w:r>
          </w:p>
        </w:tc>
      </w:tr>
      <w:tr w:rsidR="00AC06BC" w14:paraId="49A07E8A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0BFF2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9B4" w14:textId="58BDFC82" w:rsidR="00AC06BC" w:rsidRDefault="00AC06BC" w:rsidP="00AC06BC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72B9" w14:textId="4EC0CB00" w:rsidR="00AC06BC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DF14" w14:textId="186165FB" w:rsidR="00AC06BC" w:rsidRDefault="00AC06BC" w:rsidP="00AC06BC">
            <w:pPr>
              <w:pStyle w:val="TableText"/>
            </w:pPr>
            <w:r w:rsidRPr="004326BB">
              <w:t xml:space="preserve">The </w:t>
            </w:r>
            <w:hyperlink r:id="rId15" w:history="1">
              <w:r w:rsidR="00B93856">
                <w:rPr>
                  <w:rStyle w:val="Hyperlink"/>
                </w:rPr>
                <w:t>APVMA Corporate Plan 2025–29</w:t>
              </w:r>
            </w:hyperlink>
            <w:r w:rsidRPr="004326BB">
              <w:t xml:space="preserve"> came into effect on 1 September 2025</w:t>
            </w:r>
            <w:r w:rsidR="00B93856">
              <w:t>.</w:t>
            </w:r>
          </w:p>
        </w:tc>
      </w:tr>
      <w:tr w:rsidR="00AC06BC" w14:paraId="5DBFBF36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000AB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8AF8" w14:textId="77777777" w:rsidR="00AC06BC" w:rsidRDefault="00AC06BC" w:rsidP="00AC06BC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26D6" w14:textId="3DA73DB0" w:rsidR="00AC06BC" w:rsidRPr="00BD0F2B" w:rsidRDefault="00AC06BC" w:rsidP="00AC06BC">
            <w:pPr>
              <w:pStyle w:val="TableText"/>
            </w:pPr>
            <w:r w:rsidRPr="00BD0F2B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91F1" w14:textId="02844839" w:rsidR="00AC06BC" w:rsidRDefault="00AC06BC" w:rsidP="00AC06BC">
            <w:pPr>
              <w:pStyle w:val="TableText"/>
            </w:pPr>
            <w:r w:rsidRPr="00AC06BC">
              <w:t xml:space="preserve">The </w:t>
            </w:r>
            <w:hyperlink r:id="rId16" w:history="1">
              <w:r w:rsidR="006C2146">
                <w:rPr>
                  <w:rStyle w:val="Hyperlink"/>
                </w:rPr>
                <w:t>APVMA Strategic Plan 2025–30</w:t>
              </w:r>
            </w:hyperlink>
            <w:r w:rsidRPr="00AC06BC">
              <w:t xml:space="preserve"> was published on 29 August 2025</w:t>
            </w:r>
            <w:r w:rsidR="00B93856">
              <w:t>.</w:t>
            </w:r>
          </w:p>
        </w:tc>
      </w:tr>
      <w:tr w:rsidR="00AC06BC" w14:paraId="704E6E35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340A3" w14:textId="77777777" w:rsidR="00AC06BC" w:rsidRPr="00DA71B8" w:rsidRDefault="00AC06BC" w:rsidP="00AC06BC">
            <w:pPr>
              <w:pStyle w:val="TableText"/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7226" w14:textId="4B800D2B" w:rsidR="00AC06BC" w:rsidRDefault="00AC06BC" w:rsidP="00AC06BC">
            <w:pPr>
              <w:pStyle w:val="TableText"/>
              <w:rPr>
                <w:bCs/>
              </w:rPr>
            </w:pPr>
            <w:r w:rsidRPr="00AC06BC">
              <w:rPr>
                <w:bCs/>
              </w:rPr>
              <w:t>2.3 Purpose of system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F9D7" w14:textId="22FEC766" w:rsidR="00AC06BC" w:rsidRDefault="00A8244D" w:rsidP="00AC06BC">
            <w:pPr>
              <w:pStyle w:val="TableText"/>
            </w:pPr>
            <w:r>
              <w:t>In progress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855E" w14:textId="709E86C8" w:rsidR="00AC06BC" w:rsidRDefault="0008321B" w:rsidP="00AC06BC">
            <w:pPr>
              <w:pStyle w:val="TableText"/>
            </w:pPr>
            <w:r>
              <w:t>ACS</w:t>
            </w:r>
            <w:r w:rsidR="00AC06BC" w:rsidRPr="00CD4F5C">
              <w:t xml:space="preserve"> </w:t>
            </w:r>
            <w:r w:rsidR="00A8244D">
              <w:t>considerin</w:t>
            </w:r>
            <w:r w:rsidR="003C3A2B">
              <w:t>g</w:t>
            </w:r>
            <w:r w:rsidR="00AC06BC" w:rsidRPr="00CD4F5C">
              <w:t xml:space="preserve"> national consistency matters</w:t>
            </w:r>
            <w:r w:rsidR="006C2146">
              <w:t>.</w:t>
            </w:r>
          </w:p>
        </w:tc>
      </w:tr>
      <w:tr w:rsidR="00AC06BC" w14:paraId="67A03F0E" w14:textId="77777777" w:rsidTr="00B93856">
        <w:tc>
          <w:tcPr>
            <w:tcW w:w="6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6EA02" w14:textId="06499449" w:rsidR="00AC06BC" w:rsidRPr="00DA71B8" w:rsidRDefault="00AC06BC" w:rsidP="00AC06BC">
            <w:pPr>
              <w:pStyle w:val="TableText"/>
            </w:pPr>
            <w:r w:rsidRPr="00AC06BC">
              <w:rPr>
                <w:rStyle w:val="Strong"/>
                <w:b w:val="0"/>
                <w:bCs w:val="0"/>
              </w:rPr>
              <w:t>Improvement in APVMA operations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0DB" w14:textId="5328DA25" w:rsidR="00AC06BC" w:rsidRDefault="00AC06BC" w:rsidP="00AC06BC">
            <w:pPr>
              <w:pStyle w:val="TableText"/>
            </w:pPr>
            <w:r w:rsidRPr="00AC06BC">
              <w:t>3.1 People and culture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98E4" w14:textId="7DBA5DC3" w:rsidR="00AC06BC" w:rsidRDefault="00AC06BC" w:rsidP="00AC06BC">
            <w:pPr>
              <w:pStyle w:val="TableText"/>
            </w:pPr>
            <w:r w:rsidRPr="008D1CC4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39AC" w14:textId="78B538FA" w:rsidR="00AC06BC" w:rsidRDefault="00AC06BC" w:rsidP="00AC06BC">
            <w:pPr>
              <w:pStyle w:val="TableText"/>
            </w:pPr>
            <w:r w:rsidRPr="00AC06BC">
              <w:t>The APVMA’s Reflect Reconciliation Action Plan was finalised in December 2024</w:t>
            </w:r>
            <w:r w:rsidR="006C2146">
              <w:t>.</w:t>
            </w:r>
          </w:p>
        </w:tc>
      </w:tr>
      <w:tr w:rsidR="00AC06BC" w14:paraId="5600FE37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FDEEC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A740" w14:textId="389685BC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1FD6" w14:textId="69D3645D" w:rsidR="00AC06BC" w:rsidRDefault="00AC06BC" w:rsidP="00032F0F">
            <w:pPr>
              <w:pStyle w:val="TableText"/>
            </w:pPr>
            <w:r w:rsidRPr="00AC06BC"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298F" w14:textId="76D7E564" w:rsidR="00AC06BC" w:rsidRDefault="00AC06BC" w:rsidP="00032F0F">
            <w:pPr>
              <w:pStyle w:val="TableText"/>
            </w:pPr>
            <w:r w:rsidRPr="00AC06BC">
              <w:t>The APVMA’s People Plan was endorsed by the Board in August 2025</w:t>
            </w:r>
            <w:r w:rsidR="006C2146">
              <w:t>.</w:t>
            </w:r>
          </w:p>
        </w:tc>
      </w:tr>
      <w:tr w:rsidR="00AC06BC" w14:paraId="2A7650C0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255A72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B8C8" w14:textId="538AABE7" w:rsidR="00AC06BC" w:rsidRDefault="00AC06BC" w:rsidP="00032F0F">
            <w:pPr>
              <w:pStyle w:val="TableText"/>
            </w:pPr>
            <w:r w:rsidRPr="00AC06BC">
              <w:t>3.2 Financial management and procurement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A3C0" w14:textId="1D49DB4B" w:rsidR="00AC06BC" w:rsidRDefault="00C755FD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E773" w14:textId="72C16C96" w:rsidR="00AC06BC" w:rsidRDefault="00AC06BC" w:rsidP="00032F0F">
            <w:pPr>
              <w:pStyle w:val="TableText"/>
            </w:pPr>
            <w:r w:rsidRPr="00AC06BC">
              <w:t>The 2025</w:t>
            </w:r>
            <w:r w:rsidR="006C2146">
              <w:t>–</w:t>
            </w:r>
            <w:r w:rsidRPr="00AC06BC">
              <w:t xml:space="preserve">26 CRIS </w:t>
            </w:r>
            <w:r w:rsidR="00C755FD">
              <w:t>came into effect</w:t>
            </w:r>
            <w:r w:rsidRPr="00AC06BC">
              <w:t xml:space="preserve"> on 1 October 2025</w:t>
            </w:r>
            <w:r w:rsidR="006C2146">
              <w:t>.</w:t>
            </w:r>
          </w:p>
        </w:tc>
      </w:tr>
      <w:tr w:rsidR="00AC06BC" w14:paraId="714A1DC2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48FD2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3C5E" w14:textId="0C8E9839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83CA" w14:textId="2A38BDF5" w:rsidR="00AC06BC" w:rsidRDefault="00A8244D" w:rsidP="00032F0F">
            <w:pPr>
              <w:pStyle w:val="TableText"/>
            </w:pPr>
            <w:r>
              <w:t>Complete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CB94" w14:textId="3594E598" w:rsidR="00AC06BC" w:rsidRDefault="00AC06BC" w:rsidP="00032F0F">
            <w:pPr>
              <w:pStyle w:val="TableText"/>
            </w:pPr>
            <w:r w:rsidRPr="00AC06BC">
              <w:t>Progressing cost analysis and review of APVMA’s funding model</w:t>
            </w:r>
            <w:r w:rsidR="006C2146">
              <w:t>.</w:t>
            </w:r>
          </w:p>
        </w:tc>
      </w:tr>
      <w:tr w:rsidR="00AC06BC" w14:paraId="65F522DD" w14:textId="77777777" w:rsidTr="00B9385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48F04" w14:textId="77777777" w:rsidR="00AC06BC" w:rsidRDefault="00AC06BC" w:rsidP="00B64A95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43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69E5" w14:textId="557281DF" w:rsidR="00AC06BC" w:rsidRDefault="00AC06BC" w:rsidP="00032F0F">
            <w:pPr>
              <w:pStyle w:val="TableText"/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16B6" w14:textId="4F305736" w:rsidR="00AC06BC" w:rsidRDefault="00AC06BC" w:rsidP="00032F0F">
            <w:pPr>
              <w:pStyle w:val="TableText"/>
            </w:pPr>
            <w:r w:rsidRPr="00CD4F5C">
              <w:t>Next priority</w:t>
            </w:r>
          </w:p>
        </w:tc>
        <w:tc>
          <w:tcPr>
            <w:tcW w:w="3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1783" w14:textId="68F2FF09" w:rsidR="00AC06BC" w:rsidRDefault="0078701D" w:rsidP="00032F0F">
            <w:pPr>
              <w:pStyle w:val="TableText"/>
            </w:pPr>
            <w:r>
              <w:t>C</w:t>
            </w:r>
            <w:r w:rsidR="00A8244D">
              <w:t>onsultation on new funding arrangements</w:t>
            </w:r>
            <w:r w:rsidR="006C2146">
              <w:t>.</w:t>
            </w:r>
          </w:p>
        </w:tc>
      </w:tr>
    </w:tbl>
    <w:p w14:paraId="45D0E206" w14:textId="7A129DCE" w:rsidR="00262394" w:rsidRDefault="00262394" w:rsidP="0066601A">
      <w:pPr>
        <w:pStyle w:val="Normalsmall"/>
      </w:pPr>
    </w:p>
    <w:sectPr w:rsidR="00262394" w:rsidSect="00CF1D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A0CC" w14:textId="77777777" w:rsidR="002E2A2E" w:rsidRDefault="002E2A2E">
      <w:r>
        <w:separator/>
      </w:r>
    </w:p>
    <w:p w14:paraId="0B617F10" w14:textId="77777777" w:rsidR="002E2A2E" w:rsidRDefault="002E2A2E"/>
    <w:p w14:paraId="36545132" w14:textId="77777777" w:rsidR="002E2A2E" w:rsidRDefault="002E2A2E"/>
  </w:endnote>
  <w:endnote w:type="continuationSeparator" w:id="0">
    <w:p w14:paraId="4A6DEC78" w14:textId="77777777" w:rsidR="002E2A2E" w:rsidRDefault="002E2A2E">
      <w:r>
        <w:continuationSeparator/>
      </w:r>
    </w:p>
    <w:p w14:paraId="7615A19D" w14:textId="77777777" w:rsidR="002E2A2E" w:rsidRDefault="002E2A2E"/>
    <w:p w14:paraId="36E60510" w14:textId="77777777" w:rsidR="002E2A2E" w:rsidRDefault="002E2A2E"/>
  </w:endnote>
  <w:endnote w:type="continuationNotice" w:id="1">
    <w:p w14:paraId="591E364E" w14:textId="77777777" w:rsidR="002E2A2E" w:rsidRDefault="002E2A2E">
      <w:pPr>
        <w:pStyle w:val="Footer"/>
      </w:pPr>
    </w:p>
    <w:p w14:paraId="77163ECD" w14:textId="77777777" w:rsidR="002E2A2E" w:rsidRDefault="002E2A2E"/>
    <w:p w14:paraId="2B7430F7" w14:textId="77777777" w:rsidR="002E2A2E" w:rsidRDefault="002E2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B2D5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07C5E4BB" wp14:editId="4DE48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8D82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5E4B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3.45pt;height:31.85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AA98D82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E" w14:textId="77777777" w:rsidR="002A193C" w:rsidRDefault="00D61857" w:rsidP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52F253C0" wp14:editId="3583BC40">
              <wp:simplePos x="900752" y="95943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2878149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4E07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253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3.45pt;height:31.85pt;z-index:25167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2264E07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F92" w:rsidRPr="007B1F92">
      <w:t>Department of Agriculture, Fisheries and Forestry</w:t>
    </w:r>
    <w:r>
      <w:tab/>
    </w:r>
    <w:r w:rsidR="002A193C">
      <w:fldChar w:fldCharType="begin"/>
    </w:r>
    <w:r w:rsidR="002A193C">
      <w:instrText xml:space="preserve"> PAGE   \* MERGEFORMAT </w:instrText>
    </w:r>
    <w:r w:rsidR="002A193C">
      <w:fldChar w:fldCharType="separate"/>
    </w:r>
    <w:r w:rsidR="002A193C">
      <w:rPr>
        <w:noProof/>
      </w:rPr>
      <w:t>10</w:t>
    </w:r>
    <w:r w:rsidR="002A19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E6C7" w14:textId="0B6F3EFF" w:rsidR="002A193C" w:rsidRDefault="006C2146" w:rsidP="00911D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FEB818A" wp14:editId="18D56832">
              <wp:simplePos x="900752" y="95943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240417137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2528E" w14:textId="77777777" w:rsidR="006C2146" w:rsidRPr="00D61857" w:rsidRDefault="006C2146" w:rsidP="006C21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B818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left:0;text-align:left;margin-left:0;margin-top:0;width:43.45pt;height:31.85pt;z-index:25167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1DF2528E" w14:textId="77777777" w:rsidR="006C2146" w:rsidRPr="00D61857" w:rsidRDefault="006C2146" w:rsidP="006C21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B1F92">
      <w:t>Department of Agriculture, Fisheries and Forestry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 w:rsidR="00D61857"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1E4F87AE" wp14:editId="6C14D97A">
              <wp:simplePos x="900752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3355587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9B988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F87A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0;margin-top:0;width:43.45pt;height:31.85pt;z-index:25167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m9DQ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8an7GpoTDuVg3Le3fNNh6S3z4YU5XDDOgaIN&#10;z3hIBX1F4WxR0oL78Td/zEfeMUpJj4KpqEFFU6K+GdxH1NZkuMmok1Hc5Ysc4+agHwBlWOCLsDyZ&#10;6HVBTaZ0oN9QzutYCEPMcCxX0XoyH8KoXHwOXKzXKQllZFnYmp3lETrSFbl8Hd6Ys2fCA27qCSY1&#10;sfId72NuvOnt+hCQ/bSUSO1I5JlxlGBa6/m5RI3/+p+yro969RMAAP//AwBQSwMEFAAGAAgAAAAh&#10;AB9Vog3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" filled="f" stroked="f">
              <v:textbox style="mso-fit-shape-to-text:t" inset="0,0,0,15pt">
                <w:txbxContent>
                  <w:p w14:paraId="6369B988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D7BE" w14:textId="77777777" w:rsidR="002E2A2E" w:rsidRDefault="002E2A2E">
      <w:r>
        <w:separator/>
      </w:r>
    </w:p>
    <w:p w14:paraId="00E98997" w14:textId="77777777" w:rsidR="002E2A2E" w:rsidRDefault="002E2A2E"/>
    <w:p w14:paraId="1A50192F" w14:textId="77777777" w:rsidR="002E2A2E" w:rsidRDefault="002E2A2E"/>
  </w:footnote>
  <w:footnote w:type="continuationSeparator" w:id="0">
    <w:p w14:paraId="544A6955" w14:textId="77777777" w:rsidR="002E2A2E" w:rsidRDefault="002E2A2E">
      <w:r>
        <w:continuationSeparator/>
      </w:r>
    </w:p>
    <w:p w14:paraId="45B7BE01" w14:textId="77777777" w:rsidR="002E2A2E" w:rsidRDefault="002E2A2E"/>
    <w:p w14:paraId="3500FF89" w14:textId="77777777" w:rsidR="002E2A2E" w:rsidRDefault="002E2A2E"/>
  </w:footnote>
  <w:footnote w:type="continuationNotice" w:id="1">
    <w:p w14:paraId="0387FF70" w14:textId="77777777" w:rsidR="002E2A2E" w:rsidRDefault="002E2A2E">
      <w:pPr>
        <w:pStyle w:val="Footer"/>
      </w:pPr>
    </w:p>
    <w:p w14:paraId="135F1893" w14:textId="77777777" w:rsidR="002E2A2E" w:rsidRDefault="002E2A2E"/>
    <w:p w14:paraId="423E824E" w14:textId="77777777" w:rsidR="002E2A2E" w:rsidRDefault="002E2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1BA5" w14:textId="48B2A06F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475D61C2" wp14:editId="647C3B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81128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D61C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720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6E81128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581F" w14:textId="34248739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53B73C73" wp14:editId="3796E271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883594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D28F2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73C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3.45pt;height:31.85pt;z-index:251673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217D28F2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818">
      <w:t>Detailed response implementation update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30E5" w14:textId="6DE5820F" w:rsidR="002A193C" w:rsidRDefault="00CF1DB4">
    <w:pPr>
      <w:pStyle w:val="Header"/>
      <w:jc w:val="left"/>
    </w:pPr>
    <w:r>
      <w:rPr>
        <w:noProof/>
        <w:lang w:eastAsia="en-AU"/>
      </w:rPr>
      <w:drawing>
        <wp:inline distT="0" distB="0" distL="0" distR="0" wp14:anchorId="18BB75AF" wp14:editId="6A9E7457">
          <wp:extent cx="2542599" cy="738943"/>
          <wp:effectExtent l="0" t="0" r="0" b="4445"/>
          <wp:docPr id="1" name="Picture 1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6800B4"/>
    <w:multiLevelType w:val="multilevel"/>
    <w:tmpl w:val="A0241B28"/>
    <w:numStyleLink w:val="List1"/>
  </w:abstractNum>
  <w:abstractNum w:abstractNumId="3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7268471">
    <w:abstractNumId w:val="7"/>
  </w:num>
  <w:num w:numId="2" w16cid:durableId="1355770275">
    <w:abstractNumId w:val="8"/>
  </w:num>
  <w:num w:numId="3" w16cid:durableId="1882862685">
    <w:abstractNumId w:val="1"/>
  </w:num>
  <w:num w:numId="4" w16cid:durableId="3605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5"/>
  </w:num>
  <w:num w:numId="6" w16cid:durableId="1314989398">
    <w:abstractNumId w:val="6"/>
  </w:num>
  <w:num w:numId="7" w16cid:durableId="951480071">
    <w:abstractNumId w:val="3"/>
  </w:num>
  <w:num w:numId="8" w16cid:durableId="844629787">
    <w:abstractNumId w:val="1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7"/>
  </w:num>
  <w:num w:numId="10" w16cid:durableId="547035718">
    <w:abstractNumId w:val="8"/>
  </w:num>
  <w:num w:numId="11" w16cid:durableId="1145393031">
    <w:abstractNumId w:val="0"/>
  </w:num>
  <w:num w:numId="12" w16cid:durableId="645671681">
    <w:abstractNumId w:val="9"/>
  </w:num>
  <w:num w:numId="13" w16cid:durableId="274824895">
    <w:abstractNumId w:val="11"/>
  </w:num>
  <w:num w:numId="14" w16cid:durableId="1361395064">
    <w:abstractNumId w:val="10"/>
  </w:num>
  <w:num w:numId="15" w16cid:durableId="23686923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0F"/>
    <w:rsid w:val="00032F0F"/>
    <w:rsid w:val="00047CF6"/>
    <w:rsid w:val="000579BE"/>
    <w:rsid w:val="00065BC6"/>
    <w:rsid w:val="00071927"/>
    <w:rsid w:val="0008321B"/>
    <w:rsid w:val="00093CD3"/>
    <w:rsid w:val="000C070F"/>
    <w:rsid w:val="000D6DD8"/>
    <w:rsid w:val="00107A47"/>
    <w:rsid w:val="00111EAD"/>
    <w:rsid w:val="00112B86"/>
    <w:rsid w:val="00122407"/>
    <w:rsid w:val="00134E1D"/>
    <w:rsid w:val="001450BA"/>
    <w:rsid w:val="00153818"/>
    <w:rsid w:val="001567E9"/>
    <w:rsid w:val="00183612"/>
    <w:rsid w:val="001837C6"/>
    <w:rsid w:val="0018454A"/>
    <w:rsid w:val="001A1F79"/>
    <w:rsid w:val="001A520A"/>
    <w:rsid w:val="001B1009"/>
    <w:rsid w:val="001C3583"/>
    <w:rsid w:val="001D2AB4"/>
    <w:rsid w:val="001D77BC"/>
    <w:rsid w:val="001E1C4C"/>
    <w:rsid w:val="00201500"/>
    <w:rsid w:val="00222B30"/>
    <w:rsid w:val="00224AC6"/>
    <w:rsid w:val="002324D2"/>
    <w:rsid w:val="00236BA8"/>
    <w:rsid w:val="00251AD9"/>
    <w:rsid w:val="00262394"/>
    <w:rsid w:val="00265F44"/>
    <w:rsid w:val="00272C88"/>
    <w:rsid w:val="00274C12"/>
    <w:rsid w:val="002A193C"/>
    <w:rsid w:val="002E2A2E"/>
    <w:rsid w:val="002E73E0"/>
    <w:rsid w:val="003005B7"/>
    <w:rsid w:val="00305911"/>
    <w:rsid w:val="00340820"/>
    <w:rsid w:val="00357095"/>
    <w:rsid w:val="00362353"/>
    <w:rsid w:val="00381D23"/>
    <w:rsid w:val="00396339"/>
    <w:rsid w:val="003A4B4A"/>
    <w:rsid w:val="003C3A2B"/>
    <w:rsid w:val="003C79D6"/>
    <w:rsid w:val="003D3CE1"/>
    <w:rsid w:val="003D44DC"/>
    <w:rsid w:val="003D713A"/>
    <w:rsid w:val="003E7FF6"/>
    <w:rsid w:val="00402404"/>
    <w:rsid w:val="00406AC2"/>
    <w:rsid w:val="00444ACE"/>
    <w:rsid w:val="00451E21"/>
    <w:rsid w:val="00452978"/>
    <w:rsid w:val="00460750"/>
    <w:rsid w:val="004705F2"/>
    <w:rsid w:val="004730CA"/>
    <w:rsid w:val="00473964"/>
    <w:rsid w:val="00475F0F"/>
    <w:rsid w:val="00482F98"/>
    <w:rsid w:val="00482FD5"/>
    <w:rsid w:val="004837B1"/>
    <w:rsid w:val="0048569E"/>
    <w:rsid w:val="00486C20"/>
    <w:rsid w:val="00490E7F"/>
    <w:rsid w:val="004C6362"/>
    <w:rsid w:val="004C6C47"/>
    <w:rsid w:val="004F2267"/>
    <w:rsid w:val="00507BD3"/>
    <w:rsid w:val="0052060C"/>
    <w:rsid w:val="00520B79"/>
    <w:rsid w:val="00543B52"/>
    <w:rsid w:val="00573C9D"/>
    <w:rsid w:val="0059380F"/>
    <w:rsid w:val="005953BB"/>
    <w:rsid w:val="005E0F95"/>
    <w:rsid w:val="005F0E4D"/>
    <w:rsid w:val="005F7ED2"/>
    <w:rsid w:val="00611DA7"/>
    <w:rsid w:val="006416D4"/>
    <w:rsid w:val="00643D64"/>
    <w:rsid w:val="0066601A"/>
    <w:rsid w:val="00687182"/>
    <w:rsid w:val="006C2146"/>
    <w:rsid w:val="006D3365"/>
    <w:rsid w:val="006E1CF5"/>
    <w:rsid w:val="006F5919"/>
    <w:rsid w:val="00704CE7"/>
    <w:rsid w:val="0071716E"/>
    <w:rsid w:val="00736DAC"/>
    <w:rsid w:val="007405CB"/>
    <w:rsid w:val="0074566C"/>
    <w:rsid w:val="00762C3E"/>
    <w:rsid w:val="00766AE1"/>
    <w:rsid w:val="007731FF"/>
    <w:rsid w:val="0078701D"/>
    <w:rsid w:val="00791C5E"/>
    <w:rsid w:val="0079483A"/>
    <w:rsid w:val="007B1F92"/>
    <w:rsid w:val="007B4FB0"/>
    <w:rsid w:val="007B5463"/>
    <w:rsid w:val="007C34A4"/>
    <w:rsid w:val="007C5B94"/>
    <w:rsid w:val="008153FE"/>
    <w:rsid w:val="00821DA2"/>
    <w:rsid w:val="0082249A"/>
    <w:rsid w:val="00826753"/>
    <w:rsid w:val="00833933"/>
    <w:rsid w:val="00835E9D"/>
    <w:rsid w:val="00892FE1"/>
    <w:rsid w:val="008A3190"/>
    <w:rsid w:val="008D0AA3"/>
    <w:rsid w:val="008D1B48"/>
    <w:rsid w:val="008D34A8"/>
    <w:rsid w:val="0090774C"/>
    <w:rsid w:val="00911D8D"/>
    <w:rsid w:val="009679F4"/>
    <w:rsid w:val="00991227"/>
    <w:rsid w:val="00996A46"/>
    <w:rsid w:val="009A1E6B"/>
    <w:rsid w:val="009A51DE"/>
    <w:rsid w:val="009C21DB"/>
    <w:rsid w:val="009E7B5C"/>
    <w:rsid w:val="009F00C4"/>
    <w:rsid w:val="009F6E1F"/>
    <w:rsid w:val="00A04B43"/>
    <w:rsid w:val="00A06688"/>
    <w:rsid w:val="00A16700"/>
    <w:rsid w:val="00A26D23"/>
    <w:rsid w:val="00A27706"/>
    <w:rsid w:val="00A336EC"/>
    <w:rsid w:val="00A52203"/>
    <w:rsid w:val="00A52D53"/>
    <w:rsid w:val="00A7401B"/>
    <w:rsid w:val="00A8244D"/>
    <w:rsid w:val="00A87C92"/>
    <w:rsid w:val="00A9002C"/>
    <w:rsid w:val="00AA70E3"/>
    <w:rsid w:val="00AB0FBE"/>
    <w:rsid w:val="00AB27F3"/>
    <w:rsid w:val="00AC06BC"/>
    <w:rsid w:val="00AF1EB9"/>
    <w:rsid w:val="00AF5211"/>
    <w:rsid w:val="00B01FB8"/>
    <w:rsid w:val="00B12862"/>
    <w:rsid w:val="00B30180"/>
    <w:rsid w:val="00B35721"/>
    <w:rsid w:val="00B43A41"/>
    <w:rsid w:val="00B4752F"/>
    <w:rsid w:val="00B5453F"/>
    <w:rsid w:val="00B66A54"/>
    <w:rsid w:val="00B8116A"/>
    <w:rsid w:val="00B827D3"/>
    <w:rsid w:val="00B93856"/>
    <w:rsid w:val="00B97EBA"/>
    <w:rsid w:val="00BA0AFF"/>
    <w:rsid w:val="00BB6ACE"/>
    <w:rsid w:val="00BC6BA3"/>
    <w:rsid w:val="00BD2275"/>
    <w:rsid w:val="00C00AAC"/>
    <w:rsid w:val="00C05EA8"/>
    <w:rsid w:val="00C06619"/>
    <w:rsid w:val="00C100FB"/>
    <w:rsid w:val="00C16CAF"/>
    <w:rsid w:val="00C24F3F"/>
    <w:rsid w:val="00C30975"/>
    <w:rsid w:val="00C51E35"/>
    <w:rsid w:val="00C755FD"/>
    <w:rsid w:val="00C759F8"/>
    <w:rsid w:val="00C8425B"/>
    <w:rsid w:val="00C92F0F"/>
    <w:rsid w:val="00CC264C"/>
    <w:rsid w:val="00CD5520"/>
    <w:rsid w:val="00CF1DB4"/>
    <w:rsid w:val="00CF7FF8"/>
    <w:rsid w:val="00D05057"/>
    <w:rsid w:val="00D06356"/>
    <w:rsid w:val="00D36729"/>
    <w:rsid w:val="00D45274"/>
    <w:rsid w:val="00D45E0E"/>
    <w:rsid w:val="00D61857"/>
    <w:rsid w:val="00D666DC"/>
    <w:rsid w:val="00D843C2"/>
    <w:rsid w:val="00D912A7"/>
    <w:rsid w:val="00D965AB"/>
    <w:rsid w:val="00DC04C0"/>
    <w:rsid w:val="00DC1368"/>
    <w:rsid w:val="00DE6ADB"/>
    <w:rsid w:val="00DF54DC"/>
    <w:rsid w:val="00E05D92"/>
    <w:rsid w:val="00E223F4"/>
    <w:rsid w:val="00E3006D"/>
    <w:rsid w:val="00E362EF"/>
    <w:rsid w:val="00E732BE"/>
    <w:rsid w:val="00E74C11"/>
    <w:rsid w:val="00E8089A"/>
    <w:rsid w:val="00E86770"/>
    <w:rsid w:val="00E96E54"/>
    <w:rsid w:val="00EA2064"/>
    <w:rsid w:val="00F01D00"/>
    <w:rsid w:val="00F35EE8"/>
    <w:rsid w:val="00F5729D"/>
    <w:rsid w:val="00F65DFD"/>
    <w:rsid w:val="00F90D42"/>
    <w:rsid w:val="00FA42E8"/>
    <w:rsid w:val="00FB088E"/>
    <w:rsid w:val="00FB6115"/>
    <w:rsid w:val="00FC5C92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9BC5E"/>
  <w15:docId w15:val="{A68DE9D4-5CB9-4696-8979-4C7A50AA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  <w:style w:type="paragraph" w:styleId="Revision">
    <w:name w:val="Revision"/>
    <w:hidden/>
    <w:uiPriority w:val="99"/>
    <w:semiHidden/>
    <w:rsid w:val="001D2A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vma.gov.au/news-forms-and-publications/publications/ministerial-expectations-and-directives/statement-of-intent-202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pvma.gov.au/news-forms-and-publications/publications/ministerial-expectations-and-directives/statement-of-expectatio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vma.gov.au/news-forms-and-publications/publications/strategic-plan/25-3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griculture-land/farm-food-drought/ag-vet-chemicals/better-regulation-of-ag-vet-chemicals/rapid-evaluation-detailed-respons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pvma.gov.au/news-forms-and-publications/publications/corporate-plan/25-29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vma.gov.au/about/accountability-and-reporting/regulatory-posture-statement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68BEDA-CCA4-450D-8DE3-6621E20B75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65CB9393BCC3547A95DD2E3088ED8E4" ma:contentTypeVersion="" ma:contentTypeDescription="PDMS Document Site Content Type" ma:contentTypeScope="" ma:versionID="6912a2f3ecd6a905d87cc978837175b8">
  <xsd:schema xmlns:xsd="http://www.w3.org/2001/XMLSchema" xmlns:xs="http://www.w3.org/2001/XMLSchema" xmlns:p="http://schemas.microsoft.com/office/2006/metadata/properties" xmlns:ns2="8068BEDA-CCA4-450D-8DE3-6621E20B7561" targetNamespace="http://schemas.microsoft.com/office/2006/metadata/properties" ma:root="true" ma:fieldsID="7b335929b61be88582e86cb9acc0975c" ns2:_="">
    <xsd:import namespace="8068BEDA-CCA4-450D-8DE3-6621E20B756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8BEDA-CCA4-450D-8DE3-6621E20B756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CAD33-3B39-4665-A5E6-666D035120E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68BEDA-CCA4-450D-8DE3-6621E20B7561"/>
  </ds:schemaRefs>
</ds:datastoreItem>
</file>

<file path=customXml/itemProps3.xml><?xml version="1.0" encoding="utf-8"?>
<ds:datastoreItem xmlns:ds="http://schemas.openxmlformats.org/officeDocument/2006/customXml" ds:itemID="{2A59B1BA-7313-4D9A-A714-9295BD13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8BEDA-CCA4-450D-8DE3-6621E20B7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response to APVMA reviews implementation update</vt:lpstr>
    </vt:vector>
  </TitlesOfParts>
  <Company/>
  <LinksUpToDate>false</LinksUpToDate>
  <CharactersWithSpaces>4827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response to APVMA reviews implementation update</dc:title>
  <dc:creator>Department of Agriculture, Fisheries and Forestry</dc:creator>
  <cp:lastModifiedBy>Matthew, Louisa</cp:lastModifiedBy>
  <cp:revision>2</cp:revision>
  <cp:lastPrinted>2019-02-13T02:42:00Z</cp:lastPrinted>
  <dcterms:created xsi:type="dcterms:W3CDTF">2026-05-18T03:41:00Z</dcterms:created>
  <dcterms:modified xsi:type="dcterms:W3CDTF">2026-05-18T03:41:00Z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0x010100266966F133664895A6EE3632470D45F500B65CB9393BCC3547A95DD2E3088ED8E4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</Properties>
</file>