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5CB1" w14:textId="2112D182" w:rsidR="000E455C" w:rsidRDefault="00CF23F8" w:rsidP="0013173D">
      <w:pPr>
        <w:pStyle w:val="Date"/>
        <w:spacing w:before="1440"/>
      </w:pPr>
      <w:r w:rsidRPr="00CF23F8">
        <w:t>February</w:t>
      </w:r>
      <w:r w:rsidR="0044304D" w:rsidRPr="00CF23F8">
        <w:t xml:space="preserve"> </w:t>
      </w:r>
      <w:r w:rsidR="00B82095" w:rsidRPr="00CF23F8">
        <w:t>20</w:t>
      </w:r>
      <w:r w:rsidR="0044304D" w:rsidRPr="00CF23F8">
        <w:t>2</w:t>
      </w:r>
      <w:r w:rsidR="000C2702" w:rsidRPr="00CF23F8">
        <w:t>6</w:t>
      </w:r>
    </w:p>
    <w:p w14:paraId="305FF534" w14:textId="6FCDC3F8" w:rsidR="00D04A3C" w:rsidRPr="007B4C63" w:rsidRDefault="00547ED9" w:rsidP="007B4C63">
      <w:pPr>
        <w:pStyle w:val="Series"/>
      </w:pPr>
      <w:r>
        <w:t>Methyl Bromide Fumigation Methodology v3.0</w:t>
      </w:r>
    </w:p>
    <w:p w14:paraId="6C4E8BF4" w14:textId="00C29C4F" w:rsidR="00B82095" w:rsidRPr="00220618" w:rsidRDefault="00547ED9" w:rsidP="007B4C63">
      <w:pPr>
        <w:pStyle w:val="Heading1"/>
      </w:pPr>
      <w:r>
        <w:t xml:space="preserve">Completing a </w:t>
      </w:r>
      <w:r w:rsidR="00162464">
        <w:t>treatment certificate</w:t>
      </w:r>
    </w:p>
    <w:p w14:paraId="238F7DF8" w14:textId="045C82EB" w:rsidR="00546B2B" w:rsidRDefault="003D5E41" w:rsidP="00E87842">
      <w:pPr>
        <w:tabs>
          <w:tab w:val="left" w:pos="6135"/>
        </w:tabs>
      </w:pPr>
      <w:r>
        <w:t xml:space="preserve">This fact sheet explains </w:t>
      </w:r>
      <w:r w:rsidR="009F206C">
        <w:t xml:space="preserve">the mandatory information required in a </w:t>
      </w:r>
      <w:r w:rsidR="00162464">
        <w:t>treatment certificate</w:t>
      </w:r>
      <w:r w:rsidR="003C3825">
        <w:t xml:space="preserve"> </w:t>
      </w:r>
      <w:r w:rsidR="00E24894">
        <w:t xml:space="preserve">for </w:t>
      </w:r>
      <w:r w:rsidR="003C3825" w:rsidRPr="003C3825">
        <w:t>fumigations</w:t>
      </w:r>
      <w:r w:rsidR="00E24894">
        <w:t xml:space="preserve"> performed </w:t>
      </w:r>
      <w:r w:rsidR="003C3825" w:rsidRPr="003C3825">
        <w:t xml:space="preserve">under the Methyl </w:t>
      </w:r>
      <w:r w:rsidR="00E24894">
        <w:t>b</w:t>
      </w:r>
      <w:r w:rsidR="003C3825" w:rsidRPr="003C3825">
        <w:t xml:space="preserve">romide </w:t>
      </w:r>
      <w:r w:rsidR="00E24894">
        <w:t>f</w:t>
      </w:r>
      <w:r w:rsidR="003C3825" w:rsidRPr="003C3825">
        <w:t>umigation methodology v3.0</w:t>
      </w:r>
      <w:r w:rsidR="00481C1A">
        <w:t xml:space="preserve"> (the methodology)</w:t>
      </w:r>
      <w:r w:rsidR="00E24894">
        <w:t>.</w:t>
      </w:r>
      <w:r w:rsidR="004F6FE8">
        <w:t xml:space="preserve"> </w:t>
      </w:r>
    </w:p>
    <w:p w14:paraId="1C5BF519" w14:textId="17AEAF80" w:rsidR="00B82095" w:rsidRDefault="004F6FE8" w:rsidP="00E87842">
      <w:pPr>
        <w:tabs>
          <w:tab w:val="left" w:pos="6135"/>
        </w:tabs>
      </w:pPr>
      <w:r w:rsidRPr="00067B79">
        <w:rPr>
          <w:rStyle w:val="Emphasis"/>
        </w:rPr>
        <w:t>Section 12.</w:t>
      </w:r>
      <w:r w:rsidR="00162464">
        <w:rPr>
          <w:rStyle w:val="Emphasis"/>
        </w:rPr>
        <w:t>3</w:t>
      </w:r>
      <w:r w:rsidR="0024557D">
        <w:t xml:space="preserve"> of the methodology</w:t>
      </w:r>
      <w:r>
        <w:t xml:space="preserve"> defines all mandatory information.</w:t>
      </w:r>
    </w:p>
    <w:p w14:paraId="146B4D65" w14:textId="3EC47CD0" w:rsidR="000F64DA" w:rsidRPr="00411260" w:rsidRDefault="000F64DA" w:rsidP="00E87842">
      <w:pPr>
        <w:tabs>
          <w:tab w:val="left" w:pos="6135"/>
        </w:tabs>
      </w:pPr>
      <w:r w:rsidRPr="000F64DA">
        <w:t xml:space="preserve">The </w:t>
      </w:r>
      <w:r w:rsidR="00481C1A">
        <w:t>f</w:t>
      </w:r>
      <w:r w:rsidRPr="000F64DA">
        <w:t xml:space="preserve">umigation </w:t>
      </w:r>
      <w:r w:rsidR="00481C1A">
        <w:t>c</w:t>
      </w:r>
      <w:r w:rsidRPr="000F64DA">
        <w:t>ertificate provides formal evidence that a methyl bromide treatment was completed in accordance with the</w:t>
      </w:r>
      <w:r w:rsidR="005C079F">
        <w:t xml:space="preserve"> methodology</w:t>
      </w:r>
      <w:r w:rsidRPr="000F64DA">
        <w:t xml:space="preserve"> and relevant import or export requirements.</w:t>
      </w:r>
    </w:p>
    <w:p w14:paraId="0ED67177" w14:textId="364FFA1B" w:rsidR="00754CA3" w:rsidRDefault="00FE2EB4" w:rsidP="00A8157A">
      <w:r>
        <w:t xml:space="preserve">A </w:t>
      </w:r>
      <w:r w:rsidR="00162464">
        <w:t xml:space="preserve">treatment certificate </w:t>
      </w:r>
      <w:r w:rsidR="000675F5">
        <w:t>must</w:t>
      </w:r>
      <w:r>
        <w:t>:</w:t>
      </w:r>
    </w:p>
    <w:p w14:paraId="5DBAD8D3" w14:textId="59C7BC53" w:rsidR="00960C8A" w:rsidRDefault="00960C8A" w:rsidP="00960C8A">
      <w:pPr>
        <w:pStyle w:val="ListBullet"/>
      </w:pPr>
      <w:r w:rsidRPr="000F64DA">
        <w:t>be based on accurate, contemporaneous records from the Record of Fumigation (ROF)</w:t>
      </w:r>
    </w:p>
    <w:p w14:paraId="44E25C77" w14:textId="5E90A5E0" w:rsidR="00897A41" w:rsidRDefault="00897A41" w:rsidP="00897A41">
      <w:pPr>
        <w:pStyle w:val="ListBullet"/>
      </w:pPr>
      <w:r>
        <w:t>be issued for every fumigation conducted under th</w:t>
      </w:r>
      <w:r w:rsidR="00AC6C43">
        <w:t>e</w:t>
      </w:r>
      <w:r>
        <w:t xml:space="preserve"> methodology where certification of treatment is required by the importing or requesting authority</w:t>
      </w:r>
    </w:p>
    <w:p w14:paraId="105A9DD7" w14:textId="7FDFB9A8" w:rsidR="009E4D5F" w:rsidRDefault="009E4D5F" w:rsidP="00897A41">
      <w:pPr>
        <w:pStyle w:val="ListBullet"/>
      </w:pPr>
      <w:r>
        <w:t>be kept for 2 years</w:t>
      </w:r>
    </w:p>
    <w:p w14:paraId="48E807DB" w14:textId="07BD5C73" w:rsidR="0033334A" w:rsidRDefault="009E4D5F" w:rsidP="00F61ECD">
      <w:pPr>
        <w:pStyle w:val="ListBullet"/>
      </w:pPr>
      <w:r>
        <w:t>not contain false or misleading information.</w:t>
      </w:r>
    </w:p>
    <w:p w14:paraId="1B321DBE" w14:textId="3A1CFCDE" w:rsidR="00FA7060" w:rsidRDefault="0033334A" w:rsidP="003077D3">
      <w:pPr>
        <w:pStyle w:val="Heading2"/>
      </w:pPr>
      <w:r>
        <w:t>Treatment certificate</w:t>
      </w:r>
      <w:r w:rsidR="00FA7060" w:rsidRPr="00FA7060">
        <w:t xml:space="preserve"> </w:t>
      </w:r>
      <w:r>
        <w:t>t</w:t>
      </w:r>
      <w:r w:rsidR="00FA7060" w:rsidRPr="00FA7060">
        <w:t>emplate</w:t>
      </w:r>
    </w:p>
    <w:p w14:paraId="279304EA" w14:textId="2F9DC238" w:rsidR="00FA7060" w:rsidRPr="00FA7060" w:rsidRDefault="00FA7060" w:rsidP="00FA7060">
      <w:commentRangeStart w:id="0"/>
      <w:commentRangeStart w:id="1"/>
      <w:commentRangeStart w:id="2"/>
      <w:r w:rsidRPr="00FA7060">
        <w:t xml:space="preserve">Use of the </w:t>
      </w:r>
      <w:r w:rsidR="0033334A">
        <w:t>treatment certificate</w:t>
      </w:r>
      <w:r w:rsidRPr="00FA7060">
        <w:t xml:space="preserve"> template</w:t>
      </w:r>
      <w:r>
        <w:t xml:space="preserve"> (</w:t>
      </w:r>
      <w:r w:rsidR="0045184F" w:rsidRPr="00067B79">
        <w:rPr>
          <w:rStyle w:val="Emphasis"/>
        </w:rPr>
        <w:t>A</w:t>
      </w:r>
      <w:r w:rsidRPr="00067B79">
        <w:rPr>
          <w:rStyle w:val="Emphasis"/>
        </w:rPr>
        <w:t xml:space="preserve">ppendix </w:t>
      </w:r>
      <w:r w:rsidR="0033334A">
        <w:rPr>
          <w:rStyle w:val="Emphasis"/>
        </w:rPr>
        <w:t>3</w:t>
      </w:r>
      <w:r w:rsidR="0045184F">
        <w:t>)</w:t>
      </w:r>
      <w:r w:rsidRPr="00FA7060">
        <w:t xml:space="preserve"> is </w:t>
      </w:r>
      <w:r w:rsidRPr="00FA7060">
        <w:rPr>
          <w:rStyle w:val="Strong"/>
        </w:rPr>
        <w:t>not mandatory</w:t>
      </w:r>
      <w:r w:rsidRPr="00FA7060">
        <w:t xml:space="preserve">. It is provided as a resource to help </w:t>
      </w:r>
      <w:r w:rsidR="000E5218">
        <w:t>treatment providers</w:t>
      </w:r>
      <w:r w:rsidRPr="00FA7060">
        <w:t xml:space="preserve"> prepare </w:t>
      </w:r>
      <w:r w:rsidR="000E5218">
        <w:t>their</w:t>
      </w:r>
      <w:r w:rsidRPr="00FA7060">
        <w:t xml:space="preserve"> own </w:t>
      </w:r>
      <w:r w:rsidR="0033334A">
        <w:t>treatment certificate</w:t>
      </w:r>
      <w:r w:rsidRPr="00FA7060">
        <w:t xml:space="preserve">. The template may assist in meeting the required conditions; however, compliance is determined by whether </w:t>
      </w:r>
      <w:r w:rsidR="000E5218">
        <w:t>the issued</w:t>
      </w:r>
      <w:r w:rsidRPr="00FA7060">
        <w:t xml:space="preserve"> </w:t>
      </w:r>
      <w:r w:rsidR="00876940">
        <w:t>certificate</w:t>
      </w:r>
      <w:r w:rsidRPr="00FA7060">
        <w:t xml:space="preserve"> includes all requirements outlined in Section 12 of the Methyl Bromide Fumigation Methodology v3.0.</w:t>
      </w:r>
    </w:p>
    <w:p w14:paraId="2D04A6ED" w14:textId="01A73478" w:rsidR="00FA7060" w:rsidRPr="00FA7060" w:rsidRDefault="00FA7060" w:rsidP="00FA7060">
      <w:r w:rsidRPr="00FA7060">
        <w:t>Some sections of the template have been included based on feedback from industry to make the tool more practical and user-friendly.</w:t>
      </w:r>
    </w:p>
    <w:p w14:paraId="37FF9F08" w14:textId="78182C02" w:rsidR="000C4558" w:rsidRDefault="00D03A25" w:rsidP="00FA7060">
      <w:r>
        <w:t>E</w:t>
      </w:r>
      <w:r w:rsidR="00FA7060" w:rsidRPr="00FA7060">
        <w:t>nsure documents or IT systems align with the requirements in Section 12. Do not rely on the template alone to determine compliance.</w:t>
      </w:r>
      <w:commentRangeEnd w:id="0"/>
      <w:r w:rsidR="004E3021">
        <w:rPr>
          <w:rStyle w:val="CommentReference"/>
        </w:rPr>
        <w:commentReference w:id="0"/>
      </w:r>
      <w:commentRangeEnd w:id="1"/>
      <w:r w:rsidR="001A644F">
        <w:rPr>
          <w:rStyle w:val="CommentReference"/>
        </w:rPr>
        <w:commentReference w:id="1"/>
      </w:r>
      <w:commentRangeEnd w:id="2"/>
      <w:r w:rsidR="005439C8">
        <w:rPr>
          <w:rStyle w:val="CommentReference"/>
        </w:rPr>
        <w:commentReference w:id="2"/>
      </w:r>
    </w:p>
    <w:p w14:paraId="7F7D92CE" w14:textId="359BC11E" w:rsidR="000B2205" w:rsidRDefault="000B2205" w:rsidP="004D4825">
      <w:pPr>
        <w:pStyle w:val="Heading3"/>
      </w:pPr>
      <w:r>
        <w:t>Letterhead</w:t>
      </w:r>
    </w:p>
    <w:p w14:paraId="0EF69097" w14:textId="77777777" w:rsidR="004C1DF6" w:rsidRDefault="004C1DF6" w:rsidP="000B2205">
      <w:r w:rsidRPr="004C1DF6">
        <w:t>The format of the certificate is not mandated; certificates may look different to the template in the methodology. Electronic versions of certificates are valid if they meet all the requirements in section 12 of the methodology.</w:t>
      </w:r>
    </w:p>
    <w:p w14:paraId="1633F202" w14:textId="6D4BC5F7" w:rsidR="000B2205" w:rsidRPr="000B2205" w:rsidRDefault="00302A78" w:rsidP="000B2205">
      <w:r>
        <w:t xml:space="preserve">Include </w:t>
      </w:r>
      <w:r w:rsidR="00F15029">
        <w:t>the</w:t>
      </w:r>
      <w:r w:rsidR="000B2205">
        <w:t xml:space="preserve"> </w:t>
      </w:r>
      <w:r>
        <w:t xml:space="preserve">company </w:t>
      </w:r>
      <w:r w:rsidR="000B2205">
        <w:t xml:space="preserve">letterhead. The </w:t>
      </w:r>
      <w:r w:rsidR="00264E16">
        <w:t xml:space="preserve">name of the company and the physical address must be included and legible. </w:t>
      </w:r>
      <w:r w:rsidR="00887E41" w:rsidRPr="00887E41">
        <w:rPr>
          <w:rStyle w:val="Emphasis"/>
        </w:rPr>
        <w:t>Refer to: Clause 12.3.3 (</w:t>
      </w:r>
      <w:r w:rsidR="00887E41">
        <w:rPr>
          <w:rStyle w:val="Emphasis"/>
        </w:rPr>
        <w:t>a</w:t>
      </w:r>
      <w:r w:rsidR="00887E41" w:rsidRPr="00887E41">
        <w:rPr>
          <w:rStyle w:val="Emphasis"/>
        </w:rPr>
        <w:t>)</w:t>
      </w:r>
    </w:p>
    <w:p w14:paraId="6011F09E" w14:textId="77777777" w:rsidR="00500542" w:rsidRPr="00500542" w:rsidRDefault="00500542" w:rsidP="00500542">
      <w:pPr>
        <w:pStyle w:val="Heading3"/>
      </w:pPr>
      <w:r w:rsidRPr="00500542">
        <w:t>Date issued</w:t>
      </w:r>
    </w:p>
    <w:p w14:paraId="65B880DB" w14:textId="77777777" w:rsidR="006F404A" w:rsidRDefault="006F404A" w:rsidP="006F404A">
      <w:r>
        <w:t>Record the date the fumigation certificate is endorsed and issued. This date may differ from the actual fumigation date.</w:t>
      </w:r>
    </w:p>
    <w:p w14:paraId="72343416" w14:textId="77777777" w:rsidR="006F404A" w:rsidRDefault="006F404A" w:rsidP="006F404A">
      <w:r>
        <w:lastRenderedPageBreak/>
        <w:t>Each company may have its own verification and quality assurance processes to confirm that all treatment and documentation requirements have been met before issuing a certificate. The issue date reflects the point at which these requirements have been verified for a specific consignment.</w:t>
      </w:r>
    </w:p>
    <w:p w14:paraId="5EC5DBDA" w14:textId="05B22120" w:rsidR="006F404A" w:rsidRDefault="005C601B" w:rsidP="006F404A">
      <w:r w:rsidRPr="005C601B">
        <w:t>For example, multiple certificates may be issued for separate consignments that were fumigated in a single treatment event</w:t>
      </w:r>
      <w:r w:rsidR="006F404A">
        <w:t>.</w:t>
      </w:r>
    </w:p>
    <w:p w14:paraId="09F0F15D" w14:textId="799470DB" w:rsidR="00500542" w:rsidRPr="006F404A" w:rsidRDefault="006F404A" w:rsidP="006F404A">
      <w:pPr>
        <w:rPr>
          <w:rStyle w:val="Emphasis"/>
        </w:rPr>
      </w:pPr>
      <w:r w:rsidRPr="006F404A">
        <w:rPr>
          <w:rStyle w:val="Emphasis"/>
        </w:rPr>
        <w:t>Refer to: Clause 12.3.3 (w)</w:t>
      </w:r>
    </w:p>
    <w:p w14:paraId="0E4ED317" w14:textId="57BD0836" w:rsidR="003077D3" w:rsidRDefault="007E7879" w:rsidP="004D4825">
      <w:pPr>
        <w:pStyle w:val="Heading3"/>
      </w:pPr>
      <w:r>
        <w:t>Certificate number</w:t>
      </w:r>
    </w:p>
    <w:p w14:paraId="0F402D03" w14:textId="4A6FB07D" w:rsidR="007E7879" w:rsidRPr="007E7879" w:rsidRDefault="003E6D10" w:rsidP="007071E4">
      <w:r w:rsidRPr="003E6D10">
        <w:t xml:space="preserve">Each fumigation certificate </w:t>
      </w:r>
      <w:r w:rsidR="00A53053">
        <w:t>must</w:t>
      </w:r>
      <w:r w:rsidRPr="003E6D10">
        <w:t xml:space="preserve"> have a unique number to clearly link it to a specific treatment and consignment. </w:t>
      </w:r>
      <w:commentRangeStart w:id="3"/>
      <w:commentRangeStart w:id="4"/>
      <w:r w:rsidR="00745D97">
        <w:t xml:space="preserve">A </w:t>
      </w:r>
      <w:r w:rsidRPr="003E6D10">
        <w:t>numbering system might include the year, treatment provider code, and a sequential number (e.g., 2025-</w:t>
      </w:r>
      <w:r w:rsidR="00683316">
        <w:t>FUMEMB</w:t>
      </w:r>
      <w:r w:rsidRPr="003E6D10">
        <w:t>-001). Maintain</w:t>
      </w:r>
      <w:r w:rsidR="00784E13">
        <w:t>ing</w:t>
      </w:r>
      <w:r w:rsidRPr="003E6D10">
        <w:t xml:space="preserve"> a log of all certificate numbers showing the consignment link, date issued, and treatment details ensure</w:t>
      </w:r>
      <w:r w:rsidR="00784E13">
        <w:t>s</w:t>
      </w:r>
      <w:r w:rsidRPr="003E6D10">
        <w:t xml:space="preserve"> each number is used only once and can be easily traced.</w:t>
      </w:r>
      <w:r w:rsidR="007071E4" w:rsidRPr="007071E4">
        <w:t xml:space="preserve"> </w:t>
      </w:r>
      <w:r w:rsidR="007071E4" w:rsidRPr="00887E41">
        <w:rPr>
          <w:rStyle w:val="Emphasis"/>
        </w:rPr>
        <w:t>Refer to: Clause 12.3.3 (c)</w:t>
      </w:r>
      <w:commentRangeEnd w:id="3"/>
      <w:r w:rsidR="0060314A">
        <w:rPr>
          <w:rStyle w:val="CommentReference"/>
        </w:rPr>
        <w:commentReference w:id="3"/>
      </w:r>
      <w:commentRangeEnd w:id="4"/>
      <w:r w:rsidR="00FB30AF">
        <w:rPr>
          <w:rStyle w:val="CommentReference"/>
        </w:rPr>
        <w:commentReference w:id="4"/>
      </w:r>
    </w:p>
    <w:p w14:paraId="43209AF6" w14:textId="1068553A" w:rsidR="004D4825" w:rsidRPr="004D4825" w:rsidRDefault="007071E4" w:rsidP="004D4825">
      <w:pPr>
        <w:pStyle w:val="Heading3"/>
      </w:pPr>
      <w:r>
        <w:t>Treatment provider ID number</w:t>
      </w:r>
    </w:p>
    <w:p w14:paraId="57FEA546" w14:textId="725FFF34" w:rsidR="004D4825" w:rsidRDefault="002B2507" w:rsidP="005608A8">
      <w:pPr>
        <w:rPr>
          <w:rStyle w:val="Emphasis"/>
        </w:rPr>
      </w:pPr>
      <w:r w:rsidRPr="002B2507">
        <w:t>Number issued by regulatory authority.  E.g. AEI, AA number, RE number</w:t>
      </w:r>
      <w:r w:rsidR="003A0353">
        <w:t xml:space="preserve">. </w:t>
      </w:r>
      <w:r w:rsidRPr="002B2507">
        <w:rPr>
          <w:rStyle w:val="Emphasis"/>
        </w:rPr>
        <w:t>Refer to: Clause 12.</w:t>
      </w:r>
      <w:r w:rsidR="00355DAC">
        <w:rPr>
          <w:rStyle w:val="Emphasis"/>
        </w:rPr>
        <w:t>3.3</w:t>
      </w:r>
      <w:r w:rsidRPr="002B2507">
        <w:rPr>
          <w:rStyle w:val="Emphasis"/>
        </w:rPr>
        <w:t xml:space="preserve"> (</w:t>
      </w:r>
      <w:r w:rsidR="00355DAC">
        <w:rPr>
          <w:rStyle w:val="Emphasis"/>
        </w:rPr>
        <w:t>b</w:t>
      </w:r>
      <w:r w:rsidRPr="002B2507">
        <w:rPr>
          <w:rStyle w:val="Emphasis"/>
        </w:rPr>
        <w:t>)</w:t>
      </w:r>
    </w:p>
    <w:p w14:paraId="7BB4A125" w14:textId="436D5E79" w:rsidR="005608A8" w:rsidRPr="005608A8" w:rsidRDefault="005608A8" w:rsidP="005608A8">
      <w:pPr>
        <w:pStyle w:val="Heading3"/>
      </w:pPr>
      <w:r>
        <w:t>Consignment details</w:t>
      </w:r>
    </w:p>
    <w:p w14:paraId="528776DD" w14:textId="75EEA343" w:rsidR="00A650AB" w:rsidRPr="00A650AB" w:rsidRDefault="00A650AB" w:rsidP="00A650AB">
      <w:pPr>
        <w:pStyle w:val="ListBullet"/>
      </w:pPr>
      <w:r w:rsidRPr="00A650AB">
        <w:t>Consignment link</w:t>
      </w:r>
      <w:r w:rsidR="00B013E5">
        <w:t xml:space="preserve">: </w:t>
      </w:r>
      <w:r w:rsidRPr="00A650AB">
        <w:t xml:space="preserve">A reference that </w:t>
      </w:r>
      <w:r w:rsidR="001F3783">
        <w:t>links</w:t>
      </w:r>
      <w:r w:rsidRPr="00A650AB">
        <w:t xml:space="preserve"> the fumigation to the consignment</w:t>
      </w:r>
      <w:r w:rsidR="007A0652">
        <w:t>, for example</w:t>
      </w:r>
      <w:r w:rsidR="0039335E">
        <w:t>,</w:t>
      </w:r>
      <w:r w:rsidRPr="00A650AB">
        <w:t xml:space="preserve"> Container number, bill of lading</w:t>
      </w:r>
      <w:r w:rsidR="0039335E">
        <w:t xml:space="preserve"> or</w:t>
      </w:r>
      <w:r w:rsidRPr="00A650AB">
        <w:t xml:space="preserve"> invoice number.  </w:t>
      </w:r>
      <w:r w:rsidRPr="00A650AB">
        <w:rPr>
          <w:i/>
          <w:iCs/>
        </w:rPr>
        <w:t>Refer to: Clause 12.3.3 (h)</w:t>
      </w:r>
    </w:p>
    <w:p w14:paraId="31E7E5EF" w14:textId="5B38180F" w:rsidR="00A650AB" w:rsidRPr="00A650AB" w:rsidRDefault="00A650AB" w:rsidP="00A650AB">
      <w:pPr>
        <w:pStyle w:val="ListBullet"/>
      </w:pPr>
      <w:r w:rsidRPr="00A650AB">
        <w:t>Seal numbers</w:t>
      </w:r>
      <w:r w:rsidR="00B013E5">
        <w:t xml:space="preserve">: </w:t>
      </w:r>
      <w:r w:rsidR="007A0652" w:rsidRPr="007A0652">
        <w:t>Record the sea container seal number(s) where required. Check the relevant import conditions to confirm whether seal numbers must be included</w:t>
      </w:r>
      <w:r w:rsidR="007A0652">
        <w:t>.</w:t>
      </w:r>
    </w:p>
    <w:p w14:paraId="286CE003" w14:textId="57E8FB8E" w:rsidR="00A650AB" w:rsidRPr="00A650AB" w:rsidRDefault="00A650AB" w:rsidP="00A650AB">
      <w:pPr>
        <w:pStyle w:val="ListBullet"/>
      </w:pPr>
      <w:r w:rsidRPr="00A650AB">
        <w:t>Client name/address</w:t>
      </w:r>
      <w:r w:rsidR="00B013E5">
        <w:t xml:space="preserve">: </w:t>
      </w:r>
      <w:r w:rsidR="00567A51">
        <w:t>Record name and address of t</w:t>
      </w:r>
      <w:r w:rsidRPr="00A650AB">
        <w:t>he client who</w:t>
      </w:r>
      <w:r w:rsidR="00567A51">
        <w:t>m</w:t>
      </w:r>
      <w:r w:rsidRPr="00A650AB">
        <w:t xml:space="preserve"> the certificate </w:t>
      </w:r>
      <w:r w:rsidR="002714DB">
        <w:t xml:space="preserve">is </w:t>
      </w:r>
      <w:r w:rsidRPr="00A650AB">
        <w:t>issue</w:t>
      </w:r>
      <w:r w:rsidR="00DD257A">
        <w:t>d</w:t>
      </w:r>
      <w:r w:rsidRPr="00A650AB">
        <w:t xml:space="preserve">. </w:t>
      </w:r>
      <w:r w:rsidR="002714DB" w:rsidRPr="002714DB">
        <w:t>Both importer and exporter can be included if preferred. Additional reference information may also be added.</w:t>
      </w:r>
      <w:r w:rsidRPr="00A650AB">
        <w:t xml:space="preserve"> </w:t>
      </w:r>
    </w:p>
    <w:p w14:paraId="73DA92ED" w14:textId="7B6EA0F2" w:rsidR="00A650AB" w:rsidRPr="00A650AB" w:rsidRDefault="00A650AB" w:rsidP="00A650AB">
      <w:pPr>
        <w:pStyle w:val="ListBullet"/>
      </w:pPr>
      <w:r w:rsidRPr="00A650AB">
        <w:t>Commodity description</w:t>
      </w:r>
      <w:r w:rsidR="00A40FA8">
        <w:t xml:space="preserve">: </w:t>
      </w:r>
      <w:r w:rsidR="00550F45">
        <w:t xml:space="preserve">provide a </w:t>
      </w:r>
      <w:r w:rsidRPr="00A650AB">
        <w:t>brief description of the goods being treated or transported</w:t>
      </w:r>
      <w:r w:rsidR="00550F45">
        <w:t xml:space="preserve">, for example, </w:t>
      </w:r>
      <w:r w:rsidR="00E70F1A" w:rsidRPr="00E70F1A">
        <w:t>“raw cotton bales” or “wooden furniture”</w:t>
      </w:r>
      <w:r w:rsidR="00E70F1A">
        <w:t xml:space="preserve">. </w:t>
      </w:r>
    </w:p>
    <w:p w14:paraId="613DF1E8" w14:textId="65ADF0BC" w:rsidR="005608A8" w:rsidRDefault="00A650AB" w:rsidP="00E70F1A">
      <w:pPr>
        <w:pStyle w:val="ListBullet"/>
      </w:pPr>
      <w:r w:rsidRPr="00A650AB">
        <w:t>Commody quantity</w:t>
      </w:r>
      <w:r w:rsidR="00131A89">
        <w:t xml:space="preserve">: </w:t>
      </w:r>
      <w:r w:rsidR="00E70F1A">
        <w:t>State the quantity of goods being certified. When multiple certificates are issued for a single treatment (e.g., bulk-treated goods later divided), the total quantity across all certificates must not exceed the quantity treated.</w:t>
      </w:r>
    </w:p>
    <w:p w14:paraId="1D0E5C84" w14:textId="45EA479E" w:rsidR="007F189A" w:rsidRDefault="007F189A" w:rsidP="007F189A">
      <w:pPr>
        <w:pStyle w:val="ListBullet"/>
      </w:pPr>
      <w:r>
        <w:t>Commodity county of origin: The country where the goods being fumigated were produced, manufactured, or grown. This information helps verify import and export requirements, as some commodities have specific treatment conditions based on their origin. Refer to: Clause 12.3.3 (k)</w:t>
      </w:r>
    </w:p>
    <w:p w14:paraId="0EFD592A" w14:textId="46D4BC94" w:rsidR="003C67FD" w:rsidRDefault="009211BC" w:rsidP="00023540">
      <w:pPr>
        <w:pStyle w:val="ListBullet"/>
      </w:pPr>
      <w:r>
        <w:t xml:space="preserve">Port of loading: </w:t>
      </w:r>
      <w:r w:rsidR="00602C7C" w:rsidRPr="00602C7C">
        <w:t>The port or location where the treated goods are loaded for export</w:t>
      </w:r>
      <w:r w:rsidR="00023540">
        <w:t>.</w:t>
      </w:r>
    </w:p>
    <w:p w14:paraId="52495F91" w14:textId="3434730B" w:rsidR="009211BC" w:rsidRDefault="009211BC" w:rsidP="00E3274D">
      <w:pPr>
        <w:pStyle w:val="ListBullet"/>
      </w:pPr>
      <w:r>
        <w:t>Destination country:</w:t>
      </w:r>
      <w:r w:rsidR="00023540">
        <w:t xml:space="preserve"> </w:t>
      </w:r>
      <w:r w:rsidR="00E3274D">
        <w:t>The country to which the goods are ultimately being exported or delivered. It is the final country of import or intended use for the consignment.</w:t>
      </w:r>
    </w:p>
    <w:p w14:paraId="68537752" w14:textId="2984D6CC" w:rsidR="00F227CC" w:rsidRDefault="008C78EF" w:rsidP="00233307">
      <w:pPr>
        <w:pStyle w:val="Heading3"/>
      </w:pPr>
      <w:r>
        <w:t>Treatment details</w:t>
      </w:r>
    </w:p>
    <w:p w14:paraId="4D71947B" w14:textId="2EB58963" w:rsidR="00AC0092" w:rsidRPr="00AC0092" w:rsidRDefault="00AC0092" w:rsidP="00AC0092">
      <w:r>
        <w:t>A treatment certificate must be based on accurate, contemporaneous records from the ROF.</w:t>
      </w:r>
    </w:p>
    <w:p w14:paraId="3D1B2F61" w14:textId="1CB75DC9" w:rsidR="008C78EF" w:rsidRPr="008C78EF" w:rsidRDefault="00AC0092" w:rsidP="00AC0092">
      <w:pPr>
        <w:pStyle w:val="Heading4"/>
      </w:pPr>
      <w:r>
        <w:t>Target of fumigation</w:t>
      </w:r>
    </w:p>
    <w:p w14:paraId="6E108995" w14:textId="1DB65946" w:rsidR="00233307" w:rsidRDefault="00B84E6F" w:rsidP="00B84E6F">
      <w:r w:rsidRPr="00B84E6F">
        <w:t>The target of fumigation is the specific object or area that is intended to be treated through the fumigation process. It may be the commodity, packaging material, container, or conveyance or combination of these.</w:t>
      </w:r>
      <w:r w:rsidR="00424A20">
        <w:t xml:space="preserve"> Tick all that apply.</w:t>
      </w:r>
      <w:r w:rsidR="0083210B">
        <w:t xml:space="preserve"> </w:t>
      </w:r>
      <w:r w:rsidRPr="00B84E6F">
        <w:t>Refer to: Section 3.1, clause 12.3.3 (e)</w:t>
      </w:r>
    </w:p>
    <w:p w14:paraId="1D36A5EB" w14:textId="77777777" w:rsidR="000F7ED6" w:rsidRDefault="000F7ED6" w:rsidP="000F7ED6">
      <w:pPr>
        <w:pStyle w:val="Heading4"/>
      </w:pPr>
      <w:r>
        <w:lastRenderedPageBreak/>
        <w:t>Enclosure type</w:t>
      </w:r>
    </w:p>
    <w:p w14:paraId="5487ED9B" w14:textId="212C6748" w:rsidR="000F7ED6" w:rsidRDefault="000F7ED6" w:rsidP="000F7ED6">
      <w:r w:rsidRPr="000F7ED6">
        <w:t xml:space="preserve">Tick the relevant enclosure type. </w:t>
      </w:r>
      <w:r>
        <w:t>Fumigations are conducted in a variety of different enclosures; different conditions apply to different enclosure types. Common enclosure types are:</w:t>
      </w:r>
    </w:p>
    <w:p w14:paraId="7DB326DA" w14:textId="702D9913" w:rsidR="000F7ED6" w:rsidRDefault="000F7ED6" w:rsidP="000F7ED6">
      <w:pPr>
        <w:pStyle w:val="ListBullet"/>
      </w:pPr>
      <w:r>
        <w:t>Sheeted enclosure - An enclosure created under a gas-proof sheet that is covering/enclosing the commodities to be fumigated. Includes sheeted</w:t>
      </w:r>
      <w:r w:rsidR="00183F63">
        <w:t xml:space="preserve"> sea containers and sheeted</w:t>
      </w:r>
      <w:r>
        <w:t xml:space="preserve"> stacks. Section 4.2</w:t>
      </w:r>
    </w:p>
    <w:p w14:paraId="5CE66757" w14:textId="3E69DEB8" w:rsidR="000F7ED6" w:rsidRDefault="000F7ED6" w:rsidP="000F7ED6">
      <w:pPr>
        <w:pStyle w:val="ListBullet"/>
      </w:pPr>
      <w:r>
        <w:t>Fumigation Chamber - A gas-tight fumigation enclosure with an inbuilt extraction system. All requirements for fumigation chambers specified in section 4.3 Fumigation chambers. Section 4.3</w:t>
      </w:r>
    </w:p>
    <w:p w14:paraId="0E174F0C" w14:textId="453CB13D" w:rsidR="000F7ED6" w:rsidRDefault="000F7ED6" w:rsidP="000F7ED6">
      <w:pPr>
        <w:pStyle w:val="ListBullet"/>
      </w:pPr>
      <w:r>
        <w:t>Un-sheeted container – Sea container suitable for fumigation. Section 4.1</w:t>
      </w:r>
    </w:p>
    <w:p w14:paraId="2F403C0D" w14:textId="72891A83" w:rsidR="000F7ED6" w:rsidRDefault="000F7ED6" w:rsidP="000F7ED6">
      <w:r>
        <w:t xml:space="preserve">If the enclosure </w:t>
      </w:r>
      <w:r w:rsidR="0071693B">
        <w:t xml:space="preserve">type </w:t>
      </w:r>
      <w:r>
        <w:t xml:space="preserve">is not listed, provide these details under ‘other’, </w:t>
      </w:r>
      <w:r w:rsidR="008054C8">
        <w:t>the certificate can be</w:t>
      </w:r>
      <w:r>
        <w:t xml:space="preserve"> change</w:t>
      </w:r>
      <w:r w:rsidR="008054C8">
        <w:t>d</w:t>
      </w:r>
      <w:r>
        <w:t xml:space="preserve"> to suit</w:t>
      </w:r>
      <w:r w:rsidR="0071693B">
        <w:t xml:space="preserve"> the fumigators</w:t>
      </w:r>
      <w:r>
        <w:t xml:space="preserve"> needs.</w:t>
      </w:r>
    </w:p>
    <w:p w14:paraId="270A4EE3" w14:textId="6C435572" w:rsidR="00B84E6F" w:rsidRDefault="000F7ED6" w:rsidP="000F7ED6">
      <w:pPr>
        <w:rPr>
          <w:rStyle w:val="Emphasis"/>
        </w:rPr>
      </w:pPr>
      <w:r w:rsidRPr="00DE6E50">
        <w:rPr>
          <w:rStyle w:val="Emphasis"/>
        </w:rPr>
        <w:t>Refer to: Clause 12.2.5 (i) and Glossary</w:t>
      </w:r>
    </w:p>
    <w:p w14:paraId="210A7DCC" w14:textId="4C081047" w:rsidR="00DE6E50" w:rsidRDefault="003F12BB" w:rsidP="003F12BB">
      <w:pPr>
        <w:pStyle w:val="Heading4"/>
      </w:pPr>
      <w:r>
        <w:t>Treatment schedule</w:t>
      </w:r>
      <w:r w:rsidR="00863259">
        <w:t xml:space="preserve"> (prescribed/specified treatment schedule)</w:t>
      </w:r>
    </w:p>
    <w:p w14:paraId="4EDA66CC" w14:textId="44203007" w:rsidR="00B164C4" w:rsidRPr="00D536C4" w:rsidRDefault="00B164C4" w:rsidP="00B164C4">
      <w:pPr>
        <w:rPr>
          <w:rStyle w:val="Emphasis"/>
        </w:rPr>
      </w:pPr>
      <w:r w:rsidRPr="00B164C4">
        <w:t>Specific treatment rates, exposure period and rules as imposed by the relevant authority – usually the importing jurisdictio</w:t>
      </w:r>
      <w:r>
        <w:t>n, for example</w:t>
      </w:r>
      <w:r w:rsidR="00165E45">
        <w:t>,</w:t>
      </w:r>
      <w:r w:rsidRPr="00B164C4">
        <w:t xml:space="preserve"> </w:t>
      </w:r>
      <w:r w:rsidR="00D536C4" w:rsidRPr="00D536C4">
        <w:rPr>
          <w:rStyle w:val="Emphasis"/>
        </w:rPr>
        <w:t>Refer to: Section 1.1.2, Glossary</w:t>
      </w:r>
      <w:r w:rsidR="00D536C4">
        <w:rPr>
          <w:rStyle w:val="Emphasis"/>
        </w:rPr>
        <w:t>.</w:t>
      </w:r>
    </w:p>
    <w:p w14:paraId="0A9EA4D1" w14:textId="6F9E9B77" w:rsidR="008E4F79" w:rsidRDefault="008E4F79" w:rsidP="00B164C4">
      <w:r w:rsidRPr="008E4F79">
        <w:t>Some treatment schedules have additional requirements including, but not limited to, load factor and minimum end point readings.</w:t>
      </w:r>
    </w:p>
    <w:p w14:paraId="19E8A627" w14:textId="3027E7AE" w:rsidR="007E74A0" w:rsidRDefault="007E74A0" w:rsidP="00F94CD9">
      <w:pPr>
        <w:pStyle w:val="BoxHeading"/>
      </w:pPr>
      <w:r>
        <w:t>An example of a treatment schedule</w:t>
      </w:r>
    </w:p>
    <w:p w14:paraId="734E3B12" w14:textId="77777777" w:rsidR="007E74A0" w:rsidRDefault="007E74A0" w:rsidP="00F94CD9">
      <w:pPr>
        <w:pStyle w:val="BoxTextBullet"/>
      </w:pPr>
      <w:r>
        <w:t>Dose rate:</w:t>
      </w:r>
      <w:r w:rsidRPr="007E74A0">
        <w:t xml:space="preserve"> 24 g/m³ or above, </w:t>
      </w:r>
    </w:p>
    <w:p w14:paraId="4C972AF7" w14:textId="77777777" w:rsidR="00707ADA" w:rsidRDefault="00707ADA" w:rsidP="00F94CD9">
      <w:pPr>
        <w:pStyle w:val="BoxTextBullet"/>
      </w:pPr>
      <w:r>
        <w:t xml:space="preserve">Exposure period: </w:t>
      </w:r>
      <w:r w:rsidR="007E74A0" w:rsidRPr="007E74A0">
        <w:t xml:space="preserve">minimum of 12 hours (but less than 24 hours), </w:t>
      </w:r>
    </w:p>
    <w:p w14:paraId="3F424BC3" w14:textId="77777777" w:rsidR="00707ADA" w:rsidRDefault="00707ADA" w:rsidP="00F94CD9">
      <w:pPr>
        <w:pStyle w:val="BoxTextBullet"/>
      </w:pPr>
      <w:r>
        <w:t xml:space="preserve">Temperature: </w:t>
      </w:r>
      <w:r w:rsidRPr="00707ADA">
        <w:t xml:space="preserve">at 10°C or above, </w:t>
      </w:r>
    </w:p>
    <w:p w14:paraId="3D72EF7B" w14:textId="7A00748C" w:rsidR="008A7F4C" w:rsidRDefault="008A7F4C" w:rsidP="00F94CD9">
      <w:pPr>
        <w:pStyle w:val="BoxTextBullet"/>
      </w:pPr>
      <w:commentRangeStart w:id="5"/>
      <w:commentRangeStart w:id="6"/>
      <w:r>
        <w:t>Additional requirement: a minimum start time concentration reading must be above 24 g/m</w:t>
      </w:r>
      <w:r w:rsidRPr="00D226FC">
        <w:rPr>
          <w:vertAlign w:val="superscript"/>
        </w:rPr>
        <w:t>3</w:t>
      </w:r>
      <w:r>
        <w:t>,</w:t>
      </w:r>
      <w:commentRangeEnd w:id="5"/>
      <w:r w:rsidR="000F1AED">
        <w:rPr>
          <w:rStyle w:val="CommentReference"/>
        </w:rPr>
        <w:commentReference w:id="5"/>
      </w:r>
      <w:commentRangeEnd w:id="6"/>
      <w:r w:rsidR="00637683">
        <w:rPr>
          <w:rStyle w:val="CommentReference"/>
        </w:rPr>
        <w:commentReference w:id="6"/>
      </w:r>
    </w:p>
    <w:p w14:paraId="05785AE7" w14:textId="55E56D45" w:rsidR="007E74A0" w:rsidRPr="00B164C4" w:rsidRDefault="00707ADA" w:rsidP="00DD1465">
      <w:pPr>
        <w:pStyle w:val="BoxTextBullet"/>
      </w:pPr>
      <w:r>
        <w:t xml:space="preserve">Additional requirement: </w:t>
      </w:r>
      <w:r w:rsidR="007E74A0" w:rsidRPr="007E74A0">
        <w:t>a minimum end point reading of 12 g/m³.</w:t>
      </w:r>
    </w:p>
    <w:p w14:paraId="5DCEAB79" w14:textId="351D6D6D" w:rsidR="00D536C4" w:rsidRDefault="00D536C4" w:rsidP="00884B54">
      <w:pPr>
        <w:pStyle w:val="ListBullet"/>
      </w:pPr>
      <w:r>
        <w:t xml:space="preserve">Dose Rate: The prescribed concentration of methyl bromide to be used per unit of volume and the exposure period e.g. 80g/m3. </w:t>
      </w:r>
      <w:r w:rsidRPr="00884B54">
        <w:rPr>
          <w:rStyle w:val="Emphasis"/>
        </w:rPr>
        <w:t>Refer to: Glossary</w:t>
      </w:r>
    </w:p>
    <w:p w14:paraId="39E09EA1" w14:textId="099747E2" w:rsidR="00863259" w:rsidRDefault="00D536C4" w:rsidP="00884B54">
      <w:pPr>
        <w:pStyle w:val="ListBullet"/>
      </w:pPr>
      <w:r>
        <w:t xml:space="preserve">Exposure Period: The amount of time, in one continuous block, that the consignment must be exposed to sufficient concentration levels of methyl bromide to be lethal to the targeted pests. </w:t>
      </w:r>
      <w:r w:rsidRPr="00884B54">
        <w:rPr>
          <w:rStyle w:val="Emphasis"/>
        </w:rPr>
        <w:t xml:space="preserve">Refer to: </w:t>
      </w:r>
      <w:r w:rsidR="00966BBA">
        <w:rPr>
          <w:rStyle w:val="Emphasis"/>
        </w:rPr>
        <w:t>Clause 8.6</w:t>
      </w:r>
    </w:p>
    <w:p w14:paraId="133BB873" w14:textId="260BD86F" w:rsidR="00884B54" w:rsidRPr="004C552F" w:rsidRDefault="00884B54" w:rsidP="004C552F">
      <w:pPr>
        <w:pStyle w:val="ListBullet"/>
        <w:rPr>
          <w:rStyle w:val="Emphasis"/>
          <w:i w:val="0"/>
          <w:iCs w:val="0"/>
        </w:rPr>
      </w:pPr>
      <w:r>
        <w:t xml:space="preserve">Temperature: </w:t>
      </w:r>
      <w:r w:rsidR="004C552F" w:rsidRPr="004C552F">
        <w:t>The temperature stated in the treatment schedule</w:t>
      </w:r>
      <w:r w:rsidR="004C552F">
        <w:t>,</w:t>
      </w:r>
      <w:r w:rsidR="004C552F" w:rsidRPr="004C552F">
        <w:t xml:space="preserve"> </w:t>
      </w:r>
      <w:r w:rsidR="004C552F">
        <w:t>for example,</w:t>
      </w:r>
      <w:r w:rsidR="004C552F" w:rsidRPr="004C552F">
        <w:t xml:space="preserve"> 10°C</w:t>
      </w:r>
      <w:r w:rsidR="004C552F">
        <w:t>.</w:t>
      </w:r>
      <w:r w:rsidR="004C552F" w:rsidRPr="004C552F">
        <w:t xml:space="preserve"> </w:t>
      </w:r>
      <w:r w:rsidR="004C552F" w:rsidRPr="004C552F">
        <w:rPr>
          <w:rStyle w:val="Emphasis"/>
        </w:rPr>
        <w:t>Refer to: Section 12.3.3 (c)</w:t>
      </w:r>
      <w:r w:rsidR="004C552F">
        <w:rPr>
          <w:rStyle w:val="Emphasis"/>
        </w:rPr>
        <w:t>.</w:t>
      </w:r>
    </w:p>
    <w:p w14:paraId="190CF88E" w14:textId="0415769D" w:rsidR="004C552F" w:rsidRDefault="00B82183" w:rsidP="00B82183">
      <w:pPr>
        <w:pStyle w:val="Heading4"/>
      </w:pPr>
      <w:r>
        <w:t>Fumigation details</w:t>
      </w:r>
      <w:r w:rsidR="009C07BA">
        <w:t xml:space="preserve"> </w:t>
      </w:r>
      <w:r>
        <w:t>(treatment applied)</w:t>
      </w:r>
    </w:p>
    <w:p w14:paraId="4DF97968" w14:textId="77777777" w:rsidR="00347DE4" w:rsidRPr="00347DE4" w:rsidRDefault="00347DE4" w:rsidP="00347DE4">
      <w:r w:rsidRPr="00347DE4">
        <w:t xml:space="preserve">Insert the details of the treatment that was performed. Where there is dose compensation for temperature variation this will be different to the prescribed treatment schedule section. </w:t>
      </w:r>
    </w:p>
    <w:p w14:paraId="361284B0" w14:textId="68F8A876" w:rsidR="00B82183" w:rsidRDefault="00347DE4" w:rsidP="00347DE4">
      <w:pPr>
        <w:rPr>
          <w:rStyle w:val="Emphasis"/>
        </w:rPr>
      </w:pPr>
      <w:r w:rsidRPr="00347DE4">
        <w:t xml:space="preserve">If no variation from the treatment schedule this will be the same as the treatment schedule. </w:t>
      </w:r>
      <w:r w:rsidRPr="006020AD">
        <w:rPr>
          <w:rStyle w:val="Emphasis"/>
        </w:rPr>
        <w:t>Refer to:</w:t>
      </w:r>
      <w:r w:rsidR="00535080" w:rsidRPr="006020AD">
        <w:rPr>
          <w:rStyle w:val="Emphasis"/>
        </w:rPr>
        <w:t xml:space="preserve"> 12.3.3</w:t>
      </w:r>
      <w:r w:rsidR="00ED54A2" w:rsidRPr="006020AD">
        <w:rPr>
          <w:rStyle w:val="Emphasis"/>
        </w:rPr>
        <w:t>(</w:t>
      </w:r>
      <w:r w:rsidR="006020AD" w:rsidRPr="006020AD">
        <w:rPr>
          <w:rStyle w:val="Emphasis"/>
        </w:rPr>
        <w:t>q</w:t>
      </w:r>
      <w:r w:rsidR="00ED54A2" w:rsidRPr="006020AD">
        <w:rPr>
          <w:rStyle w:val="Emphasis"/>
        </w:rPr>
        <w:t>)</w:t>
      </w:r>
      <w:r w:rsidR="006020AD" w:rsidRPr="006020AD">
        <w:rPr>
          <w:rStyle w:val="Emphasis"/>
        </w:rPr>
        <w:t xml:space="preserve"> to </w:t>
      </w:r>
      <w:r w:rsidR="00ED54A2" w:rsidRPr="006020AD">
        <w:rPr>
          <w:rStyle w:val="Emphasis"/>
        </w:rPr>
        <w:t>12.3.3</w:t>
      </w:r>
      <w:r w:rsidR="006020AD" w:rsidRPr="006020AD">
        <w:rPr>
          <w:rStyle w:val="Emphasis"/>
        </w:rPr>
        <w:t>(s).</w:t>
      </w:r>
    </w:p>
    <w:p w14:paraId="52E99BF1" w14:textId="4A915CCB" w:rsidR="00052807" w:rsidRDefault="0062796E" w:rsidP="0062796E">
      <w:pPr>
        <w:pStyle w:val="ListBullet"/>
      </w:pPr>
      <w:r w:rsidRPr="0062796E">
        <w:t>Applied dose rate</w:t>
      </w:r>
      <w:r>
        <w:t xml:space="preserve">: </w:t>
      </w:r>
      <w:r w:rsidRPr="0062796E">
        <w:t>The rate used after temperature has been taken into consideration.</w:t>
      </w:r>
      <w:r>
        <w:t xml:space="preserve"> </w:t>
      </w:r>
      <w:r w:rsidRPr="0062796E">
        <w:t xml:space="preserve">This is the dose rate used to calculate the dose. </w:t>
      </w:r>
      <w:r w:rsidR="00634240">
        <w:t xml:space="preserve">(Called ‘Dose rate used’ on the ROF). </w:t>
      </w:r>
      <w:r w:rsidRPr="0062796E">
        <w:rPr>
          <w:rStyle w:val="Emphasis"/>
        </w:rPr>
        <w:t>Refer to: Section 6 and 8.1</w:t>
      </w:r>
      <w:r>
        <w:t>.</w:t>
      </w:r>
    </w:p>
    <w:p w14:paraId="0CB0EB8C" w14:textId="7840B895" w:rsidR="00CB594A" w:rsidRPr="00CB594A" w:rsidRDefault="00CB594A" w:rsidP="00CB594A">
      <w:pPr>
        <w:pStyle w:val="ListBullet"/>
      </w:pPr>
      <w:r w:rsidRPr="00CB594A">
        <w:lastRenderedPageBreak/>
        <w:t>Exposure Period</w:t>
      </w:r>
      <w:r>
        <w:t xml:space="preserve">: </w:t>
      </w:r>
      <w:r w:rsidR="00006DD9">
        <w:t>R</w:t>
      </w:r>
      <w:r w:rsidRPr="00CB594A">
        <w:t>ecord the amount of time between the start of the fumigation and the end of the fumigation.</w:t>
      </w:r>
    </w:p>
    <w:p w14:paraId="5E8B068B" w14:textId="5BA58058" w:rsidR="00CB594A" w:rsidRPr="00CB594A" w:rsidRDefault="00CB594A" w:rsidP="00CB594A">
      <w:pPr>
        <w:pStyle w:val="ListBullet"/>
      </w:pPr>
      <w:r w:rsidRPr="00CB594A">
        <w:t>Temperature</w:t>
      </w:r>
      <w:r>
        <w:t xml:space="preserve">: </w:t>
      </w:r>
      <w:r w:rsidR="00006DD9">
        <w:t>R</w:t>
      </w:r>
      <w:r>
        <w:t>ecord t</w:t>
      </w:r>
      <w:r w:rsidRPr="00CB594A">
        <w:t xml:space="preserve">he temperature used to calculate the dose. </w:t>
      </w:r>
      <w:r w:rsidRPr="00CB594A">
        <w:rPr>
          <w:rStyle w:val="Emphasis"/>
        </w:rPr>
        <w:t>Refer to: Section 12.3.3 (c)</w:t>
      </w:r>
    </w:p>
    <w:p w14:paraId="3582312F" w14:textId="65DF69FD" w:rsidR="00D20EF5" w:rsidRDefault="00F37914" w:rsidP="00F37914">
      <w:pPr>
        <w:pStyle w:val="Heading3"/>
      </w:pPr>
      <w:r>
        <w:t>Place of fumigation</w:t>
      </w:r>
    </w:p>
    <w:p w14:paraId="5BF25EE3" w14:textId="59C7AA29" w:rsidR="00AF4EA6" w:rsidRPr="00BA4EA4" w:rsidRDefault="00DF416B" w:rsidP="00BA4EA4">
      <w:pPr>
        <w:pStyle w:val="ListBullet"/>
        <w:rPr>
          <w:rStyle w:val="Emphasis"/>
        </w:rPr>
      </w:pPr>
      <w:r>
        <w:t xml:space="preserve">Place of fumigation: </w:t>
      </w:r>
      <w:r w:rsidR="00D83F5C">
        <w:t>R</w:t>
      </w:r>
      <w:r w:rsidR="00AF4EA6">
        <w:t>ecord address or location where the fumigation was conducted.</w:t>
      </w:r>
      <w:r>
        <w:t xml:space="preserve"> </w:t>
      </w:r>
      <w:r w:rsidR="00AF4EA6" w:rsidRPr="00BA4EA4">
        <w:rPr>
          <w:rStyle w:val="Emphasis"/>
        </w:rPr>
        <w:t>Refer to: Clause 12.3.3 (l)</w:t>
      </w:r>
    </w:p>
    <w:p w14:paraId="4E20E9E1" w14:textId="2C62EEBE" w:rsidR="00F37914" w:rsidRDefault="00CC0244" w:rsidP="00BA4EA4">
      <w:pPr>
        <w:pStyle w:val="ListBullet"/>
      </w:pPr>
      <w:r>
        <w:t xml:space="preserve">Date and time fumigation commenced: Record the exact date and time the fumigation began. This ensures a clear record of exposure start for compliance and traceability purposes. </w:t>
      </w:r>
      <w:r w:rsidRPr="00BA4EA4">
        <w:rPr>
          <w:rStyle w:val="Emphasis"/>
        </w:rPr>
        <w:t>Refer to: Clause 12.3.3 (d)</w:t>
      </w:r>
    </w:p>
    <w:p w14:paraId="10B84262" w14:textId="3F46D306" w:rsidR="00AF4EA6" w:rsidRPr="00483581" w:rsidRDefault="00AF4EA6" w:rsidP="00BA4EA4">
      <w:pPr>
        <w:pStyle w:val="ListBullet"/>
        <w:rPr>
          <w:rStyle w:val="Emphasis"/>
          <w:i w:val="0"/>
          <w:iCs w:val="0"/>
        </w:rPr>
      </w:pPr>
      <w:r>
        <w:t xml:space="preserve">Date and time fumigation completed: Record the exact date and time the fumigation was completed, including the end of exposure and any aeration period. This confirms total treatment duration and compliance with the prescribed schedule. </w:t>
      </w:r>
      <w:r w:rsidRPr="00BA4EA4">
        <w:rPr>
          <w:rStyle w:val="Emphasis"/>
        </w:rPr>
        <w:t>Refer to: Clause 12.3.3 (e)</w:t>
      </w:r>
    </w:p>
    <w:p w14:paraId="1B7B2613" w14:textId="0E95DEB0" w:rsidR="006C7DEA" w:rsidRDefault="006C7DEA" w:rsidP="006C7DEA">
      <w:pPr>
        <w:pStyle w:val="Heading4"/>
      </w:pPr>
      <w:r>
        <w:t>Final TLV reading</w:t>
      </w:r>
    </w:p>
    <w:p w14:paraId="7E2DDAA3" w14:textId="19AA5239" w:rsidR="006C7DEA" w:rsidRDefault="006C7DEA" w:rsidP="006C7DEA">
      <w:r w:rsidRPr="006C7DEA">
        <w:t xml:space="preserve">Record </w:t>
      </w:r>
      <w:r>
        <w:t xml:space="preserve">the final </w:t>
      </w:r>
      <w:r w:rsidRPr="006C7DEA">
        <w:t xml:space="preserve">TLV reading and the time and date </w:t>
      </w:r>
      <w:r>
        <w:t>it was</w:t>
      </w:r>
      <w:r w:rsidRPr="006C7DEA">
        <w:t xml:space="preserve"> taken.</w:t>
      </w:r>
      <w:r>
        <w:t xml:space="preserve"> </w:t>
      </w:r>
      <w:r w:rsidRPr="000374E9">
        <w:rPr>
          <w:rStyle w:val="Emphasis"/>
        </w:rPr>
        <w:t>Refer to: Clause 12.</w:t>
      </w:r>
      <w:r w:rsidR="00B574E1" w:rsidRPr="000374E9">
        <w:rPr>
          <w:rStyle w:val="Emphasis"/>
        </w:rPr>
        <w:t>3</w:t>
      </w:r>
      <w:r w:rsidRPr="000374E9">
        <w:rPr>
          <w:rStyle w:val="Emphasis"/>
        </w:rPr>
        <w:t>.</w:t>
      </w:r>
      <w:r w:rsidR="00B574E1" w:rsidRPr="000374E9">
        <w:rPr>
          <w:rStyle w:val="Emphasis"/>
        </w:rPr>
        <w:t>3</w:t>
      </w:r>
      <w:r w:rsidRPr="000374E9">
        <w:rPr>
          <w:rStyle w:val="Emphasis"/>
        </w:rPr>
        <w:t xml:space="preserve"> (</w:t>
      </w:r>
      <w:r w:rsidR="00B574E1" w:rsidRPr="000374E9">
        <w:rPr>
          <w:rStyle w:val="Emphasis"/>
        </w:rPr>
        <w:t>t</w:t>
      </w:r>
      <w:r w:rsidRPr="006C7DEA">
        <w:t>)</w:t>
      </w:r>
    </w:p>
    <w:p w14:paraId="306E34C4" w14:textId="7B0C3354" w:rsidR="00B574E1" w:rsidRDefault="006C6221" w:rsidP="00F71AD8">
      <w:pPr>
        <w:pStyle w:val="Heading3"/>
      </w:pPr>
      <w:r>
        <w:t>Declaration</w:t>
      </w:r>
    </w:p>
    <w:p w14:paraId="740C2E96" w14:textId="124192A1" w:rsidR="00AE0C3A" w:rsidRDefault="00654A55" w:rsidP="00A228D3">
      <w:r>
        <w:t xml:space="preserve">The treatment </w:t>
      </w:r>
      <w:r w:rsidR="00A228D3">
        <w:t>certificate</w:t>
      </w:r>
      <w:r>
        <w:t xml:space="preserve"> must include</w:t>
      </w:r>
      <w:r w:rsidR="00A228D3">
        <w:t xml:space="preserve"> a statement </w:t>
      </w:r>
      <w:r w:rsidRPr="00654A55">
        <w:t xml:space="preserve">declaring </w:t>
      </w:r>
      <w:r w:rsidR="00AE0C3A">
        <w:t>the consignment complies with the treatment schedule, import conditions, and all requirements of the Methyl Bromide Fumigation Methodology</w:t>
      </w:r>
    </w:p>
    <w:p w14:paraId="6C855B7C" w14:textId="4E635632" w:rsidR="006C6221" w:rsidRDefault="00896CC1" w:rsidP="00F71AD8">
      <w:r>
        <w:t xml:space="preserve">When declaring compliance with import conditions, this is </w:t>
      </w:r>
      <w:r w:rsidR="008A4F2F">
        <w:t>related</w:t>
      </w:r>
      <w:r>
        <w:t xml:space="preserve"> to import conditions in the fumigators control. For example</w:t>
      </w:r>
      <w:r w:rsidR="003A365E">
        <w:t>,</w:t>
      </w:r>
      <w:r>
        <w:t xml:space="preserve"> the treatment schedule (dose</w:t>
      </w:r>
      <w:r w:rsidR="00E71C7C">
        <w:t>, exposure period, temperature)</w:t>
      </w:r>
      <w:r>
        <w:t xml:space="preserve"> packaging requirements, </w:t>
      </w:r>
      <w:r w:rsidR="00E71C7C">
        <w:t xml:space="preserve">load factors, </w:t>
      </w:r>
      <w:r w:rsidR="00BA6E44">
        <w:t xml:space="preserve">or consignment </w:t>
      </w:r>
      <w:r w:rsidR="00E71C7C">
        <w:t>suitability</w:t>
      </w:r>
      <w:r w:rsidR="00C81970">
        <w:t>, biosecurity directions, or export protocols</w:t>
      </w:r>
      <w:r w:rsidR="00E71C7C">
        <w:t xml:space="preserve">. This does not relate to </w:t>
      </w:r>
      <w:r w:rsidR="00632B40">
        <w:t>other</w:t>
      </w:r>
      <w:r w:rsidR="00E71C7C">
        <w:t xml:space="preserve"> import conditions</w:t>
      </w:r>
      <w:r w:rsidR="008A4F2F">
        <w:t xml:space="preserve"> not related to the treatment processes.</w:t>
      </w:r>
      <w:r w:rsidR="00E71C7C">
        <w:t xml:space="preserve"> </w:t>
      </w:r>
      <w:r w:rsidR="00F71AD8">
        <w:t xml:space="preserve">Record the name and signature of the fumigator-in-charge or authorised signatory, and the date of endorsement. </w:t>
      </w:r>
      <w:r w:rsidR="00F71AD8" w:rsidRPr="000374E9">
        <w:rPr>
          <w:rStyle w:val="Emphasis"/>
        </w:rPr>
        <w:t>Refer to: Clauses 12.3.3</w:t>
      </w:r>
      <w:r w:rsidR="00AE0C3A">
        <w:rPr>
          <w:rStyle w:val="Emphasis"/>
        </w:rPr>
        <w:t xml:space="preserve"> </w:t>
      </w:r>
      <w:r w:rsidR="00006CEA">
        <w:rPr>
          <w:rStyle w:val="Emphasis"/>
        </w:rPr>
        <w:t>u-w</w:t>
      </w:r>
    </w:p>
    <w:p w14:paraId="372230AB" w14:textId="55A55B02" w:rsidR="000374E9" w:rsidRDefault="000374E9" w:rsidP="00316A23">
      <w:pPr>
        <w:pStyle w:val="Heading4"/>
      </w:pPr>
      <w:r>
        <w:t xml:space="preserve">Additional </w:t>
      </w:r>
      <w:r w:rsidR="00316A23">
        <w:t>declarations</w:t>
      </w:r>
    </w:p>
    <w:p w14:paraId="565DD46F" w14:textId="0F0A5168" w:rsidR="00792056" w:rsidRPr="00792056" w:rsidRDefault="00785125" w:rsidP="00792056">
      <w:r>
        <w:t xml:space="preserve">Record any additional </w:t>
      </w:r>
      <w:r w:rsidR="00C23695">
        <w:t xml:space="preserve">declarations. </w:t>
      </w:r>
      <w:r w:rsidR="00C23695" w:rsidRPr="00B47589">
        <w:rPr>
          <w:i/>
          <w:iCs/>
        </w:rPr>
        <w:t>Not a mandatory field – Refer to relevant import/export policy</w:t>
      </w:r>
      <w:r w:rsidR="00B47589" w:rsidRPr="00B47589">
        <w:rPr>
          <w:i/>
          <w:iCs/>
        </w:rPr>
        <w:t>.</w:t>
      </w:r>
    </w:p>
    <w:p w14:paraId="35EA46C2" w14:textId="7750F920" w:rsidR="00792056" w:rsidRDefault="00792056" w:rsidP="00792056">
      <w:pPr>
        <w:pStyle w:val="Heading4"/>
      </w:pPr>
      <w:r>
        <w:t>Additional brown marmorated stinkbug (BMSB) requirements</w:t>
      </w:r>
    </w:p>
    <w:p w14:paraId="4F427863" w14:textId="06D18036" w:rsidR="00792056" w:rsidRPr="00792056" w:rsidRDefault="00792056" w:rsidP="00792056">
      <w:r>
        <w:t xml:space="preserve">Some treatments have additional import requirements that need to be reflected in the treatment certificate. </w:t>
      </w:r>
      <w:r w:rsidR="004362E4">
        <w:t xml:space="preserve">For example, the BMSB requirements also include the following: </w:t>
      </w:r>
    </w:p>
    <w:p w14:paraId="77A93F7D" w14:textId="5CEFBBCD" w:rsidR="00792056" w:rsidRDefault="00792056" w:rsidP="00792056">
      <w:pPr>
        <w:pStyle w:val="ListBullet"/>
      </w:pPr>
      <w:r>
        <w:t xml:space="preserve">Date and time ventilation commenced: </w:t>
      </w:r>
      <w:r w:rsidR="008B286D">
        <w:t>Record the time</w:t>
      </w:r>
      <w:r w:rsidR="009A02F3">
        <w:t xml:space="preserve"> </w:t>
      </w:r>
      <w:r w:rsidR="009A02F3" w:rsidRPr="009A02F3">
        <w:t>ventilation</w:t>
      </w:r>
      <w:r w:rsidR="008B286D">
        <w:t xml:space="preserve"> commenced.</w:t>
      </w:r>
    </w:p>
    <w:p w14:paraId="32F59566" w14:textId="27843151" w:rsidR="00792056" w:rsidRDefault="00792056" w:rsidP="00792056">
      <w:pPr>
        <w:pStyle w:val="ListBullet"/>
      </w:pPr>
      <w:r>
        <w:t>Lowest end point reading:</w:t>
      </w:r>
      <w:r w:rsidR="00D000B7">
        <w:t xml:space="preserve"> </w:t>
      </w:r>
      <w:r w:rsidR="007723DE">
        <w:t>Record the lowest end</w:t>
      </w:r>
      <w:r w:rsidR="008B286D">
        <w:t xml:space="preserve"> point reading</w:t>
      </w:r>
      <w:r w:rsidR="00785125">
        <w:t>.</w:t>
      </w:r>
    </w:p>
    <w:p w14:paraId="274496EB" w14:textId="5609ABE0" w:rsidR="00316A23" w:rsidRPr="00316A23" w:rsidRDefault="00792056" w:rsidP="00792056">
      <w:pPr>
        <w:pStyle w:val="ListBullet"/>
      </w:pPr>
      <w:r>
        <w:t>Additional declaration:</w:t>
      </w:r>
      <w:r w:rsidR="00D000B7">
        <w:t xml:space="preserve"> “</w:t>
      </w:r>
      <w:r w:rsidR="00D000B7" w:rsidRPr="00D000B7">
        <w:t>The container seal, as listed on this certificate, was applied by the treatment provider within 120 hours of the treatment completion</w:t>
      </w:r>
      <w:r w:rsidR="00D000B7">
        <w:t>”</w:t>
      </w:r>
      <w:r w:rsidR="00785125">
        <w:t>.</w:t>
      </w:r>
    </w:p>
    <w:p w14:paraId="6484CACC" w14:textId="77777777" w:rsidR="00B82095" w:rsidRPr="0080517C" w:rsidRDefault="000913B5" w:rsidP="0077250D">
      <w:pPr>
        <w:pStyle w:val="Heading3"/>
        <w:ind w:left="0" w:firstLine="0"/>
      </w:pPr>
      <w:r>
        <w:t>More</w:t>
      </w:r>
      <w:r w:rsidR="00B82095" w:rsidRPr="0080517C">
        <w:t xml:space="preserve"> information</w:t>
      </w:r>
    </w:p>
    <w:p w14:paraId="5564EC98" w14:textId="384D7E56" w:rsidR="000E7803" w:rsidRPr="00017ACB" w:rsidRDefault="000E7803" w:rsidP="00B82095">
      <w:pPr>
        <w:rPr>
          <w:lang w:eastAsia="ja-JP"/>
        </w:rPr>
      </w:pPr>
      <w:r>
        <w:rPr>
          <w:lang w:eastAsia="ja-JP"/>
        </w:rPr>
        <w:t xml:space="preserve">Learn more about </w:t>
      </w:r>
      <w:hyperlink r:id="rId15" w:anchor="methyl-bromide-fumigation_2" w:history="1">
        <w:r w:rsidR="001C4976" w:rsidRPr="001C4976">
          <w:rPr>
            <w:color w:val="0000FF"/>
            <w:u w:val="single"/>
          </w:rPr>
          <w:t>Methodologies and documents for biosecurity treatments - DAFF</w:t>
        </w:r>
      </w:hyperlink>
      <w:r w:rsidR="00EF635B">
        <w:t>.</w:t>
      </w:r>
    </w:p>
    <w:p w14:paraId="1BD5600F" w14:textId="703F7052" w:rsidR="000E7803" w:rsidRPr="00017ACB" w:rsidRDefault="000E7803" w:rsidP="000E7803">
      <w:pPr>
        <w:rPr>
          <w:rStyle w:val="Hyperlink"/>
          <w:lang w:eastAsia="ja-JP"/>
        </w:rPr>
      </w:pPr>
      <w:r w:rsidRPr="00017ACB">
        <w:rPr>
          <w:lang w:eastAsia="ja-JP"/>
        </w:rPr>
        <w:t xml:space="preserve">Web </w:t>
      </w:r>
      <w:hyperlink r:id="rId16" w:history="1">
        <w:r w:rsidRPr="00017ACB">
          <w:rPr>
            <w:rStyle w:val="Hyperlink"/>
            <w:lang w:eastAsia="ja-JP"/>
          </w:rPr>
          <w:t>agriculture.gov.au</w:t>
        </w:r>
      </w:hyperlink>
    </w:p>
    <w:p w14:paraId="16B9B778" w14:textId="1801BE8A" w:rsidR="0077250D" w:rsidRDefault="00B82095" w:rsidP="0077250D">
      <w:pPr>
        <w:spacing w:after="360"/>
      </w:pPr>
      <w:r w:rsidRPr="00017ACB">
        <w:rPr>
          <w:lang w:eastAsia="ja-JP"/>
        </w:rPr>
        <w:t xml:space="preserve">Email </w:t>
      </w:r>
      <w:hyperlink r:id="rId17" w:history="1">
        <w:r w:rsidR="00911019" w:rsidRPr="00990F41">
          <w:rPr>
            <w:rStyle w:val="Hyperlink"/>
            <w:lang w:eastAsia="ja-JP"/>
          </w:rPr>
          <w:t>offshoretreatments@aff.gov.au</w:t>
        </w:r>
      </w:hyperlink>
      <w:r w:rsidR="0077250D">
        <w:br w:type="page"/>
      </w:r>
    </w:p>
    <w:p w14:paraId="2A403C48" w14:textId="77777777" w:rsidR="000A5BA0" w:rsidRDefault="000A5BA0" w:rsidP="000A5BA0">
      <w:pPr>
        <w:pStyle w:val="Normalsmall"/>
      </w:pPr>
      <w:r>
        <w:rPr>
          <w:rStyle w:val="Strong"/>
        </w:rPr>
        <w:lastRenderedPageBreak/>
        <w:t>Acknowledgement of Country</w:t>
      </w:r>
    </w:p>
    <w:p w14:paraId="7D554D00"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C77F7B4" w14:textId="41FF470D" w:rsidR="00E9781D" w:rsidRDefault="00E9781D" w:rsidP="00E9781D">
      <w:pPr>
        <w:pStyle w:val="Normalsmall"/>
        <w:spacing w:before="360"/>
      </w:pPr>
      <w:r>
        <w:t>© Commonwealth of Australia 202</w:t>
      </w:r>
      <w:r w:rsidR="00B02D9F">
        <w:t>6</w:t>
      </w:r>
    </w:p>
    <w:p w14:paraId="3166943A"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475134C2" w14:textId="77777777" w:rsidR="00E9781D" w:rsidRDefault="00E9781D" w:rsidP="00E9781D">
      <w:pPr>
        <w:pStyle w:val="Normalsmall"/>
      </w:pPr>
      <w:r>
        <w:t xml:space="preserve">All material in this publication is licensed under a </w:t>
      </w:r>
      <w:hyperlink r:id="rId18" w:history="1">
        <w:r>
          <w:rPr>
            <w:rStyle w:val="Hyperlink"/>
          </w:rPr>
          <w:t>Creative Commons Attribution 4.0 International Licence</w:t>
        </w:r>
      </w:hyperlink>
      <w:r>
        <w:t xml:space="preserve"> except content supplied by third parties, logos and the Commonwealth Coat of Arms.</w:t>
      </w:r>
    </w:p>
    <w:p w14:paraId="1161DF74"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9"/>
      <w:headerReference w:type="default" r:id="rId20"/>
      <w:footerReference w:type="even" r:id="rId21"/>
      <w:footerReference w:type="default" r:id="rId22"/>
      <w:headerReference w:type="first" r:id="rId23"/>
      <w:footerReference w:type="first" r:id="rId24"/>
      <w:pgSz w:w="11906" w:h="16838" w:code="9"/>
      <w:pgMar w:top="1418" w:right="1247" w:bottom="1134" w:left="1247" w:header="964" w:footer="284"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gg, Nicole" w:date="2025-11-13T20:19:00Z" w:initials="NB">
    <w:p w14:paraId="0252BD51" w14:textId="77777777" w:rsidR="004E3021" w:rsidRDefault="004E3021" w:rsidP="004E3021">
      <w:pPr>
        <w:pStyle w:val="CommentText"/>
      </w:pPr>
      <w:r>
        <w:rPr>
          <w:rStyle w:val="CommentReference"/>
        </w:rPr>
        <w:annotationRef/>
      </w:r>
      <w:r>
        <w:t xml:space="preserve">Have tried to  make the language more generic - we’ll aim to distribute these fact sheets directly to treatment providers. But we’ll also issue to OGAs and entities like in China or brokers. So the ‘your’ doesn’t work in those cases. </w:t>
      </w:r>
    </w:p>
  </w:comment>
  <w:comment w:id="1" w:author="Blake, Marian" w:date="2026-01-09T10:19:00Z" w:initials="MB">
    <w:p w14:paraId="3191994C" w14:textId="77777777" w:rsidR="001A644F" w:rsidRDefault="001A644F" w:rsidP="001A644F">
      <w:pPr>
        <w:pStyle w:val="CommentText"/>
      </w:pPr>
      <w:r>
        <w:rPr>
          <w:rStyle w:val="CommentReference"/>
        </w:rPr>
        <w:annotationRef/>
      </w:r>
      <w:r>
        <w:t xml:space="preserve">Disagree - I would say the main audience is people filling out certificates and ROFs, the others are a secondary audience. </w:t>
      </w:r>
    </w:p>
    <w:p w14:paraId="04901979" w14:textId="77777777" w:rsidR="001A644F" w:rsidRDefault="001A644F" w:rsidP="001A644F">
      <w:pPr>
        <w:pStyle w:val="CommentText"/>
      </w:pPr>
      <w:r>
        <w:t>I won’t die on a hill over it but just think original words read better.</w:t>
      </w:r>
    </w:p>
  </w:comment>
  <w:comment w:id="2" w:author="Blake, Marian" w:date="2026-01-09T15:22:00Z" w:initials="MB">
    <w:p w14:paraId="668A0365" w14:textId="77777777" w:rsidR="005439C8" w:rsidRDefault="005439C8" w:rsidP="005439C8">
      <w:pPr>
        <w:pStyle w:val="CommentText"/>
      </w:pPr>
      <w:r>
        <w:rPr>
          <w:rStyle w:val="CommentReference"/>
        </w:rPr>
        <w:annotationRef/>
      </w:r>
      <w:r>
        <w:t>Will change to your suggestion across both fact sheets. Will need to make sure all mentions are changed.</w:t>
      </w:r>
    </w:p>
  </w:comment>
  <w:comment w:id="3" w:author="Begg, Nicole" w:date="2025-11-13T20:18:00Z" w:initials="NB">
    <w:p w14:paraId="0F8537B9" w14:textId="3B4C83FA" w:rsidR="0060314A" w:rsidRDefault="0060314A" w:rsidP="0060314A">
      <w:pPr>
        <w:pStyle w:val="CommentText"/>
      </w:pPr>
      <w:r>
        <w:rPr>
          <w:rStyle w:val="CommentReference"/>
        </w:rPr>
        <w:annotationRef/>
      </w:r>
      <w:r>
        <w:t>Amended to try and ensure difference between the must and helpful information is a little more clear. Unless I’m mistaken they don’t need a consistent numbering system or a log. But it would be really good practice.</w:t>
      </w:r>
    </w:p>
  </w:comment>
  <w:comment w:id="4" w:author="Blake, Marian" w:date="2026-01-09T10:40:00Z" w:initials="MB">
    <w:p w14:paraId="60A7D0C4" w14:textId="77777777" w:rsidR="00FB30AF" w:rsidRDefault="00FB30AF" w:rsidP="00FB30AF">
      <w:pPr>
        <w:pStyle w:val="CommentText"/>
      </w:pPr>
      <w:r>
        <w:rPr>
          <w:rStyle w:val="CommentReference"/>
        </w:rPr>
        <w:annotationRef/>
      </w:r>
      <w:r>
        <w:t>I’ll just remove the word consistent, I think that does the same thing with less words.  Happy with the other changes</w:t>
      </w:r>
    </w:p>
  </w:comment>
  <w:comment w:id="5" w:author="Begg, Nicole" w:date="2025-11-13T20:26:00Z" w:initials="NB">
    <w:p w14:paraId="3A968E88" w14:textId="6E4DD6D2" w:rsidR="000F1AED" w:rsidRDefault="000F1AED" w:rsidP="000F1AED">
      <w:pPr>
        <w:pStyle w:val="CommentText"/>
      </w:pPr>
      <w:r>
        <w:rPr>
          <w:rStyle w:val="CommentReference"/>
        </w:rPr>
        <w:annotationRef/>
      </w:r>
      <w:r>
        <w:t>Technically part of the treatment schedule as well.</w:t>
      </w:r>
    </w:p>
  </w:comment>
  <w:comment w:id="6" w:author="Blake, Marian" w:date="2026-01-09T10:23:00Z" w:initials="MB">
    <w:p w14:paraId="469AA732" w14:textId="77777777" w:rsidR="00637683" w:rsidRDefault="00637683" w:rsidP="00637683">
      <w:pPr>
        <w:pStyle w:val="CommentText"/>
      </w:pPr>
      <w:r>
        <w:rPr>
          <w:rStyle w:val="CommentReference"/>
        </w:rPr>
        <w:annotationRef/>
      </w:r>
      <w:r>
        <w:t xml:space="preserve">Thanks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2BD51" w15:done="1"/>
  <w15:commentEx w15:paraId="04901979" w15:paraIdParent="0252BD51" w15:done="1"/>
  <w15:commentEx w15:paraId="668A0365" w15:paraIdParent="0252BD51" w15:done="1"/>
  <w15:commentEx w15:paraId="0F8537B9" w15:done="1"/>
  <w15:commentEx w15:paraId="60A7D0C4" w15:paraIdParent="0F8537B9" w15:done="1"/>
  <w15:commentEx w15:paraId="3A968E88" w15:done="1"/>
  <w15:commentEx w15:paraId="469AA732" w15:paraIdParent="3A968E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F6B385" w16cex:dateUtc="2025-11-13T09:19:00Z"/>
  <w16cex:commentExtensible w16cex:durableId="52FAF515" w16cex:dateUtc="2026-01-08T23:19:00Z"/>
  <w16cex:commentExtensible w16cex:durableId="03F9718D" w16cex:dateUtc="2026-01-09T04:22:00Z"/>
  <w16cex:commentExtensible w16cex:durableId="68917E10" w16cex:dateUtc="2025-11-13T09:18:00Z"/>
  <w16cex:commentExtensible w16cex:durableId="078E08C6" w16cex:dateUtc="2026-01-08T23:40:00Z"/>
  <w16cex:commentExtensible w16cex:durableId="40A2DA7D" w16cex:dateUtc="2025-11-13T09:26:00Z"/>
  <w16cex:commentExtensible w16cex:durableId="7101C1BF" w16cex:dateUtc="2026-01-08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2BD51" w16cid:durableId="5CF6B385"/>
  <w16cid:commentId w16cid:paraId="04901979" w16cid:durableId="52FAF515"/>
  <w16cid:commentId w16cid:paraId="668A0365" w16cid:durableId="03F9718D"/>
  <w16cid:commentId w16cid:paraId="0F8537B9" w16cid:durableId="68917E10"/>
  <w16cid:commentId w16cid:paraId="60A7D0C4" w16cid:durableId="078E08C6"/>
  <w16cid:commentId w16cid:paraId="3A968E88" w16cid:durableId="40A2DA7D"/>
  <w16cid:commentId w16cid:paraId="469AA732" w16cid:durableId="7101C1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94BA" w14:textId="77777777" w:rsidR="00B14A22" w:rsidRDefault="00B14A22">
      <w:r>
        <w:separator/>
      </w:r>
    </w:p>
    <w:p w14:paraId="1AAA8AC0" w14:textId="77777777" w:rsidR="00B14A22" w:rsidRDefault="00B14A22"/>
    <w:p w14:paraId="1B999FCD" w14:textId="77777777" w:rsidR="00B14A22" w:rsidRDefault="00B14A22"/>
  </w:endnote>
  <w:endnote w:type="continuationSeparator" w:id="0">
    <w:p w14:paraId="22167ABF" w14:textId="77777777" w:rsidR="00B14A22" w:rsidRDefault="00B14A22">
      <w:r>
        <w:continuationSeparator/>
      </w:r>
    </w:p>
    <w:p w14:paraId="536FB040" w14:textId="77777777" w:rsidR="00B14A22" w:rsidRDefault="00B14A22"/>
    <w:p w14:paraId="7EC9704C" w14:textId="77777777" w:rsidR="00B14A22" w:rsidRDefault="00B14A22"/>
  </w:endnote>
  <w:endnote w:type="continuationNotice" w:id="1">
    <w:p w14:paraId="639EBACF" w14:textId="77777777" w:rsidR="00B14A22" w:rsidRDefault="00B14A22">
      <w:pPr>
        <w:pStyle w:val="Footer"/>
      </w:pPr>
    </w:p>
    <w:p w14:paraId="5B719215" w14:textId="77777777" w:rsidR="00B14A22" w:rsidRDefault="00B14A22"/>
    <w:p w14:paraId="2EFE0546" w14:textId="77777777" w:rsidR="00B14A22" w:rsidRDefault="00B14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60CF"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19631842" wp14:editId="09A656E0">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AA919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3184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5AA919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9528"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4D5F7A02" wp14:editId="62D88620">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E57A1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F7A0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EE57A1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C707"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4C295D4F" wp14:editId="69ED7A5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0C377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95D4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C0C377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AA9E" w14:textId="77777777" w:rsidR="00B14A22" w:rsidRDefault="00B14A22">
      <w:r>
        <w:separator/>
      </w:r>
    </w:p>
    <w:p w14:paraId="093232C3" w14:textId="77777777" w:rsidR="00B14A22" w:rsidRDefault="00B14A22"/>
    <w:p w14:paraId="65D221A1" w14:textId="77777777" w:rsidR="00B14A22" w:rsidRDefault="00B14A22"/>
  </w:footnote>
  <w:footnote w:type="continuationSeparator" w:id="0">
    <w:p w14:paraId="293954F7" w14:textId="77777777" w:rsidR="00B14A22" w:rsidRDefault="00B14A22">
      <w:r>
        <w:continuationSeparator/>
      </w:r>
    </w:p>
    <w:p w14:paraId="177D41CD" w14:textId="77777777" w:rsidR="00B14A22" w:rsidRDefault="00B14A22"/>
    <w:p w14:paraId="3B52268C" w14:textId="77777777" w:rsidR="00B14A22" w:rsidRDefault="00B14A22"/>
  </w:footnote>
  <w:footnote w:type="continuationNotice" w:id="1">
    <w:p w14:paraId="0CCB5D7B" w14:textId="77777777" w:rsidR="00B14A22" w:rsidRDefault="00B14A22">
      <w:pPr>
        <w:pStyle w:val="Footer"/>
      </w:pPr>
    </w:p>
    <w:p w14:paraId="70CE0070" w14:textId="77777777" w:rsidR="00B14A22" w:rsidRDefault="00B14A22"/>
    <w:p w14:paraId="29F3B0D7" w14:textId="77777777" w:rsidR="00B14A22" w:rsidRDefault="00B14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45FE"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22D45938" wp14:editId="476F6B8C">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7C136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4593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67C136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CB3E" w14:textId="683C6DD5" w:rsidR="000542B4" w:rsidRDefault="005A3361">
    <w:pPr>
      <w:pStyle w:val="Header"/>
    </w:pPr>
    <w:r>
      <w:rPr>
        <w:noProof/>
      </w:rPr>
      <mc:AlternateContent>
        <mc:Choice Requires="wps">
          <w:drawing>
            <wp:anchor distT="0" distB="0" distL="0" distR="0" simplePos="0" relativeHeight="251658243" behindDoc="0" locked="0" layoutInCell="1" allowOverlap="1" wp14:anchorId="187DA82A" wp14:editId="27A8FF9E">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C9DD8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DA82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7C9DD8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B02D9F">
      <w:t>Fact Sheet – How to complete a methyl bromide treatment certificate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334B"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279E6CF1" wp14:editId="03C621EF">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82A94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E6CF1"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482A94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63109322" wp14:editId="0DE959DE">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2242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56A421C"/>
    <w:multiLevelType w:val="hybridMultilevel"/>
    <w:tmpl w:val="C7464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5"/>
  </w:num>
  <w:num w:numId="2" w16cid:durableId="1209954464">
    <w:abstractNumId w:val="3"/>
  </w:num>
  <w:num w:numId="3" w16cid:durableId="211696695">
    <w:abstractNumId w:val="8"/>
  </w:num>
  <w:num w:numId="4" w16cid:durableId="1550148830">
    <w:abstractNumId w:val="9"/>
  </w:num>
  <w:num w:numId="5" w16cid:durableId="1460108156">
    <w:abstractNumId w:val="1"/>
  </w:num>
  <w:num w:numId="6" w16cid:durableId="1934704985">
    <w:abstractNumId w:val="6"/>
  </w:num>
  <w:num w:numId="7" w16cid:durableId="1013073201">
    <w:abstractNumId w:val="7"/>
  </w:num>
  <w:num w:numId="8" w16cid:durableId="524289160">
    <w:abstractNumId w:val="2"/>
  </w:num>
  <w:num w:numId="9" w16cid:durableId="94401862">
    <w:abstractNumId w:val="11"/>
  </w:num>
  <w:num w:numId="10" w16cid:durableId="1262253482">
    <w:abstractNumId w:val="11"/>
  </w:num>
  <w:num w:numId="11" w16cid:durableId="1504468562">
    <w:abstractNumId w:val="11"/>
  </w:num>
  <w:num w:numId="12" w16cid:durableId="1296328144">
    <w:abstractNumId w:val="11"/>
  </w:num>
  <w:num w:numId="13" w16cid:durableId="1361395064">
    <w:abstractNumId w:val="10"/>
  </w:num>
  <w:num w:numId="14" w16cid:durableId="1080635027">
    <w:abstractNumId w:val="12"/>
  </w:num>
  <w:num w:numId="15" w16cid:durableId="629437930">
    <w:abstractNumId w:val="0"/>
  </w:num>
  <w:num w:numId="16" w16cid:durableId="1457064401">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gg, Nicole">
    <w15:presenceInfo w15:providerId="AD" w15:userId="S::Nicole.Begg@aff.gov.au::ecde91a9-b9a9-4614-8bbc-6e7f0c20dc5b"/>
  </w15:person>
  <w15:person w15:author="Blake, Marian">
    <w15:presenceInfo w15:providerId="AD" w15:userId="S::Marian.Blake@aff.gov.au::29b0ad9d-6c74-499c-a6bd-214f5665e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D9"/>
    <w:rsid w:val="0000059E"/>
    <w:rsid w:val="0000066F"/>
    <w:rsid w:val="00001B53"/>
    <w:rsid w:val="00006774"/>
    <w:rsid w:val="00006CEA"/>
    <w:rsid w:val="00006DD9"/>
    <w:rsid w:val="00017ACB"/>
    <w:rsid w:val="00020D56"/>
    <w:rsid w:val="0002121C"/>
    <w:rsid w:val="00021590"/>
    <w:rsid w:val="00023540"/>
    <w:rsid w:val="00025D1B"/>
    <w:rsid w:val="000266C4"/>
    <w:rsid w:val="0003648C"/>
    <w:rsid w:val="000374E9"/>
    <w:rsid w:val="00052807"/>
    <w:rsid w:val="0005308A"/>
    <w:rsid w:val="000542B4"/>
    <w:rsid w:val="000618F3"/>
    <w:rsid w:val="00066D0B"/>
    <w:rsid w:val="000675F5"/>
    <w:rsid w:val="00067B79"/>
    <w:rsid w:val="000717D2"/>
    <w:rsid w:val="00071927"/>
    <w:rsid w:val="000721C3"/>
    <w:rsid w:val="00074A56"/>
    <w:rsid w:val="00080827"/>
    <w:rsid w:val="000815F1"/>
    <w:rsid w:val="0008277A"/>
    <w:rsid w:val="00084605"/>
    <w:rsid w:val="000850C4"/>
    <w:rsid w:val="000904C1"/>
    <w:rsid w:val="000913B5"/>
    <w:rsid w:val="0009325E"/>
    <w:rsid w:val="000A1D9E"/>
    <w:rsid w:val="000A5BA0"/>
    <w:rsid w:val="000B022E"/>
    <w:rsid w:val="000B2205"/>
    <w:rsid w:val="000B3924"/>
    <w:rsid w:val="000B3C44"/>
    <w:rsid w:val="000C0412"/>
    <w:rsid w:val="000C2702"/>
    <w:rsid w:val="000C4558"/>
    <w:rsid w:val="000E455C"/>
    <w:rsid w:val="000E4D74"/>
    <w:rsid w:val="000E5218"/>
    <w:rsid w:val="000E7803"/>
    <w:rsid w:val="000F0491"/>
    <w:rsid w:val="000F1AED"/>
    <w:rsid w:val="000F64DA"/>
    <w:rsid w:val="000F7ED6"/>
    <w:rsid w:val="00107C60"/>
    <w:rsid w:val="0011648F"/>
    <w:rsid w:val="001233A8"/>
    <w:rsid w:val="00127B9F"/>
    <w:rsid w:val="0013173D"/>
    <w:rsid w:val="00131A89"/>
    <w:rsid w:val="00143A7B"/>
    <w:rsid w:val="00144601"/>
    <w:rsid w:val="00146DC9"/>
    <w:rsid w:val="00150C6D"/>
    <w:rsid w:val="001521A8"/>
    <w:rsid w:val="00160DC0"/>
    <w:rsid w:val="00162464"/>
    <w:rsid w:val="00165E45"/>
    <w:rsid w:val="00172A64"/>
    <w:rsid w:val="00183F63"/>
    <w:rsid w:val="00185C46"/>
    <w:rsid w:val="00190B70"/>
    <w:rsid w:val="00190D7E"/>
    <w:rsid w:val="001929D2"/>
    <w:rsid w:val="00197234"/>
    <w:rsid w:val="001A644F"/>
    <w:rsid w:val="001A6968"/>
    <w:rsid w:val="001C45E1"/>
    <w:rsid w:val="001C4976"/>
    <w:rsid w:val="001D010E"/>
    <w:rsid w:val="001D0EF3"/>
    <w:rsid w:val="001E6588"/>
    <w:rsid w:val="001F3783"/>
    <w:rsid w:val="0020140C"/>
    <w:rsid w:val="00201BFB"/>
    <w:rsid w:val="00203DE1"/>
    <w:rsid w:val="00204135"/>
    <w:rsid w:val="00205844"/>
    <w:rsid w:val="0021646E"/>
    <w:rsid w:val="00217D58"/>
    <w:rsid w:val="00220618"/>
    <w:rsid w:val="00233307"/>
    <w:rsid w:val="00235900"/>
    <w:rsid w:val="00237A69"/>
    <w:rsid w:val="00237D79"/>
    <w:rsid w:val="002401D9"/>
    <w:rsid w:val="00244851"/>
    <w:rsid w:val="0024557D"/>
    <w:rsid w:val="002474EE"/>
    <w:rsid w:val="00264E16"/>
    <w:rsid w:val="00266356"/>
    <w:rsid w:val="00267679"/>
    <w:rsid w:val="002714DB"/>
    <w:rsid w:val="00275B58"/>
    <w:rsid w:val="00284B53"/>
    <w:rsid w:val="00287CAE"/>
    <w:rsid w:val="00296F50"/>
    <w:rsid w:val="002B1FAF"/>
    <w:rsid w:val="002B2507"/>
    <w:rsid w:val="002E3FD4"/>
    <w:rsid w:val="002F4595"/>
    <w:rsid w:val="002F6234"/>
    <w:rsid w:val="00300AFD"/>
    <w:rsid w:val="00302A78"/>
    <w:rsid w:val="003032C0"/>
    <w:rsid w:val="003056E4"/>
    <w:rsid w:val="00306686"/>
    <w:rsid w:val="003077D3"/>
    <w:rsid w:val="00310F09"/>
    <w:rsid w:val="00311E7E"/>
    <w:rsid w:val="00316A23"/>
    <w:rsid w:val="0032176E"/>
    <w:rsid w:val="003325DA"/>
    <w:rsid w:val="0033334A"/>
    <w:rsid w:val="00336B43"/>
    <w:rsid w:val="00336B60"/>
    <w:rsid w:val="00345B17"/>
    <w:rsid w:val="00347DE4"/>
    <w:rsid w:val="0035108D"/>
    <w:rsid w:val="00352A44"/>
    <w:rsid w:val="00354A13"/>
    <w:rsid w:val="00355DAC"/>
    <w:rsid w:val="003569F9"/>
    <w:rsid w:val="00366721"/>
    <w:rsid w:val="00370990"/>
    <w:rsid w:val="00373FA7"/>
    <w:rsid w:val="0037698A"/>
    <w:rsid w:val="0037716B"/>
    <w:rsid w:val="00392124"/>
    <w:rsid w:val="0039335E"/>
    <w:rsid w:val="003937B8"/>
    <w:rsid w:val="003A0353"/>
    <w:rsid w:val="003A365E"/>
    <w:rsid w:val="003A5F3B"/>
    <w:rsid w:val="003C3825"/>
    <w:rsid w:val="003C4A9A"/>
    <w:rsid w:val="003C67FD"/>
    <w:rsid w:val="003D5E41"/>
    <w:rsid w:val="003E6D10"/>
    <w:rsid w:val="003F12BB"/>
    <w:rsid w:val="003F7361"/>
    <w:rsid w:val="003F73D7"/>
    <w:rsid w:val="00400DC1"/>
    <w:rsid w:val="00404E4A"/>
    <w:rsid w:val="00411260"/>
    <w:rsid w:val="00417461"/>
    <w:rsid w:val="00424A20"/>
    <w:rsid w:val="004310FB"/>
    <w:rsid w:val="004362E4"/>
    <w:rsid w:val="004365E8"/>
    <w:rsid w:val="004400A1"/>
    <w:rsid w:val="00442630"/>
    <w:rsid w:val="0044304D"/>
    <w:rsid w:val="00444AC4"/>
    <w:rsid w:val="00446CB3"/>
    <w:rsid w:val="0045184F"/>
    <w:rsid w:val="00464C02"/>
    <w:rsid w:val="00474BB1"/>
    <w:rsid w:val="00477888"/>
    <w:rsid w:val="00481C1A"/>
    <w:rsid w:val="00483581"/>
    <w:rsid w:val="00483DC9"/>
    <w:rsid w:val="004875D0"/>
    <w:rsid w:val="00495068"/>
    <w:rsid w:val="004A46C2"/>
    <w:rsid w:val="004A6E06"/>
    <w:rsid w:val="004A7380"/>
    <w:rsid w:val="004B07EC"/>
    <w:rsid w:val="004C1DF6"/>
    <w:rsid w:val="004C2DA2"/>
    <w:rsid w:val="004C552F"/>
    <w:rsid w:val="004D0888"/>
    <w:rsid w:val="004D4825"/>
    <w:rsid w:val="004E3021"/>
    <w:rsid w:val="004E3A00"/>
    <w:rsid w:val="004E3BCE"/>
    <w:rsid w:val="004E6316"/>
    <w:rsid w:val="004F6FE8"/>
    <w:rsid w:val="00500542"/>
    <w:rsid w:val="005019C1"/>
    <w:rsid w:val="005070C8"/>
    <w:rsid w:val="00514CEE"/>
    <w:rsid w:val="00515287"/>
    <w:rsid w:val="005157CF"/>
    <w:rsid w:val="0052473E"/>
    <w:rsid w:val="00531B5A"/>
    <w:rsid w:val="00535080"/>
    <w:rsid w:val="0053650C"/>
    <w:rsid w:val="005439C8"/>
    <w:rsid w:val="00546B2B"/>
    <w:rsid w:val="00547ED9"/>
    <w:rsid w:val="00550F45"/>
    <w:rsid w:val="00552A04"/>
    <w:rsid w:val="00553E9D"/>
    <w:rsid w:val="0055447F"/>
    <w:rsid w:val="005608A8"/>
    <w:rsid w:val="005641F0"/>
    <w:rsid w:val="00567A51"/>
    <w:rsid w:val="00567DFC"/>
    <w:rsid w:val="00577F29"/>
    <w:rsid w:val="00590FC8"/>
    <w:rsid w:val="00592A61"/>
    <w:rsid w:val="00597CBF"/>
    <w:rsid w:val="005A3361"/>
    <w:rsid w:val="005A48A6"/>
    <w:rsid w:val="005B613F"/>
    <w:rsid w:val="005B656B"/>
    <w:rsid w:val="005C079F"/>
    <w:rsid w:val="005C2BFD"/>
    <w:rsid w:val="005C601B"/>
    <w:rsid w:val="005C69E4"/>
    <w:rsid w:val="005F11AC"/>
    <w:rsid w:val="006020AD"/>
    <w:rsid w:val="00602C7C"/>
    <w:rsid w:val="0060314A"/>
    <w:rsid w:val="00607A21"/>
    <w:rsid w:val="00607A36"/>
    <w:rsid w:val="006156DF"/>
    <w:rsid w:val="00615906"/>
    <w:rsid w:val="00625D8D"/>
    <w:rsid w:val="0062796E"/>
    <w:rsid w:val="00632B40"/>
    <w:rsid w:val="00634240"/>
    <w:rsid w:val="006360F9"/>
    <w:rsid w:val="00637683"/>
    <w:rsid w:val="00642F36"/>
    <w:rsid w:val="0064393F"/>
    <w:rsid w:val="00646917"/>
    <w:rsid w:val="00654A55"/>
    <w:rsid w:val="00656587"/>
    <w:rsid w:val="00680EE2"/>
    <w:rsid w:val="00683316"/>
    <w:rsid w:val="00696682"/>
    <w:rsid w:val="006A6371"/>
    <w:rsid w:val="006B0030"/>
    <w:rsid w:val="006B0516"/>
    <w:rsid w:val="006B49DE"/>
    <w:rsid w:val="006C6221"/>
    <w:rsid w:val="006C7A9F"/>
    <w:rsid w:val="006C7DEA"/>
    <w:rsid w:val="006D413F"/>
    <w:rsid w:val="006E353E"/>
    <w:rsid w:val="006F306F"/>
    <w:rsid w:val="006F404A"/>
    <w:rsid w:val="006F5206"/>
    <w:rsid w:val="006F6FE8"/>
    <w:rsid w:val="006F7D95"/>
    <w:rsid w:val="00700A80"/>
    <w:rsid w:val="0070464B"/>
    <w:rsid w:val="007071E4"/>
    <w:rsid w:val="00707ADA"/>
    <w:rsid w:val="0071693B"/>
    <w:rsid w:val="00721291"/>
    <w:rsid w:val="007258B1"/>
    <w:rsid w:val="00725C8B"/>
    <w:rsid w:val="00741740"/>
    <w:rsid w:val="00745D97"/>
    <w:rsid w:val="00752410"/>
    <w:rsid w:val="00754CA3"/>
    <w:rsid w:val="0076549B"/>
    <w:rsid w:val="007723DE"/>
    <w:rsid w:val="0077247D"/>
    <w:rsid w:val="0077250D"/>
    <w:rsid w:val="00772ED3"/>
    <w:rsid w:val="007744BB"/>
    <w:rsid w:val="00777176"/>
    <w:rsid w:val="00784E13"/>
    <w:rsid w:val="00785125"/>
    <w:rsid w:val="00792056"/>
    <w:rsid w:val="00793E18"/>
    <w:rsid w:val="007A0652"/>
    <w:rsid w:val="007B4C63"/>
    <w:rsid w:val="007C0010"/>
    <w:rsid w:val="007E69AF"/>
    <w:rsid w:val="007E74A0"/>
    <w:rsid w:val="007E7879"/>
    <w:rsid w:val="007F0DD8"/>
    <w:rsid w:val="007F189A"/>
    <w:rsid w:val="007F4986"/>
    <w:rsid w:val="00801981"/>
    <w:rsid w:val="0080517C"/>
    <w:rsid w:val="008054C8"/>
    <w:rsid w:val="00807AEF"/>
    <w:rsid w:val="00820BBE"/>
    <w:rsid w:val="00827865"/>
    <w:rsid w:val="0083210B"/>
    <w:rsid w:val="00832638"/>
    <w:rsid w:val="008361D7"/>
    <w:rsid w:val="00837632"/>
    <w:rsid w:val="00842B72"/>
    <w:rsid w:val="00863259"/>
    <w:rsid w:val="00863E83"/>
    <w:rsid w:val="00864D72"/>
    <w:rsid w:val="00865130"/>
    <w:rsid w:val="00870F60"/>
    <w:rsid w:val="00876940"/>
    <w:rsid w:val="00884B54"/>
    <w:rsid w:val="00887E41"/>
    <w:rsid w:val="00892F53"/>
    <w:rsid w:val="00895341"/>
    <w:rsid w:val="00896CC1"/>
    <w:rsid w:val="00897A41"/>
    <w:rsid w:val="008A4CE2"/>
    <w:rsid w:val="008A4F2F"/>
    <w:rsid w:val="008A7F4C"/>
    <w:rsid w:val="008B286D"/>
    <w:rsid w:val="008B583A"/>
    <w:rsid w:val="008C2A3A"/>
    <w:rsid w:val="008C78EF"/>
    <w:rsid w:val="008D2681"/>
    <w:rsid w:val="008E3B54"/>
    <w:rsid w:val="008E4F79"/>
    <w:rsid w:val="008F1712"/>
    <w:rsid w:val="008F382A"/>
    <w:rsid w:val="008F6FFE"/>
    <w:rsid w:val="00900EDA"/>
    <w:rsid w:val="009028B5"/>
    <w:rsid w:val="00902E92"/>
    <w:rsid w:val="0090743D"/>
    <w:rsid w:val="00911019"/>
    <w:rsid w:val="00911F4A"/>
    <w:rsid w:val="009139AC"/>
    <w:rsid w:val="00913D62"/>
    <w:rsid w:val="0091589E"/>
    <w:rsid w:val="00916FC3"/>
    <w:rsid w:val="00917294"/>
    <w:rsid w:val="009211BC"/>
    <w:rsid w:val="00922AD6"/>
    <w:rsid w:val="00930420"/>
    <w:rsid w:val="00930D38"/>
    <w:rsid w:val="0093284E"/>
    <w:rsid w:val="009351C8"/>
    <w:rsid w:val="009436F2"/>
    <w:rsid w:val="00943779"/>
    <w:rsid w:val="009542A3"/>
    <w:rsid w:val="009576CE"/>
    <w:rsid w:val="00960C8A"/>
    <w:rsid w:val="009669C8"/>
    <w:rsid w:val="00966BBA"/>
    <w:rsid w:val="00974CD6"/>
    <w:rsid w:val="00976CC8"/>
    <w:rsid w:val="009844EA"/>
    <w:rsid w:val="009A02F3"/>
    <w:rsid w:val="009A2BCD"/>
    <w:rsid w:val="009C07BA"/>
    <w:rsid w:val="009C206F"/>
    <w:rsid w:val="009C295B"/>
    <w:rsid w:val="009C37F9"/>
    <w:rsid w:val="009C3FA3"/>
    <w:rsid w:val="009C5CE4"/>
    <w:rsid w:val="009D384E"/>
    <w:rsid w:val="009D7044"/>
    <w:rsid w:val="009E21D2"/>
    <w:rsid w:val="009E4D5F"/>
    <w:rsid w:val="009E6616"/>
    <w:rsid w:val="009F206C"/>
    <w:rsid w:val="009F4C7C"/>
    <w:rsid w:val="00A0018B"/>
    <w:rsid w:val="00A03931"/>
    <w:rsid w:val="00A04AFD"/>
    <w:rsid w:val="00A130F7"/>
    <w:rsid w:val="00A138B6"/>
    <w:rsid w:val="00A228D3"/>
    <w:rsid w:val="00A322DB"/>
    <w:rsid w:val="00A32860"/>
    <w:rsid w:val="00A40FA8"/>
    <w:rsid w:val="00A473C3"/>
    <w:rsid w:val="00A53053"/>
    <w:rsid w:val="00A62CD6"/>
    <w:rsid w:val="00A62F99"/>
    <w:rsid w:val="00A650AB"/>
    <w:rsid w:val="00A65D84"/>
    <w:rsid w:val="00A73083"/>
    <w:rsid w:val="00A77E8E"/>
    <w:rsid w:val="00A8157A"/>
    <w:rsid w:val="00A847DE"/>
    <w:rsid w:val="00A87E1A"/>
    <w:rsid w:val="00A92854"/>
    <w:rsid w:val="00A92CD3"/>
    <w:rsid w:val="00A94F8C"/>
    <w:rsid w:val="00AA1D89"/>
    <w:rsid w:val="00AA6464"/>
    <w:rsid w:val="00AB3686"/>
    <w:rsid w:val="00AB3E28"/>
    <w:rsid w:val="00AB665C"/>
    <w:rsid w:val="00AC0092"/>
    <w:rsid w:val="00AC6C43"/>
    <w:rsid w:val="00AD28AD"/>
    <w:rsid w:val="00AD4AA2"/>
    <w:rsid w:val="00AE0C3A"/>
    <w:rsid w:val="00AE1E6E"/>
    <w:rsid w:val="00AE40DE"/>
    <w:rsid w:val="00AE4763"/>
    <w:rsid w:val="00AE7FF3"/>
    <w:rsid w:val="00AF0EAA"/>
    <w:rsid w:val="00AF2E2B"/>
    <w:rsid w:val="00AF4EA6"/>
    <w:rsid w:val="00AF745F"/>
    <w:rsid w:val="00B0121B"/>
    <w:rsid w:val="00B013E5"/>
    <w:rsid w:val="00B02D9F"/>
    <w:rsid w:val="00B0409A"/>
    <w:rsid w:val="00B0455B"/>
    <w:rsid w:val="00B11E02"/>
    <w:rsid w:val="00B14A22"/>
    <w:rsid w:val="00B164C4"/>
    <w:rsid w:val="00B21CFE"/>
    <w:rsid w:val="00B260CF"/>
    <w:rsid w:val="00B3476F"/>
    <w:rsid w:val="00B36876"/>
    <w:rsid w:val="00B404AB"/>
    <w:rsid w:val="00B41C8B"/>
    <w:rsid w:val="00B43568"/>
    <w:rsid w:val="00B47589"/>
    <w:rsid w:val="00B574E1"/>
    <w:rsid w:val="00B72B9E"/>
    <w:rsid w:val="00B76629"/>
    <w:rsid w:val="00B7709B"/>
    <w:rsid w:val="00B82095"/>
    <w:rsid w:val="00B82183"/>
    <w:rsid w:val="00B84E6F"/>
    <w:rsid w:val="00B90975"/>
    <w:rsid w:val="00B93571"/>
    <w:rsid w:val="00B9382B"/>
    <w:rsid w:val="00B9458B"/>
    <w:rsid w:val="00B94CBD"/>
    <w:rsid w:val="00B97645"/>
    <w:rsid w:val="00BA2806"/>
    <w:rsid w:val="00BA4EA4"/>
    <w:rsid w:val="00BA6E44"/>
    <w:rsid w:val="00BB15F4"/>
    <w:rsid w:val="00BC321A"/>
    <w:rsid w:val="00BC3323"/>
    <w:rsid w:val="00BD4F8E"/>
    <w:rsid w:val="00BE345B"/>
    <w:rsid w:val="00BF2220"/>
    <w:rsid w:val="00BF6B40"/>
    <w:rsid w:val="00C0612C"/>
    <w:rsid w:val="00C23695"/>
    <w:rsid w:val="00C262AE"/>
    <w:rsid w:val="00C31030"/>
    <w:rsid w:val="00C5364B"/>
    <w:rsid w:val="00C6128D"/>
    <w:rsid w:val="00C73278"/>
    <w:rsid w:val="00C765C8"/>
    <w:rsid w:val="00C81970"/>
    <w:rsid w:val="00C82029"/>
    <w:rsid w:val="00C85B01"/>
    <w:rsid w:val="00C9283A"/>
    <w:rsid w:val="00C95039"/>
    <w:rsid w:val="00C96883"/>
    <w:rsid w:val="00CA2A24"/>
    <w:rsid w:val="00CA4615"/>
    <w:rsid w:val="00CA6DBA"/>
    <w:rsid w:val="00CA7C6F"/>
    <w:rsid w:val="00CB0175"/>
    <w:rsid w:val="00CB4E93"/>
    <w:rsid w:val="00CB594A"/>
    <w:rsid w:val="00CC0244"/>
    <w:rsid w:val="00CC0D61"/>
    <w:rsid w:val="00CD25C0"/>
    <w:rsid w:val="00CD3A6F"/>
    <w:rsid w:val="00CD3EA1"/>
    <w:rsid w:val="00CD6263"/>
    <w:rsid w:val="00CD7322"/>
    <w:rsid w:val="00CE0E7B"/>
    <w:rsid w:val="00CE119C"/>
    <w:rsid w:val="00CE7F36"/>
    <w:rsid w:val="00CF23F8"/>
    <w:rsid w:val="00CF440D"/>
    <w:rsid w:val="00CF4A8A"/>
    <w:rsid w:val="00CF7D08"/>
    <w:rsid w:val="00D000B7"/>
    <w:rsid w:val="00D02B03"/>
    <w:rsid w:val="00D02EBD"/>
    <w:rsid w:val="00D03A25"/>
    <w:rsid w:val="00D04A3C"/>
    <w:rsid w:val="00D06ADA"/>
    <w:rsid w:val="00D06C32"/>
    <w:rsid w:val="00D20EF5"/>
    <w:rsid w:val="00D22097"/>
    <w:rsid w:val="00D226FC"/>
    <w:rsid w:val="00D36C41"/>
    <w:rsid w:val="00D4039B"/>
    <w:rsid w:val="00D42CB0"/>
    <w:rsid w:val="00D52BCA"/>
    <w:rsid w:val="00D536C4"/>
    <w:rsid w:val="00D55A85"/>
    <w:rsid w:val="00D63292"/>
    <w:rsid w:val="00D66D48"/>
    <w:rsid w:val="00D74B78"/>
    <w:rsid w:val="00D750D0"/>
    <w:rsid w:val="00D80A6E"/>
    <w:rsid w:val="00D83F5C"/>
    <w:rsid w:val="00D87480"/>
    <w:rsid w:val="00DA3466"/>
    <w:rsid w:val="00DB0F8E"/>
    <w:rsid w:val="00DB71FD"/>
    <w:rsid w:val="00DC453F"/>
    <w:rsid w:val="00DC57F0"/>
    <w:rsid w:val="00DD257A"/>
    <w:rsid w:val="00DD5651"/>
    <w:rsid w:val="00DE0091"/>
    <w:rsid w:val="00DE546F"/>
    <w:rsid w:val="00DE6E50"/>
    <w:rsid w:val="00DF241E"/>
    <w:rsid w:val="00DF416B"/>
    <w:rsid w:val="00DF754D"/>
    <w:rsid w:val="00E043C5"/>
    <w:rsid w:val="00E223F4"/>
    <w:rsid w:val="00E24894"/>
    <w:rsid w:val="00E25A07"/>
    <w:rsid w:val="00E27FCA"/>
    <w:rsid w:val="00E3274D"/>
    <w:rsid w:val="00E333DF"/>
    <w:rsid w:val="00E44E91"/>
    <w:rsid w:val="00E50B24"/>
    <w:rsid w:val="00E70F1A"/>
    <w:rsid w:val="00E71C7C"/>
    <w:rsid w:val="00E80D48"/>
    <w:rsid w:val="00E83C41"/>
    <w:rsid w:val="00E8627D"/>
    <w:rsid w:val="00E87842"/>
    <w:rsid w:val="00E9781D"/>
    <w:rsid w:val="00EA5D76"/>
    <w:rsid w:val="00EA6B10"/>
    <w:rsid w:val="00EC0B77"/>
    <w:rsid w:val="00EC2925"/>
    <w:rsid w:val="00EC5579"/>
    <w:rsid w:val="00EC5C40"/>
    <w:rsid w:val="00ED02B0"/>
    <w:rsid w:val="00ED54A2"/>
    <w:rsid w:val="00ED774B"/>
    <w:rsid w:val="00EE0118"/>
    <w:rsid w:val="00EE49CE"/>
    <w:rsid w:val="00EE66A1"/>
    <w:rsid w:val="00EE7C8D"/>
    <w:rsid w:val="00EF24B1"/>
    <w:rsid w:val="00EF3918"/>
    <w:rsid w:val="00EF635B"/>
    <w:rsid w:val="00EF65B9"/>
    <w:rsid w:val="00F01D00"/>
    <w:rsid w:val="00F025F6"/>
    <w:rsid w:val="00F15029"/>
    <w:rsid w:val="00F227CC"/>
    <w:rsid w:val="00F23AF2"/>
    <w:rsid w:val="00F27D5D"/>
    <w:rsid w:val="00F30857"/>
    <w:rsid w:val="00F330C3"/>
    <w:rsid w:val="00F3602D"/>
    <w:rsid w:val="00F37914"/>
    <w:rsid w:val="00F505D2"/>
    <w:rsid w:val="00F56365"/>
    <w:rsid w:val="00F61ECD"/>
    <w:rsid w:val="00F627C2"/>
    <w:rsid w:val="00F637B6"/>
    <w:rsid w:val="00F67822"/>
    <w:rsid w:val="00F71AD8"/>
    <w:rsid w:val="00F75F33"/>
    <w:rsid w:val="00F84236"/>
    <w:rsid w:val="00F91CA9"/>
    <w:rsid w:val="00F94CD9"/>
    <w:rsid w:val="00FA208B"/>
    <w:rsid w:val="00FA5021"/>
    <w:rsid w:val="00FA7060"/>
    <w:rsid w:val="00FA7ACF"/>
    <w:rsid w:val="00FB30AF"/>
    <w:rsid w:val="00FB3E2B"/>
    <w:rsid w:val="00FB689D"/>
    <w:rsid w:val="00FB6FCA"/>
    <w:rsid w:val="00FC2CE4"/>
    <w:rsid w:val="00FC379E"/>
    <w:rsid w:val="00FC4F11"/>
    <w:rsid w:val="00FD2F39"/>
    <w:rsid w:val="00FD337C"/>
    <w:rsid w:val="00FD3BAE"/>
    <w:rsid w:val="00FD5236"/>
    <w:rsid w:val="00FD7D5B"/>
    <w:rsid w:val="00FE0F23"/>
    <w:rsid w:val="00FE2EB4"/>
    <w:rsid w:val="00FF10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1129"/>
  <w15:docId w15:val="{07B0692A-0DA9-4EBE-B917-984EE342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99"/>
    <w:qFormat/>
    <w:rsid w:val="00654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705">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20719">
      <w:bodyDiv w:val="1"/>
      <w:marLeft w:val="0"/>
      <w:marRight w:val="0"/>
      <w:marTop w:val="0"/>
      <w:marBottom w:val="0"/>
      <w:divBdr>
        <w:top w:val="none" w:sz="0" w:space="0" w:color="auto"/>
        <w:left w:val="none" w:sz="0" w:space="0" w:color="auto"/>
        <w:bottom w:val="none" w:sz="0" w:space="0" w:color="auto"/>
        <w:right w:val="none" w:sz="0" w:space="0" w:color="auto"/>
      </w:divBdr>
    </w:div>
    <w:div w:id="98568667">
      <w:bodyDiv w:val="1"/>
      <w:marLeft w:val="0"/>
      <w:marRight w:val="0"/>
      <w:marTop w:val="0"/>
      <w:marBottom w:val="0"/>
      <w:divBdr>
        <w:top w:val="none" w:sz="0" w:space="0" w:color="auto"/>
        <w:left w:val="none" w:sz="0" w:space="0" w:color="auto"/>
        <w:bottom w:val="none" w:sz="0" w:space="0" w:color="auto"/>
        <w:right w:val="none" w:sz="0" w:space="0" w:color="auto"/>
      </w:divBdr>
    </w:div>
    <w:div w:id="101458532">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04908">
      <w:bodyDiv w:val="1"/>
      <w:marLeft w:val="0"/>
      <w:marRight w:val="0"/>
      <w:marTop w:val="0"/>
      <w:marBottom w:val="0"/>
      <w:divBdr>
        <w:top w:val="none" w:sz="0" w:space="0" w:color="auto"/>
        <w:left w:val="none" w:sz="0" w:space="0" w:color="auto"/>
        <w:bottom w:val="none" w:sz="0" w:space="0" w:color="auto"/>
        <w:right w:val="none" w:sz="0" w:space="0" w:color="auto"/>
      </w:divBdr>
    </w:div>
    <w:div w:id="212818510">
      <w:bodyDiv w:val="1"/>
      <w:marLeft w:val="0"/>
      <w:marRight w:val="0"/>
      <w:marTop w:val="0"/>
      <w:marBottom w:val="0"/>
      <w:divBdr>
        <w:top w:val="none" w:sz="0" w:space="0" w:color="auto"/>
        <w:left w:val="none" w:sz="0" w:space="0" w:color="auto"/>
        <w:bottom w:val="none" w:sz="0" w:space="0" w:color="auto"/>
        <w:right w:val="none" w:sz="0" w:space="0" w:color="auto"/>
      </w:divBdr>
    </w:div>
    <w:div w:id="218900104">
      <w:bodyDiv w:val="1"/>
      <w:marLeft w:val="0"/>
      <w:marRight w:val="0"/>
      <w:marTop w:val="0"/>
      <w:marBottom w:val="0"/>
      <w:divBdr>
        <w:top w:val="none" w:sz="0" w:space="0" w:color="auto"/>
        <w:left w:val="none" w:sz="0" w:space="0" w:color="auto"/>
        <w:bottom w:val="none" w:sz="0" w:space="0" w:color="auto"/>
        <w:right w:val="none" w:sz="0" w:space="0" w:color="auto"/>
      </w:divBdr>
    </w:div>
    <w:div w:id="221449437">
      <w:bodyDiv w:val="1"/>
      <w:marLeft w:val="0"/>
      <w:marRight w:val="0"/>
      <w:marTop w:val="0"/>
      <w:marBottom w:val="0"/>
      <w:divBdr>
        <w:top w:val="none" w:sz="0" w:space="0" w:color="auto"/>
        <w:left w:val="none" w:sz="0" w:space="0" w:color="auto"/>
        <w:bottom w:val="none" w:sz="0" w:space="0" w:color="auto"/>
        <w:right w:val="none" w:sz="0" w:space="0" w:color="auto"/>
      </w:divBdr>
    </w:div>
    <w:div w:id="257492363">
      <w:bodyDiv w:val="1"/>
      <w:marLeft w:val="0"/>
      <w:marRight w:val="0"/>
      <w:marTop w:val="0"/>
      <w:marBottom w:val="0"/>
      <w:divBdr>
        <w:top w:val="none" w:sz="0" w:space="0" w:color="auto"/>
        <w:left w:val="none" w:sz="0" w:space="0" w:color="auto"/>
        <w:bottom w:val="none" w:sz="0" w:space="0" w:color="auto"/>
        <w:right w:val="none" w:sz="0" w:space="0" w:color="auto"/>
      </w:divBdr>
    </w:div>
    <w:div w:id="278033845">
      <w:bodyDiv w:val="1"/>
      <w:marLeft w:val="0"/>
      <w:marRight w:val="0"/>
      <w:marTop w:val="0"/>
      <w:marBottom w:val="0"/>
      <w:divBdr>
        <w:top w:val="none" w:sz="0" w:space="0" w:color="auto"/>
        <w:left w:val="none" w:sz="0" w:space="0" w:color="auto"/>
        <w:bottom w:val="none" w:sz="0" w:space="0" w:color="auto"/>
        <w:right w:val="none" w:sz="0" w:space="0" w:color="auto"/>
      </w:divBdr>
    </w:div>
    <w:div w:id="32528655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84893">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5883436">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9834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51503201">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976908">
      <w:bodyDiv w:val="1"/>
      <w:marLeft w:val="0"/>
      <w:marRight w:val="0"/>
      <w:marTop w:val="0"/>
      <w:marBottom w:val="0"/>
      <w:divBdr>
        <w:top w:val="none" w:sz="0" w:space="0" w:color="auto"/>
        <w:left w:val="none" w:sz="0" w:space="0" w:color="auto"/>
        <w:bottom w:val="none" w:sz="0" w:space="0" w:color="auto"/>
        <w:right w:val="none" w:sz="0" w:space="0" w:color="auto"/>
      </w:divBdr>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4965201">
      <w:bodyDiv w:val="1"/>
      <w:marLeft w:val="0"/>
      <w:marRight w:val="0"/>
      <w:marTop w:val="0"/>
      <w:marBottom w:val="0"/>
      <w:divBdr>
        <w:top w:val="none" w:sz="0" w:space="0" w:color="auto"/>
        <w:left w:val="none" w:sz="0" w:space="0" w:color="auto"/>
        <w:bottom w:val="none" w:sz="0" w:space="0" w:color="auto"/>
        <w:right w:val="none" w:sz="0" w:space="0" w:color="auto"/>
      </w:divBdr>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46828">
      <w:bodyDiv w:val="1"/>
      <w:marLeft w:val="0"/>
      <w:marRight w:val="0"/>
      <w:marTop w:val="0"/>
      <w:marBottom w:val="0"/>
      <w:divBdr>
        <w:top w:val="none" w:sz="0" w:space="0" w:color="auto"/>
        <w:left w:val="none" w:sz="0" w:space="0" w:color="auto"/>
        <w:bottom w:val="none" w:sz="0" w:space="0" w:color="auto"/>
        <w:right w:val="none" w:sz="0" w:space="0" w:color="auto"/>
      </w:divBdr>
    </w:div>
    <w:div w:id="72105412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41960">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21041073">
      <w:bodyDiv w:val="1"/>
      <w:marLeft w:val="0"/>
      <w:marRight w:val="0"/>
      <w:marTop w:val="0"/>
      <w:marBottom w:val="0"/>
      <w:divBdr>
        <w:top w:val="none" w:sz="0" w:space="0" w:color="auto"/>
        <w:left w:val="none" w:sz="0" w:space="0" w:color="auto"/>
        <w:bottom w:val="none" w:sz="0" w:space="0" w:color="auto"/>
        <w:right w:val="none" w:sz="0" w:space="0" w:color="auto"/>
      </w:divBdr>
    </w:div>
    <w:div w:id="823083614">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862678">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42764906">
      <w:bodyDiv w:val="1"/>
      <w:marLeft w:val="0"/>
      <w:marRight w:val="0"/>
      <w:marTop w:val="0"/>
      <w:marBottom w:val="0"/>
      <w:divBdr>
        <w:top w:val="none" w:sz="0" w:space="0" w:color="auto"/>
        <w:left w:val="none" w:sz="0" w:space="0" w:color="auto"/>
        <w:bottom w:val="none" w:sz="0" w:space="0" w:color="auto"/>
        <w:right w:val="none" w:sz="0" w:space="0" w:color="auto"/>
      </w:divBdr>
    </w:div>
    <w:div w:id="967901453">
      <w:bodyDiv w:val="1"/>
      <w:marLeft w:val="0"/>
      <w:marRight w:val="0"/>
      <w:marTop w:val="0"/>
      <w:marBottom w:val="0"/>
      <w:divBdr>
        <w:top w:val="none" w:sz="0" w:space="0" w:color="auto"/>
        <w:left w:val="none" w:sz="0" w:space="0" w:color="auto"/>
        <w:bottom w:val="none" w:sz="0" w:space="0" w:color="auto"/>
        <w:right w:val="none" w:sz="0" w:space="0" w:color="auto"/>
      </w:divBdr>
    </w:div>
    <w:div w:id="973634412">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5255">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547347">
      <w:bodyDiv w:val="1"/>
      <w:marLeft w:val="0"/>
      <w:marRight w:val="0"/>
      <w:marTop w:val="0"/>
      <w:marBottom w:val="0"/>
      <w:divBdr>
        <w:top w:val="none" w:sz="0" w:space="0" w:color="auto"/>
        <w:left w:val="none" w:sz="0" w:space="0" w:color="auto"/>
        <w:bottom w:val="none" w:sz="0" w:space="0" w:color="auto"/>
        <w:right w:val="none" w:sz="0" w:space="0" w:color="auto"/>
      </w:divBdr>
    </w:div>
    <w:div w:id="1162887187">
      <w:bodyDiv w:val="1"/>
      <w:marLeft w:val="0"/>
      <w:marRight w:val="0"/>
      <w:marTop w:val="0"/>
      <w:marBottom w:val="0"/>
      <w:divBdr>
        <w:top w:val="none" w:sz="0" w:space="0" w:color="auto"/>
        <w:left w:val="none" w:sz="0" w:space="0" w:color="auto"/>
        <w:bottom w:val="none" w:sz="0" w:space="0" w:color="auto"/>
        <w:right w:val="none" w:sz="0" w:space="0" w:color="auto"/>
      </w:divBdr>
    </w:div>
    <w:div w:id="1174614252">
      <w:bodyDiv w:val="1"/>
      <w:marLeft w:val="0"/>
      <w:marRight w:val="0"/>
      <w:marTop w:val="0"/>
      <w:marBottom w:val="0"/>
      <w:divBdr>
        <w:top w:val="none" w:sz="0" w:space="0" w:color="auto"/>
        <w:left w:val="none" w:sz="0" w:space="0" w:color="auto"/>
        <w:bottom w:val="none" w:sz="0" w:space="0" w:color="auto"/>
        <w:right w:val="none" w:sz="0" w:space="0" w:color="auto"/>
      </w:divBdr>
    </w:div>
    <w:div w:id="1249969180">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8355830">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87362">
      <w:bodyDiv w:val="1"/>
      <w:marLeft w:val="0"/>
      <w:marRight w:val="0"/>
      <w:marTop w:val="0"/>
      <w:marBottom w:val="0"/>
      <w:divBdr>
        <w:top w:val="none" w:sz="0" w:space="0" w:color="auto"/>
        <w:left w:val="none" w:sz="0" w:space="0" w:color="auto"/>
        <w:bottom w:val="none" w:sz="0" w:space="0" w:color="auto"/>
        <w:right w:val="none" w:sz="0" w:space="0" w:color="auto"/>
      </w:divBdr>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447695455">
      <w:bodyDiv w:val="1"/>
      <w:marLeft w:val="0"/>
      <w:marRight w:val="0"/>
      <w:marTop w:val="0"/>
      <w:marBottom w:val="0"/>
      <w:divBdr>
        <w:top w:val="none" w:sz="0" w:space="0" w:color="auto"/>
        <w:left w:val="none" w:sz="0" w:space="0" w:color="auto"/>
        <w:bottom w:val="none" w:sz="0" w:space="0" w:color="auto"/>
        <w:right w:val="none" w:sz="0" w:space="0" w:color="auto"/>
      </w:divBdr>
    </w:div>
    <w:div w:id="1458794416">
      <w:bodyDiv w:val="1"/>
      <w:marLeft w:val="0"/>
      <w:marRight w:val="0"/>
      <w:marTop w:val="0"/>
      <w:marBottom w:val="0"/>
      <w:divBdr>
        <w:top w:val="none" w:sz="0" w:space="0" w:color="auto"/>
        <w:left w:val="none" w:sz="0" w:space="0" w:color="auto"/>
        <w:bottom w:val="none" w:sz="0" w:space="0" w:color="auto"/>
        <w:right w:val="none" w:sz="0" w:space="0" w:color="auto"/>
      </w:divBdr>
    </w:div>
    <w:div w:id="1462724315">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3882775">
      <w:bodyDiv w:val="1"/>
      <w:marLeft w:val="0"/>
      <w:marRight w:val="0"/>
      <w:marTop w:val="0"/>
      <w:marBottom w:val="0"/>
      <w:divBdr>
        <w:top w:val="none" w:sz="0" w:space="0" w:color="auto"/>
        <w:left w:val="none" w:sz="0" w:space="0" w:color="auto"/>
        <w:bottom w:val="none" w:sz="0" w:space="0" w:color="auto"/>
        <w:right w:val="none" w:sz="0" w:space="0" w:color="auto"/>
      </w:divBdr>
    </w:div>
    <w:div w:id="1556237227">
      <w:bodyDiv w:val="1"/>
      <w:marLeft w:val="0"/>
      <w:marRight w:val="0"/>
      <w:marTop w:val="0"/>
      <w:marBottom w:val="0"/>
      <w:divBdr>
        <w:top w:val="none" w:sz="0" w:space="0" w:color="auto"/>
        <w:left w:val="none" w:sz="0" w:space="0" w:color="auto"/>
        <w:bottom w:val="none" w:sz="0" w:space="0" w:color="auto"/>
        <w:right w:val="none" w:sz="0" w:space="0" w:color="auto"/>
      </w:divBdr>
    </w:div>
    <w:div w:id="1602493495">
      <w:bodyDiv w:val="1"/>
      <w:marLeft w:val="0"/>
      <w:marRight w:val="0"/>
      <w:marTop w:val="0"/>
      <w:marBottom w:val="0"/>
      <w:divBdr>
        <w:top w:val="none" w:sz="0" w:space="0" w:color="auto"/>
        <w:left w:val="none" w:sz="0" w:space="0" w:color="auto"/>
        <w:bottom w:val="none" w:sz="0" w:space="0" w:color="auto"/>
        <w:right w:val="none" w:sz="0" w:space="0" w:color="auto"/>
      </w:divBdr>
    </w:div>
    <w:div w:id="1624340182">
      <w:bodyDiv w:val="1"/>
      <w:marLeft w:val="0"/>
      <w:marRight w:val="0"/>
      <w:marTop w:val="0"/>
      <w:marBottom w:val="0"/>
      <w:divBdr>
        <w:top w:val="none" w:sz="0" w:space="0" w:color="auto"/>
        <w:left w:val="none" w:sz="0" w:space="0" w:color="auto"/>
        <w:bottom w:val="none" w:sz="0" w:space="0" w:color="auto"/>
        <w:right w:val="none" w:sz="0" w:space="0" w:color="auto"/>
      </w:divBdr>
    </w:div>
    <w:div w:id="1625573068">
      <w:bodyDiv w:val="1"/>
      <w:marLeft w:val="0"/>
      <w:marRight w:val="0"/>
      <w:marTop w:val="0"/>
      <w:marBottom w:val="0"/>
      <w:divBdr>
        <w:top w:val="none" w:sz="0" w:space="0" w:color="auto"/>
        <w:left w:val="none" w:sz="0" w:space="0" w:color="auto"/>
        <w:bottom w:val="none" w:sz="0" w:space="0" w:color="auto"/>
        <w:right w:val="none" w:sz="0" w:space="0" w:color="auto"/>
      </w:divBdr>
    </w:div>
    <w:div w:id="1688942087">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131744">
      <w:bodyDiv w:val="1"/>
      <w:marLeft w:val="0"/>
      <w:marRight w:val="0"/>
      <w:marTop w:val="0"/>
      <w:marBottom w:val="0"/>
      <w:divBdr>
        <w:top w:val="none" w:sz="0" w:space="0" w:color="auto"/>
        <w:left w:val="none" w:sz="0" w:space="0" w:color="auto"/>
        <w:bottom w:val="none" w:sz="0" w:space="0" w:color="auto"/>
        <w:right w:val="none" w:sz="0" w:space="0" w:color="auto"/>
      </w:divBdr>
    </w:div>
    <w:div w:id="1745645772">
      <w:bodyDiv w:val="1"/>
      <w:marLeft w:val="0"/>
      <w:marRight w:val="0"/>
      <w:marTop w:val="0"/>
      <w:marBottom w:val="0"/>
      <w:divBdr>
        <w:top w:val="none" w:sz="0" w:space="0" w:color="auto"/>
        <w:left w:val="none" w:sz="0" w:space="0" w:color="auto"/>
        <w:bottom w:val="none" w:sz="0" w:space="0" w:color="auto"/>
        <w:right w:val="none" w:sz="0" w:space="0" w:color="auto"/>
      </w:divBdr>
    </w:div>
    <w:div w:id="1755778782">
      <w:bodyDiv w:val="1"/>
      <w:marLeft w:val="0"/>
      <w:marRight w:val="0"/>
      <w:marTop w:val="0"/>
      <w:marBottom w:val="0"/>
      <w:divBdr>
        <w:top w:val="none" w:sz="0" w:space="0" w:color="auto"/>
        <w:left w:val="none" w:sz="0" w:space="0" w:color="auto"/>
        <w:bottom w:val="none" w:sz="0" w:space="0" w:color="auto"/>
        <w:right w:val="none" w:sz="0" w:space="0" w:color="auto"/>
      </w:divBdr>
    </w:div>
    <w:div w:id="1810515179">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9804201">
      <w:bodyDiv w:val="1"/>
      <w:marLeft w:val="0"/>
      <w:marRight w:val="0"/>
      <w:marTop w:val="0"/>
      <w:marBottom w:val="0"/>
      <w:divBdr>
        <w:top w:val="none" w:sz="0" w:space="0" w:color="auto"/>
        <w:left w:val="none" w:sz="0" w:space="0" w:color="auto"/>
        <w:bottom w:val="none" w:sz="0" w:space="0" w:color="auto"/>
        <w:right w:val="none" w:sz="0" w:space="0" w:color="auto"/>
      </w:divBdr>
    </w:div>
    <w:div w:id="1844515707">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407722">
      <w:bodyDiv w:val="1"/>
      <w:marLeft w:val="0"/>
      <w:marRight w:val="0"/>
      <w:marTop w:val="0"/>
      <w:marBottom w:val="0"/>
      <w:divBdr>
        <w:top w:val="none" w:sz="0" w:space="0" w:color="auto"/>
        <w:left w:val="none" w:sz="0" w:space="0" w:color="auto"/>
        <w:bottom w:val="none" w:sz="0" w:space="0" w:color="auto"/>
        <w:right w:val="none" w:sz="0" w:space="0" w:color="auto"/>
      </w:divBdr>
    </w:div>
    <w:div w:id="2013483708">
      <w:bodyDiv w:val="1"/>
      <w:marLeft w:val="0"/>
      <w:marRight w:val="0"/>
      <w:marTop w:val="0"/>
      <w:marBottom w:val="0"/>
      <w:divBdr>
        <w:top w:val="none" w:sz="0" w:space="0" w:color="auto"/>
        <w:left w:val="none" w:sz="0" w:space="0" w:color="auto"/>
        <w:bottom w:val="none" w:sz="0" w:space="0" w:color="auto"/>
        <w:right w:val="none" w:sz="0" w:space="0" w:color="auto"/>
      </w:divBdr>
    </w:div>
    <w:div w:id="2014871038">
      <w:bodyDiv w:val="1"/>
      <w:marLeft w:val="0"/>
      <w:marRight w:val="0"/>
      <w:marTop w:val="0"/>
      <w:marBottom w:val="0"/>
      <w:divBdr>
        <w:top w:val="none" w:sz="0" w:space="0" w:color="auto"/>
        <w:left w:val="none" w:sz="0" w:space="0" w:color="auto"/>
        <w:bottom w:val="none" w:sz="0" w:space="0" w:color="auto"/>
        <w:right w:val="none" w:sz="0" w:space="0" w:color="auto"/>
      </w:divBdr>
    </w:div>
    <w:div w:id="2015452198">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31913">
      <w:bodyDiv w:val="1"/>
      <w:marLeft w:val="0"/>
      <w:marRight w:val="0"/>
      <w:marTop w:val="0"/>
      <w:marBottom w:val="0"/>
      <w:divBdr>
        <w:top w:val="none" w:sz="0" w:space="0" w:color="auto"/>
        <w:left w:val="none" w:sz="0" w:space="0" w:color="auto"/>
        <w:bottom w:val="none" w:sz="0" w:space="0" w:color="auto"/>
        <w:right w:val="none" w:sz="0" w:space="0" w:color="auto"/>
      </w:divBdr>
    </w:div>
    <w:div w:id="2122799284">
      <w:bodyDiv w:val="1"/>
      <w:marLeft w:val="0"/>
      <w:marRight w:val="0"/>
      <w:marTop w:val="0"/>
      <w:marBottom w:val="0"/>
      <w:divBdr>
        <w:top w:val="none" w:sz="0" w:space="0" w:color="auto"/>
        <w:left w:val="none" w:sz="0" w:space="0" w:color="auto"/>
        <w:bottom w:val="none" w:sz="0" w:space="0" w:color="auto"/>
        <w:right w:val="none" w:sz="0" w:space="0" w:color="auto"/>
      </w:divBdr>
    </w:div>
    <w:div w:id="2129156146">
      <w:bodyDiv w:val="1"/>
      <w:marLeft w:val="0"/>
      <w:marRight w:val="0"/>
      <w:marTop w:val="0"/>
      <w:marBottom w:val="0"/>
      <w:divBdr>
        <w:top w:val="none" w:sz="0" w:space="0" w:color="auto"/>
        <w:left w:val="none" w:sz="0" w:space="0" w:color="auto"/>
        <w:bottom w:val="none" w:sz="0" w:space="0" w:color="auto"/>
        <w:right w:val="none" w:sz="0" w:space="0" w:color="auto"/>
      </w:divBdr>
    </w:div>
    <w:div w:id="21300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creativecommons.org/licenses/by/4.0/legalcod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offshoretreatments@aff.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griculture.gov.au/market-access-trade/improving-export-legisl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griculture.gov.au/biosecurity-trade/import/arrival/treatments/treatments-fumigant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7C723B3C5CE4EA2597CE4A729738D" ma:contentTypeVersion="20" ma:contentTypeDescription="Create a new document." ma:contentTypeScope="" ma:versionID="454da81215c9f4614999d3b7798fd91e">
  <xsd:schema xmlns:xsd="http://www.w3.org/2001/XMLSchema" xmlns:xs="http://www.w3.org/2001/XMLSchema" xmlns:p="http://schemas.microsoft.com/office/2006/metadata/properties" xmlns:ns2="77d684c0-b3ee-4c52-9149-8325f1b90b16" xmlns:ns3="a02441a3-4721-4974-a71a-8d527336826f" xmlns:ns4="81c01dc6-2c49-4730-b140-874c95cac377" targetNamespace="http://schemas.microsoft.com/office/2006/metadata/properties" ma:root="true" ma:fieldsID="8d92cae9edd7067be2110125e48cf27d" ns2:_="" ns3:_="" ns4:_="">
    <xsd:import namespace="77d684c0-b3ee-4c52-9149-8325f1b90b16"/>
    <xsd:import namespace="a02441a3-4721-4974-a71a-8d527336826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Location" minOccurs="0"/>
                <xsd:element ref="ns2:MediaServiceBillingMetadata"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684c0-b3ee-4c52-9149-8325f1b90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ocumentCategory" ma:index="27" nillable="true" ma:displayName="DocumentCategory" ma:description="Added column for filtering in powerapps" ma:format="Dropdown" ma:internalName="DocumentCategory">
      <xsd:simpleType>
        <xsd:union memberTypes="dms:Text">
          <xsd:simpleType>
            <xsd:restriction base="dms:Choice">
              <xsd:enumeration value="Audit Repo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02441a3-4721-4974-a71a-8d52733682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31bc229-8bb5-4649-945f-cd76c741d354}" ma:internalName="TaxCatchAll" ma:showField="CatchAllData" ma:web="a02441a3-4721-4974-a71a-8d5273368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d684c0-b3ee-4c52-9149-8325f1b90b16">
      <Terms xmlns="http://schemas.microsoft.com/office/infopath/2007/PartnerControls"/>
    </lcf76f155ced4ddcb4097134ff3c332f>
    <DocumentCategory xmlns="77d684c0-b3ee-4c52-9149-8325f1b90b16" xsi:nil="true"/>
    <TaxCatchAll xmlns="81c01dc6-2c49-4730-b140-874c95cac3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A88A-272A-4644-B2AE-EC9168DFA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684c0-b3ee-4c52-9149-8325f1b90b16"/>
    <ds:schemaRef ds:uri="a02441a3-4721-4974-a71a-8d527336826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7d684c0-b3ee-4c52-9149-8325f1b90b16"/>
    <ds:schemaRef ds:uri="81c01dc6-2c49-4730-b140-874c95cac377"/>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1247</TotalTime>
  <Pages>5</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Blake, Marian</dc:creator>
  <cp:keywords/>
  <cp:lastModifiedBy>Blake, Marian</cp:lastModifiedBy>
  <cp:revision>169</cp:revision>
  <cp:lastPrinted>2022-10-26T23:30:00Z</cp:lastPrinted>
  <dcterms:created xsi:type="dcterms:W3CDTF">2025-10-13T00:53:00Z</dcterms:created>
  <dcterms:modified xsi:type="dcterms:W3CDTF">2026-02-24T02:16:00Z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0x0101003B87C723B3C5CE4EA2597CE4A729738D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