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5CB1" w14:textId="3A1979C2" w:rsidR="000E455C" w:rsidRDefault="004F393F" w:rsidP="0013173D">
      <w:pPr>
        <w:pStyle w:val="Date"/>
        <w:spacing w:before="1440"/>
      </w:pPr>
      <w:r w:rsidRPr="004F393F">
        <w:t xml:space="preserve">February </w:t>
      </w:r>
      <w:r w:rsidR="007B48FC" w:rsidRPr="004F393F">
        <w:t>2026</w:t>
      </w:r>
    </w:p>
    <w:p w14:paraId="305FF534" w14:textId="6FCDC3F8" w:rsidR="00D04A3C" w:rsidRPr="007B4C63" w:rsidRDefault="00547ED9" w:rsidP="007B4C63">
      <w:pPr>
        <w:pStyle w:val="Series"/>
      </w:pPr>
      <w:r>
        <w:t>Methyl Bromide Fumigation Methodology v3.0</w:t>
      </w:r>
    </w:p>
    <w:p w14:paraId="6C4E8BF4" w14:textId="5579DDCC" w:rsidR="00B82095" w:rsidRPr="00220618" w:rsidRDefault="00547ED9" w:rsidP="007B4C63">
      <w:pPr>
        <w:pStyle w:val="Heading1"/>
      </w:pPr>
      <w:r>
        <w:t>Completing a Record of Fumigation (ROF)</w:t>
      </w:r>
    </w:p>
    <w:p w14:paraId="1C5BF519" w14:textId="1B62A70F" w:rsidR="00B82095" w:rsidRPr="00411260" w:rsidRDefault="003D5E41" w:rsidP="00E87842">
      <w:pPr>
        <w:tabs>
          <w:tab w:val="left" w:pos="6135"/>
        </w:tabs>
      </w:pPr>
      <w:r>
        <w:t xml:space="preserve">This fact sheet explains </w:t>
      </w:r>
      <w:r w:rsidR="009F206C">
        <w:t>the mandatory information required in a ROF</w:t>
      </w:r>
      <w:r w:rsidR="003C3825">
        <w:t xml:space="preserve"> </w:t>
      </w:r>
      <w:r w:rsidR="00E24894">
        <w:t xml:space="preserve">for </w:t>
      </w:r>
      <w:r w:rsidR="003C3825" w:rsidRPr="003C3825">
        <w:t>fumigations</w:t>
      </w:r>
      <w:r w:rsidR="00E24894">
        <w:t xml:space="preserve"> performed </w:t>
      </w:r>
      <w:r w:rsidR="003C3825" w:rsidRPr="003C3825">
        <w:t xml:space="preserve">under the Methyl </w:t>
      </w:r>
      <w:r w:rsidR="00E24894">
        <w:t>b</w:t>
      </w:r>
      <w:r w:rsidR="003C3825" w:rsidRPr="003C3825">
        <w:t xml:space="preserve">romide </w:t>
      </w:r>
      <w:r w:rsidR="00E24894">
        <w:t>f</w:t>
      </w:r>
      <w:r w:rsidR="003C3825" w:rsidRPr="003C3825">
        <w:t>umigation methodology v3.0</w:t>
      </w:r>
      <w:r w:rsidR="00E24894">
        <w:t>.</w:t>
      </w:r>
      <w:r w:rsidR="004F6FE8">
        <w:t xml:space="preserve"> </w:t>
      </w:r>
      <w:r w:rsidR="004F6FE8" w:rsidRPr="00067B79">
        <w:rPr>
          <w:rStyle w:val="Emphasis"/>
        </w:rPr>
        <w:t>Section 12.2</w:t>
      </w:r>
      <w:r w:rsidR="0024557D">
        <w:t xml:space="preserve"> of the methodology</w:t>
      </w:r>
      <w:r w:rsidR="004F6FE8">
        <w:t xml:space="preserve"> defines all mandatory information.</w:t>
      </w:r>
    </w:p>
    <w:p w14:paraId="0ED67177" w14:textId="2CE3D496" w:rsidR="00754CA3" w:rsidRDefault="00FE2EB4" w:rsidP="00A8157A">
      <w:r>
        <w:t>A ROF</w:t>
      </w:r>
      <w:r w:rsidR="000675F5">
        <w:t xml:space="preserve"> must</w:t>
      </w:r>
      <w:r>
        <w:t>:</w:t>
      </w:r>
    </w:p>
    <w:p w14:paraId="53CB8A3E" w14:textId="3A377F0B" w:rsidR="00754CA3" w:rsidRDefault="00FE2EB4" w:rsidP="00A8157A">
      <w:pPr>
        <w:pStyle w:val="ListBullet"/>
      </w:pPr>
      <w:r>
        <w:t>be completed for every treatment</w:t>
      </w:r>
      <w:r w:rsidR="0036345F">
        <w:t>,</w:t>
      </w:r>
      <w:r>
        <w:t xml:space="preserve"> including failed treatments</w:t>
      </w:r>
    </w:p>
    <w:p w14:paraId="54063941" w14:textId="57182DB2" w:rsidR="00FE2EB4" w:rsidRDefault="00266356" w:rsidP="00A8157A">
      <w:pPr>
        <w:pStyle w:val="ListBullet"/>
      </w:pPr>
      <w:r>
        <w:t>be completed at the fumigation site as the tasks are performed</w:t>
      </w:r>
    </w:p>
    <w:p w14:paraId="105A9DD7" w14:textId="272CDC8C" w:rsidR="009E4D5F" w:rsidRDefault="009E4D5F" w:rsidP="00A8157A">
      <w:pPr>
        <w:pStyle w:val="ListBullet"/>
      </w:pPr>
      <w:r>
        <w:t>be kept for 2 years</w:t>
      </w:r>
    </w:p>
    <w:p w14:paraId="53B888B7" w14:textId="45ACE299" w:rsidR="009E4D5F" w:rsidRDefault="009E4D5F" w:rsidP="009E4D5F">
      <w:pPr>
        <w:pStyle w:val="ListBullet"/>
      </w:pPr>
      <w:r>
        <w:t>not contain false or misleading information.</w:t>
      </w:r>
    </w:p>
    <w:p w14:paraId="1B321DBE" w14:textId="77777777" w:rsidR="00FA7060" w:rsidRDefault="00FA7060" w:rsidP="003077D3">
      <w:pPr>
        <w:pStyle w:val="Heading2"/>
      </w:pPr>
      <w:r w:rsidRPr="00FA7060">
        <w:t>Record of Fumigation (ROF) Template</w:t>
      </w:r>
    </w:p>
    <w:p w14:paraId="279304EA" w14:textId="49FF3A38" w:rsidR="00FA7060" w:rsidRPr="00FA7060" w:rsidRDefault="00FA7060" w:rsidP="00FA7060">
      <w:r w:rsidRPr="00FA7060">
        <w:t>Use of the ROF template</w:t>
      </w:r>
      <w:r>
        <w:t xml:space="preserve"> (</w:t>
      </w:r>
      <w:r w:rsidR="0045184F" w:rsidRPr="00067B79">
        <w:rPr>
          <w:rStyle w:val="Emphasis"/>
        </w:rPr>
        <w:t>A</w:t>
      </w:r>
      <w:r w:rsidRPr="00067B79">
        <w:rPr>
          <w:rStyle w:val="Emphasis"/>
        </w:rPr>
        <w:t xml:space="preserve">ppendix </w:t>
      </w:r>
      <w:r w:rsidR="0045184F" w:rsidRPr="00067B79">
        <w:rPr>
          <w:rStyle w:val="Emphasis"/>
        </w:rPr>
        <w:t>1 and Appendix 2</w:t>
      </w:r>
      <w:r w:rsidR="0045184F">
        <w:t>)</w:t>
      </w:r>
      <w:r w:rsidRPr="00FA7060">
        <w:t xml:space="preserve"> is </w:t>
      </w:r>
      <w:r w:rsidRPr="00FA7060">
        <w:rPr>
          <w:rStyle w:val="Strong"/>
        </w:rPr>
        <w:t>not mandatory</w:t>
      </w:r>
      <w:r w:rsidRPr="00FA7060">
        <w:t xml:space="preserve">. It is provided as a resource to help </w:t>
      </w:r>
      <w:r w:rsidR="0007686A">
        <w:t>treatment providers</w:t>
      </w:r>
      <w:r w:rsidRPr="00FA7060">
        <w:t xml:space="preserve"> prepare </w:t>
      </w:r>
      <w:r w:rsidR="0007686A">
        <w:t>their</w:t>
      </w:r>
      <w:r w:rsidRPr="00FA7060">
        <w:t xml:space="preserve"> own ROF. The template may assist in meeting the required conditions; however, compliance is determined by whether </w:t>
      </w:r>
      <w:r w:rsidR="0007686A">
        <w:t>the completed</w:t>
      </w:r>
      <w:r w:rsidRPr="00FA7060">
        <w:t xml:space="preserve"> ROF includes all requirements outlined in Section 12 of the Methyl Bromide Fumigation Methodology v3.0.</w:t>
      </w:r>
    </w:p>
    <w:p w14:paraId="2D04A6ED" w14:textId="01A73478" w:rsidR="00FA7060" w:rsidRPr="00FA7060" w:rsidRDefault="00FA7060" w:rsidP="00FA7060">
      <w:r w:rsidRPr="00FA7060">
        <w:t>Some sections of the template have been included based on feedback from industry to make the tool more practical and user-friendly.</w:t>
      </w:r>
    </w:p>
    <w:p w14:paraId="37FF9F08" w14:textId="5F695CFE" w:rsidR="000C4558" w:rsidRDefault="00D03A25" w:rsidP="00FA7060">
      <w:r>
        <w:t>E</w:t>
      </w:r>
      <w:r w:rsidR="00FA7060" w:rsidRPr="00FA7060">
        <w:t>nsure documents or IT systems align with the requirements in Section 12. Do not rely on the template alone to determine compliance.</w:t>
      </w:r>
    </w:p>
    <w:p w14:paraId="4A98ECF2" w14:textId="77777777" w:rsidR="00471494" w:rsidRPr="00471494" w:rsidRDefault="00471494" w:rsidP="00471494">
      <w:pPr>
        <w:pBdr>
          <w:top w:val="single" w:sz="4" w:space="10" w:color="auto"/>
          <w:left w:val="single" w:sz="4" w:space="10" w:color="auto"/>
          <w:bottom w:val="single" w:sz="4" w:space="10" w:color="auto"/>
          <w:right w:val="single" w:sz="4" w:space="10" w:color="auto"/>
        </w:pBdr>
        <w:spacing w:before="120" w:line="240" w:lineRule="auto"/>
        <w:rPr>
          <w:b/>
          <w:sz w:val="20"/>
        </w:rPr>
      </w:pPr>
      <w:r w:rsidRPr="00471494">
        <w:rPr>
          <w:b/>
          <w:sz w:val="20"/>
        </w:rPr>
        <w:t>Tip: Using field notes</w:t>
      </w:r>
    </w:p>
    <w:p w14:paraId="67C6EDD5" w14:textId="1CF39F9D" w:rsidR="00471494" w:rsidRPr="00471494" w:rsidRDefault="00471494" w:rsidP="00471494">
      <w:pPr>
        <w:pBdr>
          <w:top w:val="single" w:sz="4" w:space="10" w:color="auto"/>
          <w:left w:val="single" w:sz="4" w:space="10" w:color="auto"/>
          <w:bottom w:val="single" w:sz="4" w:space="10" w:color="auto"/>
          <w:right w:val="single" w:sz="4" w:space="10" w:color="auto"/>
        </w:pBdr>
        <w:spacing w:before="120"/>
        <w:rPr>
          <w:sz w:val="20"/>
        </w:rPr>
      </w:pPr>
      <w:r w:rsidRPr="00471494">
        <w:rPr>
          <w:sz w:val="20"/>
        </w:rPr>
        <w:t xml:space="preserve">If field notes </w:t>
      </w:r>
      <w:r w:rsidR="00F70058">
        <w:rPr>
          <w:sz w:val="20"/>
        </w:rPr>
        <w:t xml:space="preserve">are </w:t>
      </w:r>
      <w:r w:rsidR="002C082D">
        <w:rPr>
          <w:sz w:val="20"/>
        </w:rPr>
        <w:t>used</w:t>
      </w:r>
      <w:r w:rsidRPr="00471494">
        <w:rPr>
          <w:sz w:val="20"/>
        </w:rPr>
        <w:t xml:space="preserve"> at the time of fumigation </w:t>
      </w:r>
      <w:r w:rsidR="003B7466">
        <w:rPr>
          <w:sz w:val="20"/>
        </w:rPr>
        <w:t xml:space="preserve">to </w:t>
      </w:r>
      <w:r w:rsidR="003B7466" w:rsidRPr="003B7466">
        <w:rPr>
          <w:sz w:val="20"/>
        </w:rPr>
        <w:t xml:space="preserve">record fumigation details </w:t>
      </w:r>
      <w:r w:rsidRPr="00471494">
        <w:rPr>
          <w:sz w:val="20"/>
        </w:rPr>
        <w:t>and transcribe the information later, these field notes form part of the official record and must be kept with the fumigation documentation for two years.</w:t>
      </w:r>
    </w:p>
    <w:p w14:paraId="559EF020" w14:textId="56756A01" w:rsidR="00471494" w:rsidRPr="00471494" w:rsidRDefault="002C082D" w:rsidP="00471494">
      <w:pPr>
        <w:pBdr>
          <w:top w:val="single" w:sz="4" w:space="10" w:color="auto"/>
          <w:left w:val="single" w:sz="4" w:space="10" w:color="auto"/>
          <w:bottom w:val="single" w:sz="4" w:space="10" w:color="auto"/>
          <w:right w:val="single" w:sz="4" w:space="10" w:color="auto"/>
        </w:pBdr>
        <w:spacing w:before="120"/>
        <w:rPr>
          <w:sz w:val="20"/>
        </w:rPr>
      </w:pPr>
      <w:r>
        <w:rPr>
          <w:sz w:val="20"/>
        </w:rPr>
        <w:t>T</w:t>
      </w:r>
      <w:r w:rsidR="00471494" w:rsidRPr="00471494">
        <w:rPr>
          <w:sz w:val="20"/>
        </w:rPr>
        <w:t xml:space="preserve">he original field notes </w:t>
      </w:r>
      <w:r>
        <w:rPr>
          <w:sz w:val="20"/>
        </w:rPr>
        <w:t xml:space="preserve">must be kept </w:t>
      </w:r>
      <w:r w:rsidR="00471494" w:rsidRPr="00471494">
        <w:rPr>
          <w:sz w:val="20"/>
        </w:rPr>
        <w:t>with the fumigation record</w:t>
      </w:r>
      <w:r>
        <w:rPr>
          <w:sz w:val="20"/>
        </w:rPr>
        <w:t>s</w:t>
      </w:r>
      <w:r w:rsidR="00471494" w:rsidRPr="00471494">
        <w:rPr>
          <w:sz w:val="20"/>
        </w:rPr>
        <w:t>. This helps show what happened during the treatment and reduces the risk of transcription errors. Without the original notes, it can be harder to confirm compliance or resolve discrepancies during audits.</w:t>
      </w:r>
    </w:p>
    <w:p w14:paraId="4D6EDD1B" w14:textId="77777777" w:rsidR="00471494" w:rsidRPr="00471494" w:rsidRDefault="00471494" w:rsidP="00471494">
      <w:pPr>
        <w:pBdr>
          <w:top w:val="single" w:sz="4" w:space="10" w:color="auto"/>
          <w:left w:val="single" w:sz="4" w:space="10" w:color="auto"/>
          <w:bottom w:val="single" w:sz="4" w:space="10" w:color="auto"/>
          <w:right w:val="single" w:sz="4" w:space="10" w:color="auto"/>
        </w:pBdr>
        <w:spacing w:before="120"/>
        <w:rPr>
          <w:sz w:val="20"/>
        </w:rPr>
      </w:pPr>
      <w:r w:rsidRPr="00471494">
        <w:rPr>
          <w:sz w:val="20"/>
        </w:rPr>
        <w:t>For offshore treatment providers who are registered under AusTreat or AFAS and use the certificate portal, the field notes must be uploaded into the certificate portal with the original ROF. Field notes presented later may not be accepted as evidence.</w:t>
      </w:r>
    </w:p>
    <w:p w14:paraId="0E4ED317" w14:textId="22F1553B" w:rsidR="003077D3" w:rsidRDefault="003077D3" w:rsidP="004D4825">
      <w:pPr>
        <w:pStyle w:val="Heading3"/>
      </w:pPr>
      <w:r>
        <w:lastRenderedPageBreak/>
        <w:t>Section A</w:t>
      </w:r>
      <w:r w:rsidR="0037716B">
        <w:t>: Fumigator in charge</w:t>
      </w:r>
    </w:p>
    <w:p w14:paraId="44DBA3DA" w14:textId="02F8CEF5" w:rsidR="003077D3" w:rsidRDefault="00011B30" w:rsidP="00011B30">
      <w:pPr>
        <w:rPr>
          <w:lang w:eastAsia="ja-JP"/>
        </w:rPr>
      </w:pPr>
      <w:r>
        <w:rPr>
          <w:lang w:eastAsia="ja-JP"/>
        </w:rPr>
        <w:t>Complete this section with the details of the fumigator in charge. The person named here must also complete the declaration in Section E of the form.</w:t>
      </w:r>
    </w:p>
    <w:p w14:paraId="65FB35F7" w14:textId="1CFF36BC" w:rsidR="00A03931" w:rsidRPr="003056E4" w:rsidRDefault="009436F2" w:rsidP="009542A3">
      <w:pPr>
        <w:pStyle w:val="ListBullet"/>
        <w:rPr>
          <w:rStyle w:val="Emphasis"/>
          <w:i w:val="0"/>
          <w:iCs w:val="0"/>
          <w:lang w:eastAsia="ja-JP"/>
        </w:rPr>
      </w:pPr>
      <w:r w:rsidRPr="009436F2">
        <w:rPr>
          <w:lang w:eastAsia="ja-JP"/>
        </w:rPr>
        <w:t>Fumigator in Charge</w:t>
      </w:r>
      <w:r w:rsidR="003056E4">
        <w:rPr>
          <w:lang w:eastAsia="ja-JP"/>
        </w:rPr>
        <w:t xml:space="preserve">: </w:t>
      </w:r>
      <w:r w:rsidRPr="009436F2">
        <w:rPr>
          <w:lang w:eastAsia="ja-JP"/>
        </w:rPr>
        <w:t xml:space="preserve">The licenced and/or accredited individual that is responsible for the conduct of the fumigation at the time specific fumigation activities are undertaken. </w:t>
      </w:r>
      <w:r w:rsidRPr="009542A3">
        <w:rPr>
          <w:rStyle w:val="Emphasis"/>
        </w:rPr>
        <w:t>Refer to: Clause 12.2.5 (t), and Glossary</w:t>
      </w:r>
    </w:p>
    <w:p w14:paraId="4C7E12AC" w14:textId="5306DD9E" w:rsidR="009436F2" w:rsidRPr="003056E4" w:rsidRDefault="009542A3" w:rsidP="009542A3">
      <w:pPr>
        <w:pStyle w:val="ListBullet"/>
        <w:rPr>
          <w:rStyle w:val="Emphasis"/>
          <w:i w:val="0"/>
          <w:iCs w:val="0"/>
        </w:rPr>
      </w:pPr>
      <w:r w:rsidRPr="009542A3">
        <w:t>Accreditation number</w:t>
      </w:r>
      <w:r w:rsidR="003056E4">
        <w:t xml:space="preserve">: </w:t>
      </w:r>
      <w:r w:rsidRPr="009542A3">
        <w:t xml:space="preserve">This is a number associated with an individual and relates to the fumigator-in-charge who will be signing the form. For example, fumigation licence number. </w:t>
      </w:r>
      <w:r w:rsidR="003056E4">
        <w:t xml:space="preserve"> </w:t>
      </w:r>
      <w:r w:rsidRPr="009542A3">
        <w:rPr>
          <w:rStyle w:val="Emphasis"/>
        </w:rPr>
        <w:t>Not a mandatory field – Refer to relevant import/export policy</w:t>
      </w:r>
      <w:r w:rsidR="00023BF0">
        <w:rPr>
          <w:rStyle w:val="Emphasis"/>
        </w:rPr>
        <w:t xml:space="preserve"> for details.</w:t>
      </w:r>
    </w:p>
    <w:p w14:paraId="43209AF6" w14:textId="65CEEA6D" w:rsidR="004D4825" w:rsidRPr="004D4825" w:rsidRDefault="004D4825" w:rsidP="004D4825">
      <w:pPr>
        <w:pStyle w:val="Heading3"/>
      </w:pPr>
      <w:r w:rsidRPr="004D4825">
        <w:t>Section B</w:t>
      </w:r>
      <w:r w:rsidR="0037716B">
        <w:t>: Job details</w:t>
      </w:r>
    </w:p>
    <w:p w14:paraId="3811FD3A" w14:textId="77777777" w:rsidR="004E0426" w:rsidRDefault="004E0426" w:rsidP="004E0426">
      <w:r>
        <w:t>Complete this section with information about where the fumigation was carried out and who it was completed for.</w:t>
      </w:r>
    </w:p>
    <w:p w14:paraId="4F9C9CF9" w14:textId="77777777" w:rsidR="0036666C" w:rsidRDefault="004E0426" w:rsidP="004E0426">
      <w:r>
        <w:t>Include site details, client information, and any references that link the fumigation to a specific consignment.</w:t>
      </w:r>
    </w:p>
    <w:p w14:paraId="57FEA546" w14:textId="5F0B039E" w:rsidR="004D4825" w:rsidRPr="003A0353" w:rsidRDefault="002B2507" w:rsidP="002B2507">
      <w:pPr>
        <w:pStyle w:val="ListBullet"/>
        <w:rPr>
          <w:rStyle w:val="Emphasis"/>
          <w:i w:val="0"/>
          <w:iCs w:val="0"/>
        </w:rPr>
      </w:pPr>
      <w:r w:rsidRPr="002B2507">
        <w:t>Treatment Provider ID</w:t>
      </w:r>
      <w:r w:rsidR="003A0353">
        <w:t xml:space="preserve">: </w:t>
      </w:r>
      <w:r w:rsidRPr="002B2507">
        <w:t>Number issued by regulatory authority.  E.g. AEI, AA number, RE number</w:t>
      </w:r>
      <w:r w:rsidR="003A0353">
        <w:t xml:space="preserve">. </w:t>
      </w:r>
      <w:r w:rsidRPr="002B2507">
        <w:rPr>
          <w:rStyle w:val="Emphasis"/>
        </w:rPr>
        <w:t>Refer to: Clause 12.2.5 (a)</w:t>
      </w:r>
    </w:p>
    <w:p w14:paraId="5C5B9C00" w14:textId="77777777" w:rsidR="00A30F23" w:rsidRDefault="00820BBE" w:rsidP="00CC25A1">
      <w:pPr>
        <w:pStyle w:val="ListBullet"/>
      </w:pPr>
      <w:r w:rsidRPr="00820BBE">
        <w:t>Job identification number</w:t>
      </w:r>
      <w:r w:rsidR="003A0353">
        <w:t xml:space="preserve">: </w:t>
      </w:r>
      <w:r w:rsidRPr="00820BBE">
        <w:t xml:space="preserve">Number issued by regulatory authority.  </w:t>
      </w:r>
      <w:r w:rsidR="00406EC8" w:rsidRPr="00406EC8">
        <w:t xml:space="preserve">Number that a company may use to identify a certain job. </w:t>
      </w:r>
      <w:r w:rsidR="00406EC8" w:rsidRPr="00AB064B">
        <w:rPr>
          <w:rStyle w:val="Emphasis"/>
        </w:rPr>
        <w:t>Not a mandatory field.</w:t>
      </w:r>
      <w:r w:rsidR="00406EC8" w:rsidRPr="00406EC8">
        <w:t xml:space="preserve"> </w:t>
      </w:r>
    </w:p>
    <w:p w14:paraId="3533D9B9" w14:textId="5B22AD34" w:rsidR="002B2507" w:rsidRPr="00406EC8" w:rsidRDefault="00820BBE" w:rsidP="00CC25A1">
      <w:pPr>
        <w:pStyle w:val="ListBullet"/>
        <w:rPr>
          <w:rStyle w:val="Emphasis"/>
          <w:i w:val="0"/>
          <w:iCs w:val="0"/>
        </w:rPr>
      </w:pPr>
      <w:r w:rsidRPr="00820BBE">
        <w:t>Location of fumigation</w:t>
      </w:r>
      <w:r w:rsidR="00DA3466">
        <w:t xml:space="preserve">: </w:t>
      </w:r>
      <w:r w:rsidRPr="00820BBE">
        <w:t>The location (site address) where the fumigation is performed</w:t>
      </w:r>
      <w:r w:rsidR="001D010E">
        <w:t xml:space="preserve">. </w:t>
      </w:r>
      <w:r w:rsidRPr="00820BBE">
        <w:rPr>
          <w:rStyle w:val="Emphasis"/>
        </w:rPr>
        <w:t>Refer to: Clause 12.2.5 (d)</w:t>
      </w:r>
    </w:p>
    <w:p w14:paraId="06A23499" w14:textId="29784F22" w:rsidR="00820BBE" w:rsidRPr="00D851A0" w:rsidRDefault="00464C02" w:rsidP="00464C02">
      <w:pPr>
        <w:pStyle w:val="ListBullet"/>
        <w:rPr>
          <w:rStyle w:val="Emphasis"/>
          <w:i w:val="0"/>
          <w:iCs w:val="0"/>
        </w:rPr>
      </w:pPr>
      <w:r w:rsidRPr="00464C02">
        <w:t>Client name</w:t>
      </w:r>
      <w:r w:rsidR="00DA3466">
        <w:t xml:space="preserve">: </w:t>
      </w:r>
      <w:r w:rsidRPr="00464C02">
        <w:t>The person or company that had requested the fumigation. Usually the person responsible for the goods.</w:t>
      </w:r>
      <w:r w:rsidR="001D010E">
        <w:t xml:space="preserve"> </w:t>
      </w:r>
      <w:r w:rsidRPr="00464C02">
        <w:rPr>
          <w:rStyle w:val="Emphasis"/>
        </w:rPr>
        <w:t>Refer to: Clause 12.2.5 (b)</w:t>
      </w:r>
    </w:p>
    <w:p w14:paraId="57D2BD20" w14:textId="3F4BC17D" w:rsidR="00D851A0" w:rsidRPr="00D851A0" w:rsidRDefault="00D851A0" w:rsidP="00D851A0">
      <w:pPr>
        <w:pStyle w:val="ListBullet"/>
        <w:rPr>
          <w:rStyle w:val="Emphasis"/>
          <w:i w:val="0"/>
          <w:iCs w:val="0"/>
        </w:rPr>
      </w:pPr>
      <w:r w:rsidRPr="00680EE2">
        <w:t>Consignment identification</w:t>
      </w:r>
      <w:r>
        <w:t xml:space="preserve">: </w:t>
      </w:r>
      <w:r w:rsidRPr="00680EE2">
        <w:t>Container number(s), bill of lading, silo/shed number or other means to clearly identify the consignment.</w:t>
      </w:r>
      <w:r>
        <w:t xml:space="preserve"> </w:t>
      </w:r>
      <w:r w:rsidRPr="00680EE2">
        <w:rPr>
          <w:rStyle w:val="Emphasis"/>
        </w:rPr>
        <w:t>Refer to: Clause 12.2.5 (g)</w:t>
      </w:r>
    </w:p>
    <w:p w14:paraId="1F473382" w14:textId="6F62187B" w:rsidR="00464C02" w:rsidRPr="002D1FE8" w:rsidRDefault="00AB3686" w:rsidP="00AB3686">
      <w:pPr>
        <w:pStyle w:val="ListBullet"/>
        <w:rPr>
          <w:rStyle w:val="Emphasis"/>
          <w:i w:val="0"/>
          <w:iCs w:val="0"/>
        </w:rPr>
      </w:pPr>
      <w:r w:rsidRPr="00AB3686">
        <w:t>Description of the consignment</w:t>
      </w:r>
      <w:r w:rsidR="00DA3466">
        <w:t xml:space="preserve">: </w:t>
      </w:r>
      <w:r w:rsidR="00F55696" w:rsidRPr="00F55696">
        <w:t xml:space="preserve">Provide a clear description of what is being fumigated </w:t>
      </w:r>
      <w:r w:rsidR="00F55696">
        <w:t>and the</w:t>
      </w:r>
      <w:r w:rsidR="00F55696" w:rsidRPr="00F55696">
        <w:t xml:space="preserve"> consignment</w:t>
      </w:r>
      <w:r w:rsidR="00466BD4">
        <w:t xml:space="preserve"> contents</w:t>
      </w:r>
      <w:r w:rsidR="00F55696" w:rsidRPr="00F55696">
        <w:t>. This helps confirm exactly what the treatment covered. For example: “Treating timber backing for seats in a sheeted stack” or “Fumigating empty sea container and dunnage”</w:t>
      </w:r>
      <w:r w:rsidR="00CE20F3">
        <w:t xml:space="preserve"> </w:t>
      </w:r>
      <w:r w:rsidR="00D53219" w:rsidRPr="00D53219">
        <w:t xml:space="preserve">or “Treating rice in 25kg bags. Also, in container retail ready spices not requiring treatment”. </w:t>
      </w:r>
      <w:r w:rsidR="00787DBA" w:rsidRPr="00787DBA">
        <w:t>This information ensures the treatment can be accurately assessed and verified.</w:t>
      </w:r>
      <w:r w:rsidR="00DA3466">
        <w:t xml:space="preserve"> </w:t>
      </w:r>
      <w:r w:rsidRPr="00AB3686">
        <w:rPr>
          <w:rStyle w:val="Emphasis"/>
        </w:rPr>
        <w:t>Refer to: Clause 12.2.5 (e)</w:t>
      </w:r>
    </w:p>
    <w:p w14:paraId="2778275E" w14:textId="0D2C96D1" w:rsidR="002D1FE8" w:rsidRPr="004801DD" w:rsidRDefault="002D1FE8" w:rsidP="002D1FE8">
      <w:pPr>
        <w:pStyle w:val="ListBullet"/>
        <w:rPr>
          <w:rStyle w:val="Emphasis"/>
          <w:i w:val="0"/>
          <w:iCs w:val="0"/>
        </w:rPr>
      </w:pPr>
      <w:r w:rsidRPr="003C4A9A">
        <w:t>Target of fumigation</w:t>
      </w:r>
      <w:r>
        <w:t xml:space="preserve">: </w:t>
      </w:r>
      <w:r w:rsidRPr="003C4A9A">
        <w:t>The specific object or area that is intended to be treated through the fumigation process. The target of fumigation may be the commodity, packaging material, container, or conveyance or combination of these.</w:t>
      </w:r>
      <w:r>
        <w:t xml:space="preserve"> </w:t>
      </w:r>
      <w:r w:rsidRPr="003C4A9A">
        <w:rPr>
          <w:rStyle w:val="Emphasis"/>
        </w:rPr>
        <w:t>Refer to: Clause 12.2.5 (f)</w:t>
      </w:r>
    </w:p>
    <w:p w14:paraId="70100F42" w14:textId="099AE912" w:rsidR="00443685" w:rsidRPr="00443685" w:rsidRDefault="00443685" w:rsidP="00443685">
      <w:r w:rsidRPr="004801DD">
        <w:rPr>
          <w:rStyle w:val="Strong"/>
        </w:rPr>
        <w:t>Important</w:t>
      </w:r>
      <w:r w:rsidRPr="00443685">
        <w:t>: Accurate recording of the target of fumigation helps provide a clear picture if a live pest is detected in a consignment.</w:t>
      </w:r>
    </w:p>
    <w:p w14:paraId="05446B88" w14:textId="45D3459F" w:rsidR="00E01413" w:rsidRDefault="00443685" w:rsidP="00443685">
      <w:r w:rsidRPr="00443685">
        <w:t xml:space="preserve">For example: If the fumigator treats only the timber dunnage and a pest is later found within the goods, </w:t>
      </w:r>
      <w:r w:rsidR="00E84A31">
        <w:t xml:space="preserve">like rice, </w:t>
      </w:r>
      <w:r w:rsidRPr="00443685">
        <w:t>the fumigator may not be held accountable</w:t>
      </w:r>
      <w:r w:rsidR="00643F70">
        <w:t>.</w:t>
      </w:r>
      <w:r w:rsidR="00E01413">
        <w:br w:type="page"/>
      </w:r>
    </w:p>
    <w:p w14:paraId="6AFB256D" w14:textId="15273703" w:rsidR="00F42C67" w:rsidRDefault="00951BE5" w:rsidP="00AB064B">
      <w:pPr>
        <w:pStyle w:val="BoxHeading"/>
        <w:rPr>
          <w:rStyle w:val="Emphasis"/>
          <w:i w:val="0"/>
          <w:iCs w:val="0"/>
          <w:sz w:val="22"/>
        </w:rPr>
      </w:pPr>
      <w:r>
        <w:rPr>
          <w:rStyle w:val="Emphasis"/>
          <w:i w:val="0"/>
          <w:iCs w:val="0"/>
        </w:rPr>
        <w:lastRenderedPageBreak/>
        <w:t xml:space="preserve">Tip: </w:t>
      </w:r>
      <w:r w:rsidR="00F42C67">
        <w:rPr>
          <w:rStyle w:val="Emphasis"/>
          <w:i w:val="0"/>
          <w:iCs w:val="0"/>
        </w:rPr>
        <w:t xml:space="preserve">Description of the consignment for </w:t>
      </w:r>
      <w:r w:rsidR="00EF3299">
        <w:rPr>
          <w:rStyle w:val="Emphasis"/>
          <w:i w:val="0"/>
          <w:iCs w:val="0"/>
        </w:rPr>
        <w:t xml:space="preserve">multiple sea containers in a sheeted enclosure </w:t>
      </w:r>
    </w:p>
    <w:p w14:paraId="67544DD6" w14:textId="0B5EC7A0" w:rsidR="001C3686" w:rsidRDefault="00FF0C5E" w:rsidP="00395656">
      <w:pPr>
        <w:pStyle w:val="BoxText"/>
        <w:rPr>
          <w:rStyle w:val="Emphasis"/>
          <w:i w:val="0"/>
          <w:iCs w:val="0"/>
        </w:rPr>
      </w:pPr>
      <w:r w:rsidRPr="00FF0C5E">
        <w:rPr>
          <w:rStyle w:val="Emphasis"/>
          <w:i w:val="0"/>
          <w:iCs w:val="0"/>
        </w:rPr>
        <w:t xml:space="preserve">If fumigating multiple sea containers under a sheeted enclosure and the contents or treatment targets differ, each container may require a separate approach. </w:t>
      </w:r>
    </w:p>
    <w:p w14:paraId="78CCDDDD" w14:textId="77777777" w:rsidR="001C3686" w:rsidRDefault="00FF0C5E" w:rsidP="00395656">
      <w:pPr>
        <w:pStyle w:val="BoxText"/>
        <w:rPr>
          <w:rStyle w:val="Emphasis"/>
          <w:i w:val="0"/>
          <w:iCs w:val="0"/>
        </w:rPr>
      </w:pPr>
      <w:r w:rsidRPr="00FF0C5E">
        <w:rPr>
          <w:rStyle w:val="Emphasis"/>
          <w:i w:val="0"/>
          <w:iCs w:val="0"/>
        </w:rPr>
        <w:t xml:space="preserve">Variations in consignment description, treatment targets, and suitability mean that a general description may not ensure compliance for all containers. </w:t>
      </w:r>
    </w:p>
    <w:p w14:paraId="63432C10" w14:textId="7AB7D5B9" w:rsidR="00951BE5" w:rsidRPr="00A0563D" w:rsidRDefault="00FF0C5E" w:rsidP="00395656">
      <w:pPr>
        <w:pStyle w:val="BoxText"/>
        <w:rPr>
          <w:rStyle w:val="Emphasis"/>
          <w:i w:val="0"/>
          <w:iCs w:val="0"/>
        </w:rPr>
      </w:pPr>
      <w:r w:rsidRPr="00FF0C5E">
        <w:rPr>
          <w:rStyle w:val="Emphasis"/>
          <w:i w:val="0"/>
          <w:iCs w:val="0"/>
        </w:rPr>
        <w:t>Careful assessment of each consignment is essential to meet biosecurity requirements, the consignment and target</w:t>
      </w:r>
      <w:r w:rsidR="00971512">
        <w:rPr>
          <w:rStyle w:val="Emphasis"/>
          <w:i w:val="0"/>
          <w:iCs w:val="0"/>
        </w:rPr>
        <w:t xml:space="preserve"> of fumigation</w:t>
      </w:r>
      <w:r w:rsidRPr="00FF0C5E">
        <w:rPr>
          <w:rStyle w:val="Emphasis"/>
          <w:i w:val="0"/>
          <w:iCs w:val="0"/>
        </w:rPr>
        <w:t xml:space="preserve"> details for every sea container</w:t>
      </w:r>
      <w:r w:rsidR="00C5130A">
        <w:rPr>
          <w:rStyle w:val="Emphasis"/>
          <w:i w:val="0"/>
          <w:iCs w:val="0"/>
        </w:rPr>
        <w:t xml:space="preserve"> must be recorded</w:t>
      </w:r>
      <w:r w:rsidRPr="00FF0C5E">
        <w:rPr>
          <w:rStyle w:val="Emphasis"/>
          <w:i w:val="0"/>
          <w:iCs w:val="0"/>
        </w:rPr>
        <w:t>.</w:t>
      </w:r>
    </w:p>
    <w:p w14:paraId="3232D9AA" w14:textId="5FAEF4C6" w:rsidR="003C4A9A" w:rsidRDefault="003C4A9A" w:rsidP="00150C6D">
      <w:pPr>
        <w:pStyle w:val="Heading3"/>
      </w:pPr>
      <w:r>
        <w:t xml:space="preserve">Section </w:t>
      </w:r>
      <w:r w:rsidR="00150C6D">
        <w:t>C</w:t>
      </w:r>
      <w:r w:rsidR="0037716B">
        <w:t>: Fumigation Details</w:t>
      </w:r>
    </w:p>
    <w:p w14:paraId="5C36A18A" w14:textId="37CF6424" w:rsidR="00B742D8" w:rsidRDefault="00B742D8" w:rsidP="00B742D8">
      <w:r>
        <w:t xml:space="preserve">Complete this section with the specific details of the fumigation treatment being </w:t>
      </w:r>
      <w:r w:rsidR="002C577D">
        <w:t>performed</w:t>
      </w:r>
      <w:r>
        <w:t>.</w:t>
      </w:r>
    </w:p>
    <w:p w14:paraId="389B68B2" w14:textId="77777777" w:rsidR="00F56365" w:rsidRPr="00F56365" w:rsidRDefault="00F56365" w:rsidP="00F56365">
      <w:pPr>
        <w:pStyle w:val="Heading4"/>
      </w:pPr>
      <w:r w:rsidRPr="00F56365">
        <w:t>Specified treatment schedule</w:t>
      </w:r>
    </w:p>
    <w:p w14:paraId="0716F4C9" w14:textId="64385228" w:rsidR="00150C6D" w:rsidRDefault="00F56365" w:rsidP="00F56365">
      <w:r w:rsidRPr="00F56365">
        <w:t>Specific treatment rates, exposure period and rules as imposed by the relevant authority – usually the importing jurisdiction.</w:t>
      </w:r>
      <w:r w:rsidR="00C31030">
        <w:t xml:space="preserve"> The treatment schedule will specify, dose rate, exposure period and temperature. Some treatment schedules have additional requirements</w:t>
      </w:r>
      <w:r w:rsidR="00CD25C0">
        <w:t xml:space="preserve"> </w:t>
      </w:r>
      <w:r w:rsidR="00AA6464">
        <w:t xml:space="preserve">including, but not limited to, </w:t>
      </w:r>
      <w:r w:rsidR="00C31030">
        <w:t>load factor</w:t>
      </w:r>
      <w:r w:rsidR="00AA6464">
        <w:t xml:space="preserve"> and </w:t>
      </w:r>
      <w:r w:rsidR="00CD25C0">
        <w:t>minimum end point readings</w:t>
      </w:r>
      <w:r w:rsidR="00AA6464">
        <w:t xml:space="preserve">. </w:t>
      </w:r>
    </w:p>
    <w:p w14:paraId="2A99EA2F" w14:textId="77777777" w:rsidR="003A5F3B" w:rsidRPr="003A5F3B" w:rsidRDefault="00AD28AD" w:rsidP="003A5F3B">
      <w:pPr>
        <w:pStyle w:val="ListBullet"/>
        <w:rPr>
          <w:rStyle w:val="Emphasis"/>
          <w:i w:val="0"/>
          <w:iCs w:val="0"/>
        </w:rPr>
      </w:pPr>
      <w:r w:rsidRPr="00AD28AD">
        <w:t>Dose Rate</w:t>
      </w:r>
      <w:r w:rsidR="003A5F3B">
        <w:t xml:space="preserve">: </w:t>
      </w:r>
      <w:r w:rsidR="00CB0175">
        <w:t xml:space="preserve"> </w:t>
      </w:r>
      <w:r w:rsidRPr="00AD28AD">
        <w:t>The prescribed concentration of methyl bromide to be</w:t>
      </w:r>
      <w:r w:rsidR="00197234">
        <w:t xml:space="preserve"> </w:t>
      </w:r>
      <w:r w:rsidRPr="00AD28AD">
        <w:t>used per unit of volume and the exposure period e.g. 80g/m3</w:t>
      </w:r>
      <w:r w:rsidR="003A5F3B">
        <w:t xml:space="preserve">. </w:t>
      </w:r>
      <w:r w:rsidR="00D02EBD" w:rsidRPr="00D80A6E">
        <w:rPr>
          <w:rStyle w:val="Emphasis"/>
        </w:rPr>
        <w:t>Refer to: Glossary</w:t>
      </w:r>
    </w:p>
    <w:p w14:paraId="719740B5" w14:textId="1A48E04D" w:rsidR="001521A8" w:rsidRPr="00AC33F5" w:rsidRDefault="00197234" w:rsidP="001521A8">
      <w:pPr>
        <w:pStyle w:val="ListBullet"/>
        <w:rPr>
          <w:rStyle w:val="Emphasis"/>
          <w:i w:val="0"/>
          <w:iCs w:val="0"/>
        </w:rPr>
      </w:pPr>
      <w:r w:rsidRPr="00197234">
        <w:t>Exposure Period</w:t>
      </w:r>
      <w:r w:rsidR="003A5F3B">
        <w:t xml:space="preserve">: </w:t>
      </w:r>
      <w:r w:rsidRPr="00197234">
        <w:t>The amount of time, in one continuous block, that the consignment must be exposed to sufficient concentration levels of methyl bromide to be lethal to the targeted pests.</w:t>
      </w:r>
      <w:r w:rsidR="003A5F3B">
        <w:t xml:space="preserve"> </w:t>
      </w:r>
      <w:r w:rsidR="008C2A3A" w:rsidRPr="008C2A3A">
        <w:rPr>
          <w:rStyle w:val="Emphasis"/>
        </w:rPr>
        <w:t xml:space="preserve">Refer to: </w:t>
      </w:r>
      <w:r w:rsidR="00825B11">
        <w:rPr>
          <w:rStyle w:val="Emphasis"/>
        </w:rPr>
        <w:t>Section 8.6</w:t>
      </w:r>
    </w:p>
    <w:p w14:paraId="1C38D26E" w14:textId="7063E9AC" w:rsidR="00AC33F5" w:rsidRPr="007A5B5C" w:rsidRDefault="00AC33F5" w:rsidP="00AC33F5">
      <w:pPr>
        <w:pStyle w:val="ListBullet"/>
        <w:rPr>
          <w:rStyle w:val="Emphasis"/>
          <w:i w:val="0"/>
          <w:iCs w:val="0"/>
        </w:rPr>
      </w:pPr>
      <w:r>
        <w:t xml:space="preserve">Temperature: </w:t>
      </w:r>
      <w:r w:rsidRPr="004C552F">
        <w:t>The temperature stated in the treatment schedule</w:t>
      </w:r>
      <w:r>
        <w:t>,</w:t>
      </w:r>
      <w:r w:rsidRPr="004C552F">
        <w:t xml:space="preserve"> </w:t>
      </w:r>
      <w:r>
        <w:t>for example,</w:t>
      </w:r>
      <w:r w:rsidRPr="004C552F">
        <w:t xml:space="preserve"> 10°C</w:t>
      </w:r>
      <w:r>
        <w:t>.</w:t>
      </w:r>
      <w:r w:rsidRPr="004C552F">
        <w:t xml:space="preserve"> </w:t>
      </w:r>
      <w:r w:rsidRPr="004C552F">
        <w:rPr>
          <w:rStyle w:val="Emphasis"/>
        </w:rPr>
        <w:t>Refer to: Section 12.3.3 (c)</w:t>
      </w:r>
      <w:r>
        <w:rPr>
          <w:rStyle w:val="Emphasis"/>
        </w:rPr>
        <w:t>.</w:t>
      </w:r>
    </w:p>
    <w:p w14:paraId="42AC679B" w14:textId="77777777" w:rsidR="007A5B5C" w:rsidRDefault="007A5B5C" w:rsidP="007A5B5C">
      <w:pPr>
        <w:pStyle w:val="BoxHeading"/>
      </w:pPr>
      <w:r>
        <w:t>An example of a treatment schedule</w:t>
      </w:r>
    </w:p>
    <w:p w14:paraId="6B0F8EBB" w14:textId="77777777" w:rsidR="007A5B5C" w:rsidRDefault="007A5B5C" w:rsidP="007A5B5C">
      <w:pPr>
        <w:pStyle w:val="BoxTextBullet"/>
      </w:pPr>
      <w:r>
        <w:t xml:space="preserve">Dose rate: 24 g/m³ or above, </w:t>
      </w:r>
    </w:p>
    <w:p w14:paraId="4EE38B94" w14:textId="77777777" w:rsidR="007A5B5C" w:rsidRDefault="007A5B5C" w:rsidP="007A5B5C">
      <w:pPr>
        <w:pStyle w:val="BoxTextBullet"/>
      </w:pPr>
      <w:r>
        <w:t xml:space="preserve">Exposure period: minimum of 12 hours (but less than 24 hours), </w:t>
      </w:r>
    </w:p>
    <w:p w14:paraId="0A6E791F" w14:textId="77777777" w:rsidR="007A5B5C" w:rsidRDefault="007A5B5C" w:rsidP="007A5B5C">
      <w:pPr>
        <w:pStyle w:val="BoxTextBullet"/>
      </w:pPr>
      <w:r>
        <w:t xml:space="preserve">Temperature: at 10°C or above, </w:t>
      </w:r>
    </w:p>
    <w:p w14:paraId="4B295142" w14:textId="77777777" w:rsidR="007A5B5C" w:rsidRDefault="007A5B5C" w:rsidP="007A5B5C">
      <w:pPr>
        <w:pStyle w:val="BoxTextBullet"/>
      </w:pPr>
      <w:r>
        <w:t xml:space="preserve">Additional requirement: a minimum start time concentration reading must be above 24 g/m3,  </w:t>
      </w:r>
    </w:p>
    <w:p w14:paraId="25D59C21" w14:textId="45147AC7" w:rsidR="007A5B5C" w:rsidRPr="003A5F3B" w:rsidRDefault="007A5B5C" w:rsidP="00184533">
      <w:pPr>
        <w:pStyle w:val="BoxTextBullet"/>
      </w:pPr>
      <w:r>
        <w:t>Additional requirement: a minimum end point reading of 12 g/m³.</w:t>
      </w:r>
    </w:p>
    <w:p w14:paraId="3AC96605" w14:textId="683C6FBB" w:rsidR="00F627C2" w:rsidRPr="00F627C2" w:rsidRDefault="00F627C2" w:rsidP="00F627C2">
      <w:pPr>
        <w:pStyle w:val="Heading4"/>
      </w:pPr>
      <w:r w:rsidRPr="00F627C2">
        <w:t xml:space="preserve">Consignment suitability </w:t>
      </w:r>
    </w:p>
    <w:p w14:paraId="22C869DA" w14:textId="2A7E460D" w:rsidR="00464C02" w:rsidRPr="00177389" w:rsidRDefault="00F627C2" w:rsidP="00CD7322">
      <w:pPr>
        <w:rPr>
          <w:rStyle w:val="Emphasis"/>
          <w:i w:val="0"/>
          <w:iCs w:val="0"/>
        </w:rPr>
      </w:pPr>
      <w:r w:rsidRPr="00F627C2">
        <w:t>Assess the suitability of the consignment as per the methodology and record result</w:t>
      </w:r>
      <w:r>
        <w:t>.</w:t>
      </w:r>
      <w:r w:rsidR="00177389">
        <w:t xml:space="preserve"> </w:t>
      </w:r>
      <w:r w:rsidRPr="00CD7322">
        <w:rPr>
          <w:rStyle w:val="Emphasis"/>
        </w:rPr>
        <w:t>Refer to: Section 3</w:t>
      </w:r>
    </w:p>
    <w:p w14:paraId="0BB8AD7F" w14:textId="77777777" w:rsidR="00D94A5D" w:rsidRPr="00D94A5D" w:rsidRDefault="00D94A5D" w:rsidP="00D94A5D">
      <w:r w:rsidRPr="00D94A5D">
        <w:t xml:space="preserve">Before a fumigation can proceed, the consignment must be made suitable in accordance with the methodology. If it cannot be made suitable, the treatment must not go ahead. You need to check things like: </w:t>
      </w:r>
    </w:p>
    <w:p w14:paraId="46E49BBB" w14:textId="400516A5" w:rsidR="00D94A5D" w:rsidRPr="00D94A5D" w:rsidRDefault="00D94A5D" w:rsidP="00D94A5D">
      <w:pPr>
        <w:pStyle w:val="ListBullet"/>
      </w:pPr>
      <w:r w:rsidRPr="00D94A5D">
        <w:t>packaging and wrappings</w:t>
      </w:r>
      <w:r w:rsidR="00673DBA">
        <w:t xml:space="preserve">: </w:t>
      </w:r>
      <w:r w:rsidRPr="00D94A5D">
        <w:t>remove or perforate anything that blocks gas penetration</w:t>
      </w:r>
    </w:p>
    <w:p w14:paraId="4B37306C" w14:textId="3B341ED0" w:rsidR="00D94A5D" w:rsidRPr="00D94A5D" w:rsidRDefault="00D94A5D" w:rsidP="00D94A5D">
      <w:pPr>
        <w:pStyle w:val="ListBullet"/>
      </w:pPr>
      <w:r w:rsidRPr="00D94A5D">
        <w:t>arrangement</w:t>
      </w:r>
      <w:r w:rsidR="00673DBA">
        <w:t xml:space="preserve"> of goods: </w:t>
      </w:r>
      <w:r w:rsidRPr="00D94A5D">
        <w:t xml:space="preserve">ensure gas can circulate to the target of fumigation; do not exceed 80% load for perishables </w:t>
      </w:r>
    </w:p>
    <w:p w14:paraId="2312EA07" w14:textId="1FE57961" w:rsidR="00177389" w:rsidRPr="00D94A5D" w:rsidRDefault="00D94A5D" w:rsidP="00D94A5D">
      <w:pPr>
        <w:pStyle w:val="ListBullet"/>
      </w:pPr>
      <w:r w:rsidRPr="00D94A5D">
        <w:t>timber and coatings</w:t>
      </w:r>
      <w:r w:rsidR="00951BD4">
        <w:t>:</w:t>
      </w:r>
      <w:r w:rsidRPr="00D94A5D">
        <w:t xml:space="preserve"> surfaces must not be sealed or coated in a way that prevents gas access</w:t>
      </w:r>
      <w:r w:rsidR="00951BD4">
        <w:t>.</w:t>
      </w:r>
    </w:p>
    <w:p w14:paraId="4631C1FD" w14:textId="77777777" w:rsidR="00CD7322" w:rsidRPr="00CD7322" w:rsidRDefault="00CD7322" w:rsidP="00CD7322">
      <w:pPr>
        <w:pStyle w:val="Heading4"/>
      </w:pPr>
      <w:r w:rsidRPr="00CD7322">
        <w:lastRenderedPageBreak/>
        <w:t xml:space="preserve">Fumigation Type </w:t>
      </w:r>
    </w:p>
    <w:p w14:paraId="7DEBD641" w14:textId="662D18CA" w:rsidR="00CD7322" w:rsidRDefault="00293C20" w:rsidP="00CD7322">
      <w:r>
        <w:t xml:space="preserve">Record the </w:t>
      </w:r>
      <w:r w:rsidR="00B159AC">
        <w:t xml:space="preserve">type of fumigation performed. </w:t>
      </w:r>
      <w:r w:rsidR="00615906">
        <w:t xml:space="preserve">Fumigations can be either </w:t>
      </w:r>
      <w:r w:rsidR="00EF65B9">
        <w:t>temperature-controlled</w:t>
      </w:r>
      <w:r w:rsidR="00615906">
        <w:t xml:space="preserve"> fumigation or subject to the </w:t>
      </w:r>
      <w:r w:rsidR="00EF65B9">
        <w:t>ambient temperature. The fumigation types are defined as:</w:t>
      </w:r>
    </w:p>
    <w:p w14:paraId="2A243494" w14:textId="368C2B0A" w:rsidR="00EF65B9" w:rsidRPr="00EF65B9" w:rsidRDefault="00EF65B9" w:rsidP="00EF65B9">
      <w:pPr>
        <w:pStyle w:val="ListBullet"/>
      </w:pPr>
      <w:r w:rsidRPr="00EF65B9">
        <w:t>Ambient temperature fumigation</w:t>
      </w:r>
      <w:r w:rsidR="00C64B2C">
        <w:t>:</w:t>
      </w:r>
      <w:r w:rsidRPr="00EF65B9">
        <w:t xml:space="preserve"> the enclosure being fumigated is subject to environmental ambient temperatures or outdoors.</w:t>
      </w:r>
    </w:p>
    <w:p w14:paraId="1B3D0607" w14:textId="5A1D9193" w:rsidR="00F627C2" w:rsidRPr="00C806FD" w:rsidRDefault="00EF65B9" w:rsidP="00C806FD">
      <w:pPr>
        <w:pStyle w:val="ListBullet"/>
        <w:rPr>
          <w:rStyle w:val="Emphasis"/>
          <w:i w:val="0"/>
          <w:iCs w:val="0"/>
        </w:rPr>
      </w:pPr>
      <w:r w:rsidRPr="00EF65B9">
        <w:t>Controlled temperature fumigation</w:t>
      </w:r>
      <w:r w:rsidR="00C64B2C">
        <w:t>:</w:t>
      </w:r>
      <w:r w:rsidRPr="00EF65B9">
        <w:t xml:space="preserve"> an artificial heat source is used to heat and maintain the temperature of an enclosure during a fumigation</w:t>
      </w:r>
      <w:r w:rsidR="00C806FD">
        <w:t xml:space="preserve">. </w:t>
      </w:r>
      <w:r w:rsidR="00CD7322" w:rsidRPr="00CD7322">
        <w:rPr>
          <w:rStyle w:val="Emphasis"/>
        </w:rPr>
        <w:t>Refer to: Clause 8.2.4</w:t>
      </w:r>
    </w:p>
    <w:p w14:paraId="13326188" w14:textId="068EDCCF" w:rsidR="001521A8" w:rsidRPr="001521A8" w:rsidRDefault="001521A8" w:rsidP="001521A8">
      <w:pPr>
        <w:pStyle w:val="Heading4"/>
      </w:pPr>
      <w:r w:rsidRPr="001521A8">
        <w:t>Enclosure type</w:t>
      </w:r>
    </w:p>
    <w:p w14:paraId="2B764216" w14:textId="12C6C19C" w:rsidR="003F165C" w:rsidRDefault="00827EF8" w:rsidP="001521A8">
      <w:r>
        <w:t xml:space="preserve">Record the </w:t>
      </w:r>
      <w:r w:rsidR="000613D7">
        <w:t xml:space="preserve">type of enclosure </w:t>
      </w:r>
      <w:r w:rsidR="006703B3">
        <w:t xml:space="preserve">fumigation </w:t>
      </w:r>
      <w:r w:rsidR="00F46F71">
        <w:t xml:space="preserve">was performed </w:t>
      </w:r>
      <w:r w:rsidR="006703B3">
        <w:t xml:space="preserve">in. </w:t>
      </w:r>
      <w:r w:rsidR="00A73083">
        <w:t xml:space="preserve">Fumigations are </w:t>
      </w:r>
      <w:r w:rsidR="000850C4">
        <w:t>conducted</w:t>
      </w:r>
      <w:r w:rsidR="00A73083">
        <w:t xml:space="preserve"> in a variety of different </w:t>
      </w:r>
      <w:r w:rsidR="00F025F6">
        <w:t>enclosures;</w:t>
      </w:r>
      <w:r w:rsidR="00A73083">
        <w:t xml:space="preserve"> different conditions </w:t>
      </w:r>
      <w:r w:rsidR="000850C4">
        <w:t>apply</w:t>
      </w:r>
      <w:r w:rsidR="00A73083">
        <w:t xml:space="preserve"> to different enclosure types</w:t>
      </w:r>
      <w:r w:rsidR="000850C4">
        <w:t xml:space="preserve">. </w:t>
      </w:r>
    </w:p>
    <w:p w14:paraId="4F4A1D7D" w14:textId="02AFC070" w:rsidR="000850C4" w:rsidRPr="00AB4E9F" w:rsidRDefault="009E6616" w:rsidP="00AB4E9F">
      <w:r w:rsidRPr="00AB4E9F">
        <w:t>Common e</w:t>
      </w:r>
      <w:r w:rsidR="00F025F6" w:rsidRPr="00AB4E9F">
        <w:t>nclosure types are</w:t>
      </w:r>
      <w:r w:rsidR="00FD2F39" w:rsidRPr="00AB4E9F">
        <w:t>:</w:t>
      </w:r>
    </w:p>
    <w:p w14:paraId="5A55BF2F" w14:textId="388C038F" w:rsidR="00F025F6" w:rsidRPr="00AB4E9F" w:rsidRDefault="00F025F6" w:rsidP="00D64E83">
      <w:pPr>
        <w:pStyle w:val="ListBullet"/>
      </w:pPr>
      <w:r w:rsidRPr="00AB4E9F">
        <w:t>Sheeted enclosure</w:t>
      </w:r>
      <w:r w:rsidR="0006730C" w:rsidRPr="00AB4E9F">
        <w:t xml:space="preserve">: </w:t>
      </w:r>
      <w:r w:rsidRPr="00AB4E9F">
        <w:t>An enclosure created under a gas-proof sheet that is covering/enclosing the commodities to be fumigated. Includes</w:t>
      </w:r>
      <w:r w:rsidR="00E0352E">
        <w:t xml:space="preserve"> sheeted sea containers</w:t>
      </w:r>
      <w:r w:rsidR="00BD6168">
        <w:t xml:space="preserve"> and</w:t>
      </w:r>
      <w:r w:rsidRPr="00AB4E9F">
        <w:t xml:space="preserve"> sheeted stacks. Section 4.2</w:t>
      </w:r>
    </w:p>
    <w:p w14:paraId="26946476" w14:textId="49F06C5B" w:rsidR="00F025F6" w:rsidRPr="00AB4E9F" w:rsidRDefault="00F025F6" w:rsidP="00D64E83">
      <w:pPr>
        <w:pStyle w:val="ListBullet"/>
      </w:pPr>
      <w:r w:rsidRPr="00AB4E9F">
        <w:t>Fumigation Chamber</w:t>
      </w:r>
      <w:r w:rsidR="0006730C" w:rsidRPr="00AB4E9F">
        <w:t>:</w:t>
      </w:r>
      <w:r w:rsidRPr="00AB4E9F">
        <w:t xml:space="preserve"> A gas-tight fumigation enclosure with an inbuilt extraction system. All requirements for fumigation chambers specified in section 4.3 Fumigation chambers. Section 4.3</w:t>
      </w:r>
    </w:p>
    <w:p w14:paraId="25DEDC69" w14:textId="047CB8B8" w:rsidR="00F025F6" w:rsidRPr="00AB4E9F" w:rsidRDefault="00F025F6" w:rsidP="00D64E83">
      <w:pPr>
        <w:pStyle w:val="ListBullet"/>
      </w:pPr>
      <w:r w:rsidRPr="00AB4E9F">
        <w:t>Un-sheeted container</w:t>
      </w:r>
      <w:r w:rsidR="0006730C" w:rsidRPr="00AB4E9F">
        <w:t>:</w:t>
      </w:r>
      <w:r w:rsidRPr="00AB4E9F">
        <w:t xml:space="preserve"> Sea container suitable for fumigation. Section 4.1</w:t>
      </w:r>
    </w:p>
    <w:p w14:paraId="55FBDBF6" w14:textId="012D45A6" w:rsidR="00FD4D0B" w:rsidRPr="00FD4D0B" w:rsidRDefault="00FD4D0B" w:rsidP="003B74B5">
      <w:r w:rsidRPr="00FD4D0B">
        <w:t xml:space="preserve">If the enclosure that you use is not listed, </w:t>
      </w:r>
      <w:r w:rsidR="00B86DD1">
        <w:t xml:space="preserve">for example silo or ship hold, </w:t>
      </w:r>
      <w:r w:rsidRPr="00FD4D0B">
        <w:t>provide these details under ‘</w:t>
      </w:r>
      <w:r w:rsidRPr="00FD4D0B">
        <w:rPr>
          <w:b/>
          <w:bCs/>
        </w:rPr>
        <w:t>other</w:t>
      </w:r>
      <w:r w:rsidRPr="00FD4D0B">
        <w:t>’, or you can change your ROF to suit your needs.</w:t>
      </w:r>
    </w:p>
    <w:p w14:paraId="76753A5F" w14:textId="02E01692" w:rsidR="00CD7322" w:rsidRPr="00552A04" w:rsidRDefault="001521A8" w:rsidP="001521A8">
      <w:pPr>
        <w:rPr>
          <w:i/>
          <w:iCs/>
        </w:rPr>
      </w:pPr>
      <w:r w:rsidRPr="00552A04">
        <w:rPr>
          <w:i/>
          <w:iCs/>
        </w:rPr>
        <w:t>Refer to: Clause 12.2.5 (i) and Glossary</w:t>
      </w:r>
    </w:p>
    <w:p w14:paraId="2197E007" w14:textId="77777777" w:rsidR="006F5206" w:rsidRPr="006F5206" w:rsidRDefault="006F5206" w:rsidP="006F5206">
      <w:pPr>
        <w:pStyle w:val="Heading4"/>
      </w:pPr>
      <w:r w:rsidRPr="006F5206">
        <w:t>Enclosure volume</w:t>
      </w:r>
    </w:p>
    <w:p w14:paraId="51BDA0A4" w14:textId="0C6AD86D" w:rsidR="00CD7322" w:rsidRPr="003056E4" w:rsidRDefault="00C96883" w:rsidP="006F5206">
      <w:pPr>
        <w:rPr>
          <w:rStyle w:val="Emphasis"/>
          <w:i w:val="0"/>
          <w:iCs w:val="0"/>
        </w:rPr>
      </w:pPr>
      <w:r>
        <w:t>Record the enclosure dimensions and c</w:t>
      </w:r>
      <w:r w:rsidR="006F5206" w:rsidRPr="006F5206">
        <w:t>alculate enclosure volum</w:t>
      </w:r>
      <w:r>
        <w:t>e.</w:t>
      </w:r>
      <w:r w:rsidR="003056E4">
        <w:t xml:space="preserve"> </w:t>
      </w:r>
      <w:r w:rsidR="006F5206" w:rsidRPr="00CA6DBA">
        <w:rPr>
          <w:rStyle w:val="Emphasis"/>
        </w:rPr>
        <w:t>Refer to clauses 8.2.2, 8.2.3</w:t>
      </w:r>
    </w:p>
    <w:p w14:paraId="33CB441E" w14:textId="05243938" w:rsidR="009D384E" w:rsidRDefault="009D384E" w:rsidP="009D384E">
      <w:pPr>
        <w:pStyle w:val="Heading4"/>
      </w:pPr>
      <w:r w:rsidRPr="009D384E">
        <w:t>Dose</w:t>
      </w:r>
    </w:p>
    <w:p w14:paraId="71B21E70" w14:textId="4B94ECAE" w:rsidR="004310FB" w:rsidRPr="004310FB" w:rsidRDefault="004310FB" w:rsidP="004310FB">
      <w:r>
        <w:t xml:space="preserve">In this section show your working for how the </w:t>
      </w:r>
      <w:r w:rsidR="00400DC1">
        <w:t>actual amount of fumigant applied was calculated.</w:t>
      </w:r>
    </w:p>
    <w:p w14:paraId="5F55206F" w14:textId="08F27993" w:rsidR="00B9458B" w:rsidRPr="00FF10CF" w:rsidRDefault="00FF10CF" w:rsidP="009D384E">
      <w:pPr>
        <w:pStyle w:val="ListBullet"/>
        <w:rPr>
          <w:rStyle w:val="Emphasis"/>
          <w:i w:val="0"/>
          <w:iCs w:val="0"/>
        </w:rPr>
      </w:pPr>
      <w:r>
        <w:t xml:space="preserve">Dose rate used: </w:t>
      </w:r>
      <w:r w:rsidR="009D384E" w:rsidRPr="009D384E">
        <w:t xml:space="preserve">The rate used </w:t>
      </w:r>
      <w:r w:rsidR="009D384E" w:rsidRPr="009D384E">
        <w:rPr>
          <w:rStyle w:val="Strong"/>
        </w:rPr>
        <w:t>after</w:t>
      </w:r>
      <w:r w:rsidR="009D384E" w:rsidRPr="009D384E">
        <w:t xml:space="preserve"> temperature has been taken into consideration</w:t>
      </w:r>
      <w:r w:rsidR="009D384E">
        <w:t xml:space="preserve">. </w:t>
      </w:r>
      <w:r w:rsidR="009D384E" w:rsidRPr="009D384E">
        <w:t xml:space="preserve">This is the </w:t>
      </w:r>
      <w:r w:rsidR="009D384E">
        <w:t>number</w:t>
      </w:r>
      <w:r w:rsidR="009D384E" w:rsidRPr="009D384E">
        <w:t xml:space="preserve"> used to calculate the dose. </w:t>
      </w:r>
      <w:r>
        <w:t xml:space="preserve"> </w:t>
      </w:r>
      <w:r w:rsidR="009D384E" w:rsidRPr="009D384E">
        <w:rPr>
          <w:rStyle w:val="Emphasis"/>
        </w:rPr>
        <w:t>Refer to: Section 6 and 8.1</w:t>
      </w:r>
    </w:p>
    <w:p w14:paraId="1245A62F" w14:textId="41799AE5" w:rsidR="00CA6DBA" w:rsidRPr="00FF10CF" w:rsidRDefault="004E3A00" w:rsidP="004E3A00">
      <w:pPr>
        <w:pStyle w:val="ListBullet"/>
        <w:rPr>
          <w:rStyle w:val="Emphasis"/>
          <w:i w:val="0"/>
          <w:iCs w:val="0"/>
        </w:rPr>
      </w:pPr>
      <w:r w:rsidRPr="004E3A00">
        <w:t xml:space="preserve">Calculated </w:t>
      </w:r>
      <w:r w:rsidR="004400A1">
        <w:t>d</w:t>
      </w:r>
      <w:r w:rsidRPr="004E3A00">
        <w:t>ose</w:t>
      </w:r>
      <w:r w:rsidR="00FF10CF">
        <w:t xml:space="preserve">: </w:t>
      </w:r>
      <w:r w:rsidRPr="004E3A00">
        <w:t xml:space="preserve">The weight of methyl bromide required to meet the treatment schedule. </w:t>
      </w:r>
      <w:r>
        <w:t xml:space="preserve">The </w:t>
      </w:r>
      <w:r w:rsidR="005F2716">
        <w:t>calculation</w:t>
      </w:r>
      <w:r w:rsidR="0011648F">
        <w:t xml:space="preserve"> is: </w:t>
      </w:r>
      <w:r w:rsidRPr="004E3A00">
        <w:t xml:space="preserve">Dose rate used x Enclosure volume (account for chloropicrin if </w:t>
      </w:r>
      <w:r w:rsidR="00CB0175">
        <w:t>required</w:t>
      </w:r>
      <w:r w:rsidRPr="004E3A00">
        <w:t>)</w:t>
      </w:r>
      <w:r w:rsidR="00CB0175">
        <w:t>.</w:t>
      </w:r>
      <w:r w:rsidR="00FF10CF">
        <w:t xml:space="preserve"> </w:t>
      </w:r>
      <w:r w:rsidRPr="00CB0175">
        <w:rPr>
          <w:rStyle w:val="Emphasis"/>
        </w:rPr>
        <w:t>Refer to: clause 8.2</w:t>
      </w:r>
    </w:p>
    <w:p w14:paraId="502C141F" w14:textId="7C77289B" w:rsidR="00FF10CF" w:rsidRDefault="00400DC1" w:rsidP="004E3A00">
      <w:pPr>
        <w:pStyle w:val="ListBullet"/>
        <w:rPr>
          <w:rStyle w:val="Emphasis"/>
          <w:i w:val="0"/>
          <w:iCs w:val="0"/>
        </w:rPr>
      </w:pPr>
      <w:r>
        <w:rPr>
          <w:rStyle w:val="Emphasis"/>
          <w:i w:val="0"/>
          <w:iCs w:val="0"/>
        </w:rPr>
        <w:t>Chloropic</w:t>
      </w:r>
      <w:r w:rsidR="008A4CE2">
        <w:rPr>
          <w:rStyle w:val="Emphasis"/>
          <w:i w:val="0"/>
          <w:iCs w:val="0"/>
        </w:rPr>
        <w:t xml:space="preserve">rin: </w:t>
      </w:r>
      <w:r w:rsidR="00922AD6" w:rsidRPr="00922AD6">
        <w:t>If the methyl bromide is mixed with another gas, compensation must be made to the dose amount, so the full amount of methyl bromide required is injected into the enclosure</w:t>
      </w:r>
      <w:r w:rsidR="000A1D9E">
        <w:rPr>
          <w:rStyle w:val="Emphasis"/>
          <w:i w:val="0"/>
          <w:iCs w:val="0"/>
        </w:rPr>
        <w:t xml:space="preserve">. Record the percentage of </w:t>
      </w:r>
      <w:r w:rsidR="00A847DE">
        <w:rPr>
          <w:rStyle w:val="Emphasis"/>
          <w:i w:val="0"/>
          <w:iCs w:val="0"/>
        </w:rPr>
        <w:t>c</w:t>
      </w:r>
      <w:r w:rsidR="00A847DE" w:rsidRPr="00A847DE">
        <w:rPr>
          <w:rStyle w:val="Emphasis"/>
          <w:i w:val="0"/>
          <w:iCs w:val="0"/>
        </w:rPr>
        <w:t>hloropicrin</w:t>
      </w:r>
      <w:r w:rsidR="00A847DE">
        <w:rPr>
          <w:rStyle w:val="Emphasis"/>
          <w:i w:val="0"/>
          <w:iCs w:val="0"/>
        </w:rPr>
        <w:t xml:space="preserve"> in the methyl bromide.</w:t>
      </w:r>
      <w:r w:rsidR="00922AD6">
        <w:rPr>
          <w:rStyle w:val="Emphasis"/>
          <w:i w:val="0"/>
          <w:iCs w:val="0"/>
        </w:rPr>
        <w:t xml:space="preserve"> </w:t>
      </w:r>
      <w:r w:rsidR="00922AD6" w:rsidRPr="00922AD6">
        <w:rPr>
          <w:rStyle w:val="Emphasis"/>
        </w:rPr>
        <w:t>Refer to: Clause 8.2.4</w:t>
      </w:r>
    </w:p>
    <w:p w14:paraId="17F522E3" w14:textId="60DBF3C5" w:rsidR="00E01413" w:rsidRPr="00EC357E" w:rsidRDefault="00A847DE" w:rsidP="00EC357E">
      <w:pPr>
        <w:pStyle w:val="ListBullet"/>
        <w:rPr>
          <w:i/>
          <w:iCs/>
        </w:rPr>
      </w:pPr>
      <w:r>
        <w:rPr>
          <w:rStyle w:val="Emphasis"/>
          <w:i w:val="0"/>
          <w:iCs w:val="0"/>
        </w:rPr>
        <w:t>Amount CH3Br applied</w:t>
      </w:r>
      <w:r w:rsidR="00922AD6">
        <w:rPr>
          <w:rStyle w:val="Emphasis"/>
          <w:i w:val="0"/>
          <w:iCs w:val="0"/>
        </w:rPr>
        <w:t xml:space="preserve">: </w:t>
      </w:r>
      <w:r w:rsidR="00ED02B0">
        <w:rPr>
          <w:rStyle w:val="Emphasis"/>
          <w:i w:val="0"/>
          <w:iCs w:val="0"/>
        </w:rPr>
        <w:t>This is the ‘dose’</w:t>
      </w:r>
      <w:r w:rsidR="0056303C">
        <w:rPr>
          <w:rStyle w:val="Emphasis"/>
          <w:i w:val="0"/>
          <w:iCs w:val="0"/>
        </w:rPr>
        <w:t>.</w:t>
      </w:r>
      <w:r w:rsidR="00AC626C">
        <w:t xml:space="preserve"> </w:t>
      </w:r>
      <w:r w:rsidR="004B3182">
        <w:t>T</w:t>
      </w:r>
      <w:r w:rsidR="009D1FC5" w:rsidRPr="009D1FC5">
        <w:t>he actual volume of methyl bromide injected into the enclosure, expressed as weight of methyl bromide</w:t>
      </w:r>
      <w:r w:rsidR="00ED02B0" w:rsidRPr="00ED02B0">
        <w:t>.</w:t>
      </w:r>
      <w:r w:rsidR="00ED02B0">
        <w:t xml:space="preserve"> </w:t>
      </w:r>
      <w:r w:rsidR="00ED02B0" w:rsidRPr="00ED02B0">
        <w:t xml:space="preserve">Once the dose </w:t>
      </w:r>
      <w:r w:rsidR="005641F0">
        <w:t>is</w:t>
      </w:r>
      <w:r w:rsidR="00ED02B0" w:rsidRPr="00ED02B0">
        <w:t xml:space="preserve"> calculated, the </w:t>
      </w:r>
      <w:r w:rsidR="00ED02B0">
        <w:t>amount</w:t>
      </w:r>
      <w:r w:rsidR="00ED02B0" w:rsidRPr="00ED02B0">
        <w:t xml:space="preserve"> must be rounded up to the next increment that can be accurately measured by the equipment used to dispense methyl bromide. If methyl bromide is supplied in cans, the dose must be rounded up to the next full can.</w:t>
      </w:r>
      <w:r w:rsidR="00EC357E">
        <w:rPr>
          <w:i/>
          <w:iCs/>
        </w:rPr>
        <w:t xml:space="preserve"> </w:t>
      </w:r>
      <w:r w:rsidR="00ED02B0" w:rsidRPr="00EC357E">
        <w:rPr>
          <w:i/>
          <w:iCs/>
        </w:rPr>
        <w:t>Refer to: Clause 8.2.5</w:t>
      </w:r>
      <w:r w:rsidR="00AC626C" w:rsidRPr="00EC357E">
        <w:rPr>
          <w:i/>
          <w:iCs/>
        </w:rPr>
        <w:t>, 12.2.5</w:t>
      </w:r>
      <w:r w:rsidR="00E01413" w:rsidRPr="00EC357E">
        <w:rPr>
          <w:i/>
          <w:iCs/>
        </w:rPr>
        <w:t>.</w:t>
      </w:r>
    </w:p>
    <w:p w14:paraId="265EF7AC" w14:textId="71480562" w:rsidR="00CB0175" w:rsidRPr="009E21D2" w:rsidRDefault="009E21D2" w:rsidP="009E21D2">
      <w:pPr>
        <w:pStyle w:val="Heading3"/>
      </w:pPr>
      <w:r>
        <w:t>Section D</w:t>
      </w:r>
      <w:r w:rsidR="00B9382B">
        <w:t>:</w:t>
      </w:r>
      <w:r>
        <w:t xml:space="preserve"> </w:t>
      </w:r>
      <w:r w:rsidR="00B9382B">
        <w:t>Concentration</w:t>
      </w:r>
      <w:r>
        <w:t xml:space="preserve"> </w:t>
      </w:r>
      <w:r w:rsidR="00B9382B">
        <w:t>readings</w:t>
      </w:r>
    </w:p>
    <w:p w14:paraId="2650280A" w14:textId="0E56583D" w:rsidR="00D31753" w:rsidRDefault="00D31753" w:rsidP="006F5206">
      <w:r w:rsidRPr="00D31753">
        <w:t xml:space="preserve">Complete this section with the </w:t>
      </w:r>
      <w:r w:rsidR="00FB170E">
        <w:t>concentration readings take</w:t>
      </w:r>
      <w:r w:rsidR="003B2A00">
        <w:t>n</w:t>
      </w:r>
      <w:r w:rsidR="00FB170E">
        <w:t xml:space="preserve"> during all stages of the fumigation</w:t>
      </w:r>
      <w:r w:rsidRPr="00D31753">
        <w:t>.</w:t>
      </w:r>
    </w:p>
    <w:p w14:paraId="0C4D524B" w14:textId="77777777" w:rsidR="00E8627D" w:rsidRPr="00E8627D" w:rsidRDefault="00E8627D" w:rsidP="00E8627D">
      <w:pPr>
        <w:pStyle w:val="Heading4"/>
      </w:pPr>
      <w:r w:rsidRPr="00E8627D">
        <w:lastRenderedPageBreak/>
        <w:t>Serial numbers of monitoring device</w:t>
      </w:r>
    </w:p>
    <w:p w14:paraId="06D526EC" w14:textId="73CD472A" w:rsidR="00930420" w:rsidRPr="00EC357E" w:rsidRDefault="00E8627D" w:rsidP="00E8627D">
      <w:pPr>
        <w:rPr>
          <w:rStyle w:val="Emphasis"/>
          <w:i w:val="0"/>
          <w:iCs w:val="0"/>
        </w:rPr>
      </w:pPr>
      <w:r w:rsidRPr="00E8627D">
        <w:t>Record the serial number of the gas concentration monitoring device(s) use</w:t>
      </w:r>
      <w:r w:rsidR="000B22BB">
        <w:t>d</w:t>
      </w:r>
      <w:r w:rsidRPr="00E8627D">
        <w:t xml:space="preserve">. Record a minimum of the last 4 digits of the serial number for each device used. </w:t>
      </w:r>
      <w:r w:rsidRPr="00E8627D">
        <w:rPr>
          <w:rStyle w:val="Emphasis"/>
        </w:rPr>
        <w:t>Refer to: Clause 12.2.5(r)</w:t>
      </w:r>
    </w:p>
    <w:p w14:paraId="30429230" w14:textId="77777777" w:rsidR="002F6234" w:rsidRPr="002F6234" w:rsidRDefault="002F6234" w:rsidP="002F6234">
      <w:pPr>
        <w:pStyle w:val="Heading4"/>
      </w:pPr>
      <w:r w:rsidRPr="002F6234">
        <w:t xml:space="preserve">Concentration </w:t>
      </w:r>
    </w:p>
    <w:p w14:paraId="7FEF797E" w14:textId="7D4D8E26" w:rsidR="002F6234" w:rsidRDefault="002F6234" w:rsidP="002F6234">
      <w:pPr>
        <w:rPr>
          <w:i/>
          <w:iCs/>
        </w:rPr>
      </w:pPr>
      <w:r w:rsidRPr="002F6234">
        <w:t>Record all concentration readings taken.</w:t>
      </w:r>
      <w:r w:rsidR="00E043C5">
        <w:t xml:space="preserve"> </w:t>
      </w:r>
      <w:r w:rsidRPr="002F6234">
        <w:rPr>
          <w:i/>
          <w:iCs/>
        </w:rPr>
        <w:t>Refer to: Clause 12.2.5 (p)</w:t>
      </w:r>
      <w:r w:rsidR="00E043C5">
        <w:rPr>
          <w:i/>
          <w:iCs/>
        </w:rPr>
        <w:t xml:space="preserve">. </w:t>
      </w:r>
    </w:p>
    <w:p w14:paraId="4DE43C20" w14:textId="2452FD57" w:rsidR="00E043C5" w:rsidRPr="00E043C5" w:rsidRDefault="006B0516" w:rsidP="00E043C5">
      <w:r>
        <w:t>The sections must be completed as follows:</w:t>
      </w:r>
    </w:p>
    <w:p w14:paraId="64E2D6FD" w14:textId="382C8A6F" w:rsidR="002F6234" w:rsidRPr="00D63292" w:rsidRDefault="00190B70" w:rsidP="00190B70">
      <w:pPr>
        <w:pStyle w:val="ListBullet"/>
        <w:rPr>
          <w:rStyle w:val="Emphasis"/>
          <w:i w:val="0"/>
          <w:iCs w:val="0"/>
        </w:rPr>
      </w:pPr>
      <w:r w:rsidRPr="00190B70">
        <w:t>Equilibrium</w:t>
      </w:r>
      <w:r w:rsidR="00D63292">
        <w:t xml:space="preserve">: </w:t>
      </w:r>
      <w:r w:rsidRPr="00190B70">
        <w:t xml:space="preserve">Record the results of the equilibrium calculations. If more than one calculation is required record all the results. </w:t>
      </w:r>
      <w:r w:rsidRPr="00190B70">
        <w:rPr>
          <w:rStyle w:val="Emphasis"/>
        </w:rPr>
        <w:t>Refer to: Section 8.5, 12.2.5 (q)</w:t>
      </w:r>
    </w:p>
    <w:p w14:paraId="47ECD1F0" w14:textId="0DFF2798" w:rsidR="007E179B" w:rsidRDefault="007E179B" w:rsidP="00190B70">
      <w:pPr>
        <w:pStyle w:val="ListBullet"/>
      </w:pPr>
      <w:r>
        <w:t>Concentration readings:</w:t>
      </w:r>
      <w:r w:rsidR="00DC6152">
        <w:t xml:space="preserve"> </w:t>
      </w:r>
      <w:r w:rsidR="00F155EB" w:rsidRPr="00F155EB">
        <w:t>Record readings</w:t>
      </w:r>
      <w:r w:rsidR="006D095A">
        <w:t xml:space="preserve"> </w:t>
      </w:r>
      <w:r w:rsidR="00F155EB" w:rsidRPr="00F155EB">
        <w:t>from all monitoring locations</w:t>
      </w:r>
      <w:r w:rsidR="00F613CE">
        <w:t xml:space="preserve"> </w:t>
      </w:r>
      <w:r w:rsidR="009F0C06">
        <w:t xml:space="preserve">exactly as shown by the </w:t>
      </w:r>
      <w:r w:rsidR="008860AC">
        <w:t>device</w:t>
      </w:r>
      <w:r w:rsidR="00F613CE">
        <w:t xml:space="preserve">. </w:t>
      </w:r>
      <w:r w:rsidR="00566A6E">
        <w:t xml:space="preserve">For </w:t>
      </w:r>
      <w:r w:rsidR="009471AC">
        <w:t>example,</w:t>
      </w:r>
      <w:r w:rsidR="00566A6E">
        <w:t xml:space="preserve"> </w:t>
      </w:r>
      <w:r w:rsidR="00B87186" w:rsidRPr="00B87186">
        <w:t xml:space="preserve">you must put 4.3 if your device reads 4.3 not 4 or </w:t>
      </w:r>
      <w:r w:rsidR="00F613CE">
        <w:t>“</w:t>
      </w:r>
      <w:r w:rsidR="00B87186" w:rsidRPr="00B87186">
        <w:t>&gt;</w:t>
      </w:r>
      <w:r w:rsidR="00F613CE">
        <w:t>4”.</w:t>
      </w:r>
    </w:p>
    <w:p w14:paraId="630757F2" w14:textId="0C5C31BD" w:rsidR="002F6234" w:rsidRDefault="00190B70" w:rsidP="00190B70">
      <w:pPr>
        <w:pStyle w:val="ListBullet"/>
      </w:pPr>
      <w:r w:rsidRPr="00190B70">
        <w:t>Standard (g/m3)</w:t>
      </w:r>
      <w:r w:rsidR="00D63292">
        <w:t xml:space="preserve">: </w:t>
      </w:r>
      <w:r w:rsidRPr="00190B70">
        <w:t xml:space="preserve">Record the standard concentration required for the time the concentration readings were taken. </w:t>
      </w:r>
      <w:r w:rsidRPr="00D63292">
        <w:rPr>
          <w:i/>
          <w:iCs/>
        </w:rPr>
        <w:t>Refer to: Appendix 4: Methyl bromide monitoring tables, 12.2.5 (k)</w:t>
      </w:r>
    </w:p>
    <w:p w14:paraId="2EF8CA60" w14:textId="02C4C261" w:rsidR="00311E7E" w:rsidRPr="00311E7E" w:rsidRDefault="00311E7E" w:rsidP="00311E7E">
      <w:pPr>
        <w:pStyle w:val="ListBullet"/>
      </w:pPr>
      <w:r w:rsidRPr="00311E7E">
        <w:t>Date/Time</w:t>
      </w:r>
      <w:r>
        <w:t xml:space="preserve">: </w:t>
      </w:r>
      <w:r w:rsidRPr="00311E7E">
        <w:t>Record the date and time the concentration readings are taken. Record the time after the readings are taken for concentration reading stage, not at the start.</w:t>
      </w:r>
      <w:r>
        <w:t xml:space="preserve"> </w:t>
      </w:r>
      <w:r w:rsidRPr="00311E7E">
        <w:rPr>
          <w:rStyle w:val="Emphasis"/>
        </w:rPr>
        <w:t>Refer to: 12.2.5 (p)</w:t>
      </w:r>
    </w:p>
    <w:p w14:paraId="332F1CED" w14:textId="7485A2AE" w:rsidR="00311E7E" w:rsidRPr="00311E7E" w:rsidRDefault="00311E7E" w:rsidP="00311E7E">
      <w:pPr>
        <w:pStyle w:val="ListBullet"/>
      </w:pPr>
      <w:r w:rsidRPr="00311E7E">
        <w:t>Fumigator’s initials</w:t>
      </w:r>
      <w:r>
        <w:t xml:space="preserve">: </w:t>
      </w:r>
      <w:r w:rsidRPr="00311E7E">
        <w:t>Record the initial or signature of the fumigator who took the readings at each concentration reading stage and TLV reading. This may be different for each stage and can be different to the fumigator in charge.</w:t>
      </w:r>
      <w:r>
        <w:t xml:space="preserve"> </w:t>
      </w:r>
      <w:r w:rsidRPr="00311E7E">
        <w:rPr>
          <w:rStyle w:val="Emphasis"/>
        </w:rPr>
        <w:t>Refer to: 12.2.5 (u)</w:t>
      </w:r>
    </w:p>
    <w:p w14:paraId="5D0561FF" w14:textId="0F503F22" w:rsidR="002F6234" w:rsidRDefault="00C5364B" w:rsidP="00D63292">
      <w:pPr>
        <w:pStyle w:val="ListBullet"/>
      </w:pPr>
      <w:r>
        <w:t>Time and date</w:t>
      </w:r>
      <w:r w:rsidR="0021646E">
        <w:t>: Enclosure ventilation start: record the time and date when enclosure ventilation starts.</w:t>
      </w:r>
    </w:p>
    <w:p w14:paraId="4663F1EF" w14:textId="252FFCD6" w:rsidR="0021646E" w:rsidRDefault="0021646E" w:rsidP="00597CBF">
      <w:pPr>
        <w:pStyle w:val="ListBullet"/>
      </w:pPr>
      <w:r>
        <w:t xml:space="preserve">Final </w:t>
      </w:r>
      <w:r w:rsidR="00597CBF">
        <w:t xml:space="preserve">TLV readings: </w:t>
      </w:r>
      <w:r w:rsidR="00E42F9B" w:rsidRPr="00E42F9B">
        <w:t>Record the TLV with the date and time it was taken. If the first reading is below 5ppm, you only need to record that one. Extra space is provided if more readings are needed.</w:t>
      </w:r>
      <w:r w:rsidR="00597CBF">
        <w:t xml:space="preserve"> </w:t>
      </w:r>
      <w:r w:rsidR="00597CBF" w:rsidRPr="00597CBF">
        <w:rPr>
          <w:rStyle w:val="Emphasis"/>
        </w:rPr>
        <w:t>Refer to: Clause 12.2.5 (s)</w:t>
      </w:r>
    </w:p>
    <w:p w14:paraId="750F8E64" w14:textId="09FE6097" w:rsidR="002F6234" w:rsidRDefault="00597CBF" w:rsidP="00597CBF">
      <w:pPr>
        <w:pStyle w:val="Heading4"/>
      </w:pPr>
      <w:r>
        <w:t>Top-up details</w:t>
      </w:r>
    </w:p>
    <w:p w14:paraId="7E16EEFC" w14:textId="1DD100F9" w:rsidR="00597CBF" w:rsidRDefault="00597CBF" w:rsidP="00597CBF">
      <w:r>
        <w:t xml:space="preserve">If </w:t>
      </w:r>
      <w:r w:rsidR="0064393F">
        <w:t xml:space="preserve">a </w:t>
      </w:r>
      <w:r>
        <w:t>top</w:t>
      </w:r>
      <w:r w:rsidR="0064393F">
        <w:t xml:space="preserve">-up is performed, record the information in </w:t>
      </w:r>
      <w:r w:rsidR="00E043C5">
        <w:t>this</w:t>
      </w:r>
      <w:r w:rsidR="0064393F">
        <w:t xml:space="preserve"> section. All top-u</w:t>
      </w:r>
      <w:r w:rsidR="00E405AB">
        <w:t>p</w:t>
      </w:r>
      <w:r w:rsidR="0064393F">
        <w:t xml:space="preserve">s must be recorded on the ROF. </w:t>
      </w:r>
    </w:p>
    <w:p w14:paraId="5149F14B" w14:textId="1E07DD4A" w:rsidR="00E043C5" w:rsidRDefault="006B0516" w:rsidP="007F0DD8">
      <w:pPr>
        <w:pStyle w:val="ListBullet"/>
      </w:pPr>
      <w:r>
        <w:t>Amount (g)</w:t>
      </w:r>
      <w:r w:rsidR="007F0DD8">
        <w:t xml:space="preserve">: this is the </w:t>
      </w:r>
      <w:r w:rsidR="00E50B24">
        <w:t>additional dose injected. T</w:t>
      </w:r>
      <w:r w:rsidR="007F0DD8" w:rsidRPr="007F0DD8">
        <w:t>op-up amount (g) = Enclosure volume (m³) x (Maximum to allow top-up – Lowest concentration reading)</w:t>
      </w:r>
      <w:r w:rsidR="007F0DD8">
        <w:t xml:space="preserve">: </w:t>
      </w:r>
      <w:r w:rsidR="007F0DD8" w:rsidRPr="007F0DD8">
        <w:t>Refer to: Clause 10.3.1, 12.2.10</w:t>
      </w:r>
      <w:r w:rsidR="007F0DD8">
        <w:t>. The template in the methodology 3.0 has a typographic error. Amount should state ‘g’ not ‘g/m</w:t>
      </w:r>
      <w:r w:rsidR="007F0DD8" w:rsidRPr="007F0DD8">
        <w:rPr>
          <w:vertAlign w:val="superscript"/>
        </w:rPr>
        <w:t>3</w:t>
      </w:r>
      <w:r w:rsidR="007F0DD8">
        <w:t>’</w:t>
      </w:r>
    </w:p>
    <w:p w14:paraId="12169DF4" w14:textId="1658D7F3" w:rsidR="009139AC" w:rsidRPr="009139AC" w:rsidRDefault="009139AC" w:rsidP="009139AC">
      <w:pPr>
        <w:pStyle w:val="ListBullet"/>
        <w:rPr>
          <w:rStyle w:val="Emphasis"/>
          <w:i w:val="0"/>
          <w:iCs w:val="0"/>
        </w:rPr>
      </w:pPr>
      <w:r>
        <w:t xml:space="preserve">Time: </w:t>
      </w:r>
      <w:r w:rsidRPr="009139AC">
        <w:t xml:space="preserve">Time </w:t>
      </w:r>
      <w:r>
        <w:t xml:space="preserve">additional </w:t>
      </w:r>
      <w:r w:rsidRPr="009139AC">
        <w:t>fumigant was injected</w:t>
      </w:r>
      <w:r w:rsidRPr="009139AC">
        <w:rPr>
          <w:rStyle w:val="Emphasis"/>
        </w:rPr>
        <w:t>. Refer to: Clauses 10.3.1, 12.2.10</w:t>
      </w:r>
      <w:r>
        <w:rPr>
          <w:rStyle w:val="Emphasis"/>
        </w:rPr>
        <w:t>.</w:t>
      </w:r>
    </w:p>
    <w:p w14:paraId="7DFB6A20" w14:textId="2CF22757" w:rsidR="00783812" w:rsidRDefault="00F27D5D" w:rsidP="008A7476">
      <w:pPr>
        <w:pStyle w:val="ListBullet"/>
      </w:pPr>
      <w:r w:rsidRPr="00F27D5D">
        <w:t>Concentration (g/m</w:t>
      </w:r>
      <w:r w:rsidRPr="00F27D5D">
        <w:rPr>
          <w:vertAlign w:val="superscript"/>
        </w:rPr>
        <w:t>3</w:t>
      </w:r>
      <w:r w:rsidRPr="00F27D5D">
        <w:t>)</w:t>
      </w:r>
      <w:r>
        <w:t xml:space="preserve">: </w:t>
      </w:r>
      <w:r w:rsidRPr="00F27D5D">
        <w:t>Concentration reading taken from the monitoring location that had the lowest reading to verify that the methyl bromide is at or above the standard concentration.</w:t>
      </w:r>
      <w:r>
        <w:t xml:space="preserve"> </w:t>
      </w:r>
      <w:r w:rsidRPr="00F27D5D">
        <w:rPr>
          <w:rStyle w:val="Emphasis"/>
        </w:rPr>
        <w:t>Refer to Clause 10.3.4, 10.3.5. 12.2.10</w:t>
      </w:r>
      <w:r>
        <w:t>.</w:t>
      </w:r>
    </w:p>
    <w:p w14:paraId="5ABACF1A" w14:textId="4DAB7081" w:rsidR="00E043C5" w:rsidRDefault="00F505D2" w:rsidP="00F505D2">
      <w:pPr>
        <w:pStyle w:val="Heading3"/>
      </w:pPr>
      <w:r>
        <w:t>Section E: Fumigation declaration</w:t>
      </w:r>
    </w:p>
    <w:p w14:paraId="591A1B05" w14:textId="0E3703B6" w:rsidR="00F505D2" w:rsidRDefault="00B211E4" w:rsidP="00020D56">
      <w:pPr>
        <w:rPr>
          <w:rStyle w:val="Emphasis"/>
        </w:rPr>
      </w:pPr>
      <w:r>
        <w:t>Complete this section with your</w:t>
      </w:r>
      <w:r w:rsidR="00244851">
        <w:t xml:space="preserve"> declaration that the fumigation complied with all relevant conditions</w:t>
      </w:r>
      <w:r w:rsidR="0004037F">
        <w:t xml:space="preserve"> and the information on the ROF is true and correct</w:t>
      </w:r>
      <w:r w:rsidR="00244851">
        <w:t xml:space="preserve">. </w:t>
      </w:r>
      <w:r w:rsidR="00020D56" w:rsidRPr="00020D56">
        <w:t>The fumigator in charge, as named in Section A must sign and date the ROF</w:t>
      </w:r>
      <w:r w:rsidR="00020D56">
        <w:t xml:space="preserve"> </w:t>
      </w:r>
      <w:r w:rsidR="00020D56" w:rsidRPr="00020D56">
        <w:t xml:space="preserve">Refer to: </w:t>
      </w:r>
      <w:r w:rsidR="00020D56" w:rsidRPr="00020D56">
        <w:rPr>
          <w:rStyle w:val="Emphasis"/>
        </w:rPr>
        <w:t>Section 12.2.5 (t)</w:t>
      </w:r>
    </w:p>
    <w:p w14:paraId="0D46DE34" w14:textId="77777777" w:rsidR="00006774" w:rsidRPr="00006774" w:rsidRDefault="00006774" w:rsidP="00244851">
      <w:pPr>
        <w:pStyle w:val="Heading4"/>
      </w:pPr>
      <w:r w:rsidRPr="00006774">
        <w:t>Fumigation results</w:t>
      </w:r>
    </w:p>
    <w:p w14:paraId="2538528E" w14:textId="109E97C3" w:rsidR="00020D56" w:rsidRPr="00020D56" w:rsidRDefault="00006774" w:rsidP="00006774">
      <w:r>
        <w:t>You must i</w:t>
      </w:r>
      <w:r w:rsidRPr="00006774">
        <w:t>ndicate if the fumigation was a pass or a fail.</w:t>
      </w:r>
      <w:r>
        <w:t xml:space="preserve"> </w:t>
      </w:r>
      <w:r w:rsidRPr="00006774">
        <w:t>ROF’s of failed fumigations must also be kept for 2-years.</w:t>
      </w:r>
      <w:r>
        <w:t xml:space="preserve"> </w:t>
      </w:r>
      <w:r w:rsidRPr="00006774">
        <w:rPr>
          <w:rStyle w:val="Emphasis"/>
        </w:rPr>
        <w:t>Refer to: Clause 12.2.3</w:t>
      </w:r>
      <w:r>
        <w:t>.</w:t>
      </w:r>
    </w:p>
    <w:p w14:paraId="6484CACC" w14:textId="77777777" w:rsidR="00B82095" w:rsidRPr="0080517C" w:rsidRDefault="000913B5" w:rsidP="00930D38">
      <w:pPr>
        <w:pStyle w:val="Heading3"/>
      </w:pPr>
      <w:r>
        <w:lastRenderedPageBreak/>
        <w:t>More</w:t>
      </w:r>
      <w:r w:rsidR="00B82095" w:rsidRPr="0080517C">
        <w:t xml:space="preserve"> information</w:t>
      </w:r>
    </w:p>
    <w:p w14:paraId="5564EC98" w14:textId="384D7E56" w:rsidR="000E7803" w:rsidRPr="00017ACB" w:rsidRDefault="000E7803" w:rsidP="00B82095">
      <w:pPr>
        <w:rPr>
          <w:lang w:eastAsia="ja-JP"/>
        </w:rPr>
      </w:pPr>
      <w:r>
        <w:rPr>
          <w:lang w:eastAsia="ja-JP"/>
        </w:rPr>
        <w:t xml:space="preserve">Learn more about </w:t>
      </w:r>
      <w:hyperlink r:id="rId11" w:anchor="methyl-bromide-fumigation_2" w:history="1">
        <w:r w:rsidR="001C4976" w:rsidRPr="001C4976">
          <w:rPr>
            <w:color w:val="0000FF"/>
            <w:u w:val="single"/>
          </w:rPr>
          <w:t>Methodologies and documents for biosecurity treatments - DAFF</w:t>
        </w:r>
      </w:hyperlink>
      <w:r w:rsidR="00EF635B">
        <w:t>.</w:t>
      </w:r>
    </w:p>
    <w:p w14:paraId="1BD5600F" w14:textId="703F7052" w:rsidR="000E7803" w:rsidRPr="00017ACB" w:rsidRDefault="000E7803" w:rsidP="000E7803">
      <w:pPr>
        <w:rPr>
          <w:rStyle w:val="Hyperlink"/>
          <w:lang w:eastAsia="ja-JP"/>
        </w:rPr>
      </w:pPr>
      <w:r w:rsidRPr="00017ACB">
        <w:rPr>
          <w:lang w:eastAsia="ja-JP"/>
        </w:rPr>
        <w:t xml:space="preserve">Web </w:t>
      </w:r>
      <w:hyperlink r:id="rId12" w:history="1">
        <w:r w:rsidRPr="00017ACB">
          <w:rPr>
            <w:rStyle w:val="Hyperlink"/>
            <w:lang w:eastAsia="ja-JP"/>
          </w:rPr>
          <w:t>agriculture.gov.au</w:t>
        </w:r>
      </w:hyperlink>
    </w:p>
    <w:p w14:paraId="63D2D4F2" w14:textId="103508E4" w:rsidR="00B82095" w:rsidRDefault="00B82095" w:rsidP="000E7803">
      <w:pPr>
        <w:spacing w:after="360"/>
        <w:rPr>
          <w:lang w:eastAsia="ja-JP"/>
        </w:rPr>
      </w:pPr>
      <w:r w:rsidRPr="00017ACB">
        <w:rPr>
          <w:lang w:eastAsia="ja-JP"/>
        </w:rPr>
        <w:t xml:space="preserve">Email </w:t>
      </w:r>
      <w:hyperlink r:id="rId13" w:history="1">
        <w:r w:rsidR="00911019" w:rsidRPr="00990F41">
          <w:rPr>
            <w:rStyle w:val="Hyperlink"/>
            <w:lang w:eastAsia="ja-JP"/>
          </w:rPr>
          <w:t>offshoretreatments@aff.gov.au</w:t>
        </w:r>
      </w:hyperlink>
    </w:p>
    <w:p w14:paraId="2A403C48" w14:textId="77777777" w:rsidR="000A5BA0" w:rsidRDefault="000A5BA0" w:rsidP="000A5BA0">
      <w:pPr>
        <w:pStyle w:val="Normalsmall"/>
      </w:pPr>
      <w:r>
        <w:rPr>
          <w:rStyle w:val="Strong"/>
        </w:rPr>
        <w:t>Acknowledgement of Country</w:t>
      </w:r>
    </w:p>
    <w:p w14:paraId="7D554D00"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C77F7B4" w14:textId="265316BF" w:rsidR="00E9781D" w:rsidRDefault="00E9781D" w:rsidP="00E9781D">
      <w:pPr>
        <w:pStyle w:val="Normalsmall"/>
        <w:spacing w:before="360"/>
      </w:pPr>
      <w:r>
        <w:t>© Commonwealth of Australia 202</w:t>
      </w:r>
      <w:r w:rsidR="00516705">
        <w:t>6</w:t>
      </w:r>
    </w:p>
    <w:p w14:paraId="3166943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475134C2"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1161DF7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9B89" w14:textId="77777777" w:rsidR="000E6A0F" w:rsidRDefault="000E6A0F">
      <w:r>
        <w:separator/>
      </w:r>
    </w:p>
    <w:p w14:paraId="2E42C5E4" w14:textId="77777777" w:rsidR="000E6A0F" w:rsidRDefault="000E6A0F"/>
    <w:p w14:paraId="52AE7DB0" w14:textId="77777777" w:rsidR="000E6A0F" w:rsidRDefault="000E6A0F"/>
  </w:endnote>
  <w:endnote w:type="continuationSeparator" w:id="0">
    <w:p w14:paraId="4EF7F21F" w14:textId="77777777" w:rsidR="000E6A0F" w:rsidRDefault="000E6A0F">
      <w:r>
        <w:continuationSeparator/>
      </w:r>
    </w:p>
    <w:p w14:paraId="19107F0F" w14:textId="77777777" w:rsidR="000E6A0F" w:rsidRDefault="000E6A0F"/>
    <w:p w14:paraId="28E7163A" w14:textId="77777777" w:rsidR="000E6A0F" w:rsidRDefault="000E6A0F"/>
  </w:endnote>
  <w:endnote w:type="continuationNotice" w:id="1">
    <w:p w14:paraId="44616485" w14:textId="77777777" w:rsidR="000E6A0F" w:rsidRDefault="000E6A0F">
      <w:pPr>
        <w:pStyle w:val="Footer"/>
      </w:pPr>
    </w:p>
    <w:p w14:paraId="675A120A" w14:textId="77777777" w:rsidR="000E6A0F" w:rsidRDefault="000E6A0F"/>
    <w:p w14:paraId="0572EDAA" w14:textId="77777777" w:rsidR="000E6A0F" w:rsidRDefault="000E6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0CF"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19631842" wp14:editId="09A656E0">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AA919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3184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5AA919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9528"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4D5F7A02" wp14:editId="62D88620">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E57A1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F7A0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EE57A1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C707"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4C295D4F" wp14:editId="69ED7A5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0C377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5D4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C0C377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D358" w14:textId="77777777" w:rsidR="000E6A0F" w:rsidRDefault="000E6A0F">
      <w:r>
        <w:separator/>
      </w:r>
    </w:p>
    <w:p w14:paraId="3F8984FA" w14:textId="77777777" w:rsidR="000E6A0F" w:rsidRDefault="000E6A0F"/>
    <w:p w14:paraId="19BF3288" w14:textId="77777777" w:rsidR="000E6A0F" w:rsidRDefault="000E6A0F"/>
  </w:footnote>
  <w:footnote w:type="continuationSeparator" w:id="0">
    <w:p w14:paraId="0B392107" w14:textId="77777777" w:rsidR="000E6A0F" w:rsidRDefault="000E6A0F">
      <w:r>
        <w:continuationSeparator/>
      </w:r>
    </w:p>
    <w:p w14:paraId="29B4C9D5" w14:textId="77777777" w:rsidR="000E6A0F" w:rsidRDefault="000E6A0F"/>
    <w:p w14:paraId="17AFC460" w14:textId="77777777" w:rsidR="000E6A0F" w:rsidRDefault="000E6A0F"/>
  </w:footnote>
  <w:footnote w:type="continuationNotice" w:id="1">
    <w:p w14:paraId="15796760" w14:textId="77777777" w:rsidR="000E6A0F" w:rsidRDefault="000E6A0F">
      <w:pPr>
        <w:pStyle w:val="Footer"/>
      </w:pPr>
    </w:p>
    <w:p w14:paraId="6D7F7EE0" w14:textId="77777777" w:rsidR="000E6A0F" w:rsidRDefault="000E6A0F"/>
    <w:p w14:paraId="4F334FA2" w14:textId="77777777" w:rsidR="000E6A0F" w:rsidRDefault="000E6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45FE"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22D45938" wp14:editId="476F6B8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7C136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4593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67C136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CB3E" w14:textId="15A5792C" w:rsidR="000542B4" w:rsidRDefault="005A3361">
    <w:pPr>
      <w:pStyle w:val="Header"/>
    </w:pPr>
    <w:r>
      <w:rPr>
        <w:noProof/>
      </w:rPr>
      <mc:AlternateContent>
        <mc:Choice Requires="wps">
          <w:drawing>
            <wp:anchor distT="0" distB="0" distL="0" distR="0" simplePos="0" relativeHeight="251658243" behindDoc="0" locked="0" layoutInCell="1" allowOverlap="1" wp14:anchorId="187DA82A" wp14:editId="27A8FF9E">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C9DD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DA82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7C9DD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516705">
      <w:t>Fact Sheet – How to complete a methyl bromide record of fumigation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334B"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279E6CF1" wp14:editId="03C621EF">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82A94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E6CF1"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482A94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3109322" wp14:editId="0DE959DE">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BA73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1"/>
  </w:num>
  <w:num w:numId="6" w16cid:durableId="1934704985">
    <w:abstractNumId w:val="5"/>
  </w:num>
  <w:num w:numId="7" w16cid:durableId="1013073201">
    <w:abstractNumId w:val="6"/>
  </w:num>
  <w:num w:numId="8" w16cid:durableId="524289160">
    <w:abstractNumId w:val="2"/>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11987849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D9"/>
    <w:rsid w:val="0000059E"/>
    <w:rsid w:val="0000066F"/>
    <w:rsid w:val="00001B53"/>
    <w:rsid w:val="00004C36"/>
    <w:rsid w:val="00006774"/>
    <w:rsid w:val="000100CB"/>
    <w:rsid w:val="0001011A"/>
    <w:rsid w:val="00011B30"/>
    <w:rsid w:val="00011FE0"/>
    <w:rsid w:val="00017ACB"/>
    <w:rsid w:val="00020D56"/>
    <w:rsid w:val="0002121C"/>
    <w:rsid w:val="00021590"/>
    <w:rsid w:val="00022CD0"/>
    <w:rsid w:val="00023BF0"/>
    <w:rsid w:val="00025D1B"/>
    <w:rsid w:val="000266C4"/>
    <w:rsid w:val="0003648C"/>
    <w:rsid w:val="0004037F"/>
    <w:rsid w:val="00040D67"/>
    <w:rsid w:val="000510AF"/>
    <w:rsid w:val="00051838"/>
    <w:rsid w:val="0005308A"/>
    <w:rsid w:val="000542B4"/>
    <w:rsid w:val="00057A63"/>
    <w:rsid w:val="00061070"/>
    <w:rsid w:val="00061204"/>
    <w:rsid w:val="000613D7"/>
    <w:rsid w:val="000618F3"/>
    <w:rsid w:val="000648E3"/>
    <w:rsid w:val="00066D0B"/>
    <w:rsid w:val="0006730C"/>
    <w:rsid w:val="000675F5"/>
    <w:rsid w:val="00067B79"/>
    <w:rsid w:val="000717D2"/>
    <w:rsid w:val="00071927"/>
    <w:rsid w:val="000721C3"/>
    <w:rsid w:val="00074A56"/>
    <w:rsid w:val="0007686A"/>
    <w:rsid w:val="00080827"/>
    <w:rsid w:val="00080F2B"/>
    <w:rsid w:val="000815F1"/>
    <w:rsid w:val="0008277A"/>
    <w:rsid w:val="00084605"/>
    <w:rsid w:val="000850C4"/>
    <w:rsid w:val="0009024E"/>
    <w:rsid w:val="000904C1"/>
    <w:rsid w:val="000913B5"/>
    <w:rsid w:val="000A1757"/>
    <w:rsid w:val="000A1D9E"/>
    <w:rsid w:val="000A4500"/>
    <w:rsid w:val="000A5BA0"/>
    <w:rsid w:val="000B22BB"/>
    <w:rsid w:val="000B3118"/>
    <w:rsid w:val="000B3924"/>
    <w:rsid w:val="000B3C44"/>
    <w:rsid w:val="000C0412"/>
    <w:rsid w:val="000C4558"/>
    <w:rsid w:val="000D0CB9"/>
    <w:rsid w:val="000D18EE"/>
    <w:rsid w:val="000E3FC7"/>
    <w:rsid w:val="000E455C"/>
    <w:rsid w:val="000E4D74"/>
    <w:rsid w:val="000E6A0F"/>
    <w:rsid w:val="000E7803"/>
    <w:rsid w:val="000F0491"/>
    <w:rsid w:val="000F4809"/>
    <w:rsid w:val="000F5041"/>
    <w:rsid w:val="00107C60"/>
    <w:rsid w:val="00114C24"/>
    <w:rsid w:val="00114E52"/>
    <w:rsid w:val="00115B60"/>
    <w:rsid w:val="0011648F"/>
    <w:rsid w:val="0012029B"/>
    <w:rsid w:val="001233A8"/>
    <w:rsid w:val="00127B9F"/>
    <w:rsid w:val="0013173D"/>
    <w:rsid w:val="00142A69"/>
    <w:rsid w:val="00143A7B"/>
    <w:rsid w:val="00144601"/>
    <w:rsid w:val="00146DC9"/>
    <w:rsid w:val="00150C6D"/>
    <w:rsid w:val="001521A8"/>
    <w:rsid w:val="001554DD"/>
    <w:rsid w:val="00160DC0"/>
    <w:rsid w:val="001709F6"/>
    <w:rsid w:val="00177389"/>
    <w:rsid w:val="00181550"/>
    <w:rsid w:val="00184533"/>
    <w:rsid w:val="00185C46"/>
    <w:rsid w:val="0018685E"/>
    <w:rsid w:val="00190B70"/>
    <w:rsid w:val="00190D7E"/>
    <w:rsid w:val="001929D2"/>
    <w:rsid w:val="00194A51"/>
    <w:rsid w:val="00197234"/>
    <w:rsid w:val="001A6968"/>
    <w:rsid w:val="001C3686"/>
    <w:rsid w:val="001C45E1"/>
    <w:rsid w:val="001C4884"/>
    <w:rsid w:val="001C4976"/>
    <w:rsid w:val="001C780E"/>
    <w:rsid w:val="001D010E"/>
    <w:rsid w:val="001D0EF3"/>
    <w:rsid w:val="001D1863"/>
    <w:rsid w:val="001E23B7"/>
    <w:rsid w:val="001E2BEB"/>
    <w:rsid w:val="001E693B"/>
    <w:rsid w:val="001F020E"/>
    <w:rsid w:val="002010E2"/>
    <w:rsid w:val="0020140C"/>
    <w:rsid w:val="00201BFB"/>
    <w:rsid w:val="002026FF"/>
    <w:rsid w:val="00203DE1"/>
    <w:rsid w:val="00204762"/>
    <w:rsid w:val="00214BDA"/>
    <w:rsid w:val="0021646E"/>
    <w:rsid w:val="0022056B"/>
    <w:rsid w:val="00220618"/>
    <w:rsid w:val="00237A69"/>
    <w:rsid w:val="00237D79"/>
    <w:rsid w:val="002401D9"/>
    <w:rsid w:val="00243B3A"/>
    <w:rsid w:val="00244851"/>
    <w:rsid w:val="0024557D"/>
    <w:rsid w:val="002474EE"/>
    <w:rsid w:val="002503FD"/>
    <w:rsid w:val="002539FA"/>
    <w:rsid w:val="00265B17"/>
    <w:rsid w:val="00266356"/>
    <w:rsid w:val="00267A4E"/>
    <w:rsid w:val="00275B58"/>
    <w:rsid w:val="00284B53"/>
    <w:rsid w:val="00293C20"/>
    <w:rsid w:val="00296F50"/>
    <w:rsid w:val="002B1FAF"/>
    <w:rsid w:val="002B2507"/>
    <w:rsid w:val="002B4F6E"/>
    <w:rsid w:val="002C082D"/>
    <w:rsid w:val="002C0A9F"/>
    <w:rsid w:val="002C206B"/>
    <w:rsid w:val="002C577D"/>
    <w:rsid w:val="002D1FE8"/>
    <w:rsid w:val="002E3FD4"/>
    <w:rsid w:val="002E4274"/>
    <w:rsid w:val="002E5260"/>
    <w:rsid w:val="002F4595"/>
    <w:rsid w:val="002F6234"/>
    <w:rsid w:val="00300AFD"/>
    <w:rsid w:val="003032C0"/>
    <w:rsid w:val="003056E4"/>
    <w:rsid w:val="003077D3"/>
    <w:rsid w:val="00310F09"/>
    <w:rsid w:val="00311E7E"/>
    <w:rsid w:val="003171CB"/>
    <w:rsid w:val="00321CC0"/>
    <w:rsid w:val="003325DA"/>
    <w:rsid w:val="00335B5F"/>
    <w:rsid w:val="00336B43"/>
    <w:rsid w:val="00336B60"/>
    <w:rsid w:val="00343034"/>
    <w:rsid w:val="0035108D"/>
    <w:rsid w:val="00354A13"/>
    <w:rsid w:val="003569F9"/>
    <w:rsid w:val="0036345F"/>
    <w:rsid w:val="003654D5"/>
    <w:rsid w:val="0036666C"/>
    <w:rsid w:val="00366721"/>
    <w:rsid w:val="00370990"/>
    <w:rsid w:val="00376667"/>
    <w:rsid w:val="0037698A"/>
    <w:rsid w:val="0037716B"/>
    <w:rsid w:val="00381AE6"/>
    <w:rsid w:val="00392124"/>
    <w:rsid w:val="003937B8"/>
    <w:rsid w:val="00395656"/>
    <w:rsid w:val="003A0353"/>
    <w:rsid w:val="003A0D6F"/>
    <w:rsid w:val="003A4716"/>
    <w:rsid w:val="003A5F3B"/>
    <w:rsid w:val="003B299E"/>
    <w:rsid w:val="003B2A00"/>
    <w:rsid w:val="003B4321"/>
    <w:rsid w:val="003B7466"/>
    <w:rsid w:val="003B74B5"/>
    <w:rsid w:val="003C3825"/>
    <w:rsid w:val="003C4A9A"/>
    <w:rsid w:val="003D5E41"/>
    <w:rsid w:val="003D65F0"/>
    <w:rsid w:val="003F165C"/>
    <w:rsid w:val="003F7361"/>
    <w:rsid w:val="003F73D7"/>
    <w:rsid w:val="003F7F01"/>
    <w:rsid w:val="00400DC1"/>
    <w:rsid w:val="00403B9C"/>
    <w:rsid w:val="00406EC8"/>
    <w:rsid w:val="00411260"/>
    <w:rsid w:val="00411CEC"/>
    <w:rsid w:val="00414EA5"/>
    <w:rsid w:val="00417171"/>
    <w:rsid w:val="004304DB"/>
    <w:rsid w:val="004310FB"/>
    <w:rsid w:val="004331E5"/>
    <w:rsid w:val="0043614C"/>
    <w:rsid w:val="004365E8"/>
    <w:rsid w:val="00437769"/>
    <w:rsid w:val="004400A1"/>
    <w:rsid w:val="00442630"/>
    <w:rsid w:val="0044304D"/>
    <w:rsid w:val="00443685"/>
    <w:rsid w:val="00444AC4"/>
    <w:rsid w:val="00446CB3"/>
    <w:rsid w:val="0045184F"/>
    <w:rsid w:val="00452595"/>
    <w:rsid w:val="0045448E"/>
    <w:rsid w:val="004570D3"/>
    <w:rsid w:val="00464C02"/>
    <w:rsid w:val="00466BD4"/>
    <w:rsid w:val="00471494"/>
    <w:rsid w:val="00474BB1"/>
    <w:rsid w:val="00477888"/>
    <w:rsid w:val="004801DD"/>
    <w:rsid w:val="00483DC9"/>
    <w:rsid w:val="004875D0"/>
    <w:rsid w:val="00491CAA"/>
    <w:rsid w:val="00495068"/>
    <w:rsid w:val="0049642C"/>
    <w:rsid w:val="004A46C2"/>
    <w:rsid w:val="004A6E06"/>
    <w:rsid w:val="004A7380"/>
    <w:rsid w:val="004B07EC"/>
    <w:rsid w:val="004B3182"/>
    <w:rsid w:val="004C0F88"/>
    <w:rsid w:val="004C2DA2"/>
    <w:rsid w:val="004D0888"/>
    <w:rsid w:val="004D4825"/>
    <w:rsid w:val="004D5B96"/>
    <w:rsid w:val="004E0426"/>
    <w:rsid w:val="004E3A00"/>
    <w:rsid w:val="004E3ADC"/>
    <w:rsid w:val="004E6316"/>
    <w:rsid w:val="004F393F"/>
    <w:rsid w:val="004F6FE8"/>
    <w:rsid w:val="005019C1"/>
    <w:rsid w:val="00503EFA"/>
    <w:rsid w:val="005049C7"/>
    <w:rsid w:val="005070C8"/>
    <w:rsid w:val="005106E9"/>
    <w:rsid w:val="0051381B"/>
    <w:rsid w:val="00514CEE"/>
    <w:rsid w:val="00515287"/>
    <w:rsid w:val="005157CF"/>
    <w:rsid w:val="0051643F"/>
    <w:rsid w:val="00516705"/>
    <w:rsid w:val="00530229"/>
    <w:rsid w:val="00531070"/>
    <w:rsid w:val="00531B5A"/>
    <w:rsid w:val="00533D9B"/>
    <w:rsid w:val="00543147"/>
    <w:rsid w:val="00547ED9"/>
    <w:rsid w:val="00552A04"/>
    <w:rsid w:val="00553E9D"/>
    <w:rsid w:val="0055447F"/>
    <w:rsid w:val="0056303C"/>
    <w:rsid w:val="005641F0"/>
    <w:rsid w:val="00566A6E"/>
    <w:rsid w:val="00567DFC"/>
    <w:rsid w:val="00577F29"/>
    <w:rsid w:val="00584092"/>
    <w:rsid w:val="00590FC8"/>
    <w:rsid w:val="00592599"/>
    <w:rsid w:val="00592A61"/>
    <w:rsid w:val="00597CBF"/>
    <w:rsid w:val="005A3361"/>
    <w:rsid w:val="005A48A6"/>
    <w:rsid w:val="005B0BF3"/>
    <w:rsid w:val="005B1A9E"/>
    <w:rsid w:val="005B535F"/>
    <w:rsid w:val="005B613F"/>
    <w:rsid w:val="005B656B"/>
    <w:rsid w:val="005C1D66"/>
    <w:rsid w:val="005C2BFD"/>
    <w:rsid w:val="005C2FDE"/>
    <w:rsid w:val="005E04D1"/>
    <w:rsid w:val="005E7999"/>
    <w:rsid w:val="005F11AC"/>
    <w:rsid w:val="005F2716"/>
    <w:rsid w:val="005F421E"/>
    <w:rsid w:val="006055F7"/>
    <w:rsid w:val="00606B0C"/>
    <w:rsid w:val="00607A21"/>
    <w:rsid w:val="00607A36"/>
    <w:rsid w:val="0061534B"/>
    <w:rsid w:val="006156DF"/>
    <w:rsid w:val="00615906"/>
    <w:rsid w:val="0062565D"/>
    <w:rsid w:val="00625D8D"/>
    <w:rsid w:val="00630EF0"/>
    <w:rsid w:val="006360F9"/>
    <w:rsid w:val="00637675"/>
    <w:rsid w:val="00642650"/>
    <w:rsid w:val="00642F36"/>
    <w:rsid w:val="0064393F"/>
    <w:rsid w:val="00643F70"/>
    <w:rsid w:val="00646917"/>
    <w:rsid w:val="006517EA"/>
    <w:rsid w:val="006525B7"/>
    <w:rsid w:val="00656587"/>
    <w:rsid w:val="00665F4B"/>
    <w:rsid w:val="006703B3"/>
    <w:rsid w:val="00673B2C"/>
    <w:rsid w:val="00673DBA"/>
    <w:rsid w:val="00680EE2"/>
    <w:rsid w:val="00684AE1"/>
    <w:rsid w:val="00686B49"/>
    <w:rsid w:val="006915AB"/>
    <w:rsid w:val="00692A37"/>
    <w:rsid w:val="00695E8A"/>
    <w:rsid w:val="00696341"/>
    <w:rsid w:val="00696682"/>
    <w:rsid w:val="006A2C94"/>
    <w:rsid w:val="006A436A"/>
    <w:rsid w:val="006A6371"/>
    <w:rsid w:val="006B0030"/>
    <w:rsid w:val="006B0516"/>
    <w:rsid w:val="006B49DE"/>
    <w:rsid w:val="006B6350"/>
    <w:rsid w:val="006C458B"/>
    <w:rsid w:val="006C6F0C"/>
    <w:rsid w:val="006C7A9F"/>
    <w:rsid w:val="006D095A"/>
    <w:rsid w:val="006D413F"/>
    <w:rsid w:val="006D743F"/>
    <w:rsid w:val="006E353E"/>
    <w:rsid w:val="006F44AC"/>
    <w:rsid w:val="006F5206"/>
    <w:rsid w:val="006F6FE8"/>
    <w:rsid w:val="007003D3"/>
    <w:rsid w:val="007009E0"/>
    <w:rsid w:val="00700A80"/>
    <w:rsid w:val="00702054"/>
    <w:rsid w:val="0070464B"/>
    <w:rsid w:val="00705DDF"/>
    <w:rsid w:val="007166CD"/>
    <w:rsid w:val="00721291"/>
    <w:rsid w:val="007258B1"/>
    <w:rsid w:val="00725C8B"/>
    <w:rsid w:val="00727801"/>
    <w:rsid w:val="00730AFC"/>
    <w:rsid w:val="00733B89"/>
    <w:rsid w:val="00735B57"/>
    <w:rsid w:val="00741740"/>
    <w:rsid w:val="007444F3"/>
    <w:rsid w:val="00752410"/>
    <w:rsid w:val="00754CA3"/>
    <w:rsid w:val="00761A30"/>
    <w:rsid w:val="0076549B"/>
    <w:rsid w:val="0077247D"/>
    <w:rsid w:val="007744BB"/>
    <w:rsid w:val="007763B5"/>
    <w:rsid w:val="00777176"/>
    <w:rsid w:val="007778CE"/>
    <w:rsid w:val="00780DB3"/>
    <w:rsid w:val="00783812"/>
    <w:rsid w:val="00787DBA"/>
    <w:rsid w:val="00793E18"/>
    <w:rsid w:val="0079629C"/>
    <w:rsid w:val="007A5000"/>
    <w:rsid w:val="007A5B5C"/>
    <w:rsid w:val="007B24DF"/>
    <w:rsid w:val="007B468C"/>
    <w:rsid w:val="007B48FC"/>
    <w:rsid w:val="007B4C63"/>
    <w:rsid w:val="007C0010"/>
    <w:rsid w:val="007C4243"/>
    <w:rsid w:val="007D54B5"/>
    <w:rsid w:val="007D56C0"/>
    <w:rsid w:val="007E179B"/>
    <w:rsid w:val="007E69AF"/>
    <w:rsid w:val="007F0D9D"/>
    <w:rsid w:val="007F0DD8"/>
    <w:rsid w:val="007F4986"/>
    <w:rsid w:val="007F75DA"/>
    <w:rsid w:val="0080136F"/>
    <w:rsid w:val="00801981"/>
    <w:rsid w:val="0080517C"/>
    <w:rsid w:val="00807AEF"/>
    <w:rsid w:val="0081061E"/>
    <w:rsid w:val="008115C2"/>
    <w:rsid w:val="00820BBE"/>
    <w:rsid w:val="00825B11"/>
    <w:rsid w:val="00827EF8"/>
    <w:rsid w:val="00830D28"/>
    <w:rsid w:val="00832638"/>
    <w:rsid w:val="008361D7"/>
    <w:rsid w:val="00837CA5"/>
    <w:rsid w:val="00842B72"/>
    <w:rsid w:val="00846699"/>
    <w:rsid w:val="008471C0"/>
    <w:rsid w:val="00847618"/>
    <w:rsid w:val="008519E1"/>
    <w:rsid w:val="00851F07"/>
    <w:rsid w:val="00863E83"/>
    <w:rsid w:val="00864D72"/>
    <w:rsid w:val="00865130"/>
    <w:rsid w:val="008667EA"/>
    <w:rsid w:val="00867442"/>
    <w:rsid w:val="0088196B"/>
    <w:rsid w:val="008850C3"/>
    <w:rsid w:val="008860AC"/>
    <w:rsid w:val="00892F53"/>
    <w:rsid w:val="00895341"/>
    <w:rsid w:val="00895D67"/>
    <w:rsid w:val="008A0AAB"/>
    <w:rsid w:val="008A4CE2"/>
    <w:rsid w:val="008A7476"/>
    <w:rsid w:val="008B24D8"/>
    <w:rsid w:val="008B5CF1"/>
    <w:rsid w:val="008C2A3A"/>
    <w:rsid w:val="008C3165"/>
    <w:rsid w:val="008D1584"/>
    <w:rsid w:val="008D2681"/>
    <w:rsid w:val="008E3B54"/>
    <w:rsid w:val="008E5BE0"/>
    <w:rsid w:val="008F1712"/>
    <w:rsid w:val="008F382A"/>
    <w:rsid w:val="008F6FFE"/>
    <w:rsid w:val="00900CCC"/>
    <w:rsid w:val="00900EDA"/>
    <w:rsid w:val="009028B5"/>
    <w:rsid w:val="00902E92"/>
    <w:rsid w:val="0090743D"/>
    <w:rsid w:val="00910FFA"/>
    <w:rsid w:val="00911019"/>
    <w:rsid w:val="00911F4A"/>
    <w:rsid w:val="009139AC"/>
    <w:rsid w:val="00913D62"/>
    <w:rsid w:val="0091589E"/>
    <w:rsid w:val="00916FC3"/>
    <w:rsid w:val="00922AD6"/>
    <w:rsid w:val="00925CB1"/>
    <w:rsid w:val="00926370"/>
    <w:rsid w:val="00927EC4"/>
    <w:rsid w:val="00930420"/>
    <w:rsid w:val="00930D38"/>
    <w:rsid w:val="009351C8"/>
    <w:rsid w:val="009436F2"/>
    <w:rsid w:val="00943779"/>
    <w:rsid w:val="009471AC"/>
    <w:rsid w:val="00951BD4"/>
    <w:rsid w:val="00951BE5"/>
    <w:rsid w:val="009542A3"/>
    <w:rsid w:val="009576CE"/>
    <w:rsid w:val="0097066D"/>
    <w:rsid w:val="00971512"/>
    <w:rsid w:val="00974CD6"/>
    <w:rsid w:val="00977972"/>
    <w:rsid w:val="009844EA"/>
    <w:rsid w:val="0099219D"/>
    <w:rsid w:val="00994BE4"/>
    <w:rsid w:val="009A2BCD"/>
    <w:rsid w:val="009B2F68"/>
    <w:rsid w:val="009C206F"/>
    <w:rsid w:val="009C295B"/>
    <w:rsid w:val="009C37F9"/>
    <w:rsid w:val="009C3FA3"/>
    <w:rsid w:val="009C5CE4"/>
    <w:rsid w:val="009D1FC5"/>
    <w:rsid w:val="009D384E"/>
    <w:rsid w:val="009D3A5B"/>
    <w:rsid w:val="009D7044"/>
    <w:rsid w:val="009E21D2"/>
    <w:rsid w:val="009E4D5F"/>
    <w:rsid w:val="009E6616"/>
    <w:rsid w:val="009F07D0"/>
    <w:rsid w:val="009F0C06"/>
    <w:rsid w:val="009F0DFB"/>
    <w:rsid w:val="009F206C"/>
    <w:rsid w:val="009F4C7C"/>
    <w:rsid w:val="00A0018B"/>
    <w:rsid w:val="00A03931"/>
    <w:rsid w:val="00A04AFD"/>
    <w:rsid w:val="00A0563D"/>
    <w:rsid w:val="00A130F7"/>
    <w:rsid w:val="00A138B6"/>
    <w:rsid w:val="00A14F02"/>
    <w:rsid w:val="00A15116"/>
    <w:rsid w:val="00A15DC0"/>
    <w:rsid w:val="00A167B8"/>
    <w:rsid w:val="00A2721B"/>
    <w:rsid w:val="00A30F23"/>
    <w:rsid w:val="00A322DB"/>
    <w:rsid w:val="00A32860"/>
    <w:rsid w:val="00A473C3"/>
    <w:rsid w:val="00A569B8"/>
    <w:rsid w:val="00A6220A"/>
    <w:rsid w:val="00A62CD6"/>
    <w:rsid w:val="00A62F99"/>
    <w:rsid w:val="00A65D84"/>
    <w:rsid w:val="00A73083"/>
    <w:rsid w:val="00A77E8E"/>
    <w:rsid w:val="00A8157A"/>
    <w:rsid w:val="00A847DE"/>
    <w:rsid w:val="00A922CE"/>
    <w:rsid w:val="00A92854"/>
    <w:rsid w:val="00A92CD3"/>
    <w:rsid w:val="00A93BF9"/>
    <w:rsid w:val="00A947B2"/>
    <w:rsid w:val="00A94F8C"/>
    <w:rsid w:val="00A96717"/>
    <w:rsid w:val="00A96EDF"/>
    <w:rsid w:val="00A977BA"/>
    <w:rsid w:val="00AA1D89"/>
    <w:rsid w:val="00AA2441"/>
    <w:rsid w:val="00AA6464"/>
    <w:rsid w:val="00AA6ACA"/>
    <w:rsid w:val="00AB064B"/>
    <w:rsid w:val="00AB1E74"/>
    <w:rsid w:val="00AB3686"/>
    <w:rsid w:val="00AB4E9F"/>
    <w:rsid w:val="00AB590A"/>
    <w:rsid w:val="00AB665C"/>
    <w:rsid w:val="00AC14AA"/>
    <w:rsid w:val="00AC33F5"/>
    <w:rsid w:val="00AC626C"/>
    <w:rsid w:val="00AC678F"/>
    <w:rsid w:val="00AD28AD"/>
    <w:rsid w:val="00AE1E6E"/>
    <w:rsid w:val="00AE40DE"/>
    <w:rsid w:val="00AE4763"/>
    <w:rsid w:val="00AF0EAA"/>
    <w:rsid w:val="00AF777C"/>
    <w:rsid w:val="00B0121B"/>
    <w:rsid w:val="00B0409A"/>
    <w:rsid w:val="00B0455B"/>
    <w:rsid w:val="00B046E8"/>
    <w:rsid w:val="00B06ED8"/>
    <w:rsid w:val="00B11E02"/>
    <w:rsid w:val="00B1333B"/>
    <w:rsid w:val="00B159AC"/>
    <w:rsid w:val="00B211E4"/>
    <w:rsid w:val="00B21CFE"/>
    <w:rsid w:val="00B22C65"/>
    <w:rsid w:val="00B260CF"/>
    <w:rsid w:val="00B3218B"/>
    <w:rsid w:val="00B32559"/>
    <w:rsid w:val="00B3476F"/>
    <w:rsid w:val="00B404AB"/>
    <w:rsid w:val="00B43568"/>
    <w:rsid w:val="00B6340A"/>
    <w:rsid w:val="00B742D8"/>
    <w:rsid w:val="00B82095"/>
    <w:rsid w:val="00B86DD1"/>
    <w:rsid w:val="00B87186"/>
    <w:rsid w:val="00B90975"/>
    <w:rsid w:val="00B93571"/>
    <w:rsid w:val="00B9382B"/>
    <w:rsid w:val="00B9458B"/>
    <w:rsid w:val="00B94CBD"/>
    <w:rsid w:val="00B95720"/>
    <w:rsid w:val="00B973A5"/>
    <w:rsid w:val="00B97645"/>
    <w:rsid w:val="00BA0231"/>
    <w:rsid w:val="00BA1A7F"/>
    <w:rsid w:val="00BA2806"/>
    <w:rsid w:val="00BA3DBE"/>
    <w:rsid w:val="00BA64E4"/>
    <w:rsid w:val="00BB0DE6"/>
    <w:rsid w:val="00BB15F4"/>
    <w:rsid w:val="00BB210E"/>
    <w:rsid w:val="00BB22DC"/>
    <w:rsid w:val="00BC0B98"/>
    <w:rsid w:val="00BC1BBB"/>
    <w:rsid w:val="00BC321A"/>
    <w:rsid w:val="00BC3323"/>
    <w:rsid w:val="00BC7A97"/>
    <w:rsid w:val="00BD07D3"/>
    <w:rsid w:val="00BD2204"/>
    <w:rsid w:val="00BD394A"/>
    <w:rsid w:val="00BD4F8E"/>
    <w:rsid w:val="00BD6168"/>
    <w:rsid w:val="00BE345B"/>
    <w:rsid w:val="00BF2220"/>
    <w:rsid w:val="00BF6B40"/>
    <w:rsid w:val="00C068D5"/>
    <w:rsid w:val="00C20C0C"/>
    <w:rsid w:val="00C23676"/>
    <w:rsid w:val="00C250E3"/>
    <w:rsid w:val="00C262AE"/>
    <w:rsid w:val="00C301AA"/>
    <w:rsid w:val="00C31030"/>
    <w:rsid w:val="00C34812"/>
    <w:rsid w:val="00C43BD0"/>
    <w:rsid w:val="00C5067E"/>
    <w:rsid w:val="00C5130A"/>
    <w:rsid w:val="00C5364B"/>
    <w:rsid w:val="00C54D0A"/>
    <w:rsid w:val="00C562CB"/>
    <w:rsid w:val="00C6128D"/>
    <w:rsid w:val="00C64B2C"/>
    <w:rsid w:val="00C73278"/>
    <w:rsid w:val="00C74F80"/>
    <w:rsid w:val="00C765C8"/>
    <w:rsid w:val="00C806FD"/>
    <w:rsid w:val="00C82029"/>
    <w:rsid w:val="00C85B01"/>
    <w:rsid w:val="00C9283A"/>
    <w:rsid w:val="00C95039"/>
    <w:rsid w:val="00C96883"/>
    <w:rsid w:val="00CA2A24"/>
    <w:rsid w:val="00CA4615"/>
    <w:rsid w:val="00CA6DBA"/>
    <w:rsid w:val="00CA7C6F"/>
    <w:rsid w:val="00CB0175"/>
    <w:rsid w:val="00CB06DA"/>
    <w:rsid w:val="00CB4E93"/>
    <w:rsid w:val="00CB5C2D"/>
    <w:rsid w:val="00CC25A1"/>
    <w:rsid w:val="00CC53F0"/>
    <w:rsid w:val="00CD0F51"/>
    <w:rsid w:val="00CD2561"/>
    <w:rsid w:val="00CD25C0"/>
    <w:rsid w:val="00CD3A6F"/>
    <w:rsid w:val="00CD6263"/>
    <w:rsid w:val="00CD7322"/>
    <w:rsid w:val="00CE119C"/>
    <w:rsid w:val="00CE20F3"/>
    <w:rsid w:val="00CE7F36"/>
    <w:rsid w:val="00CF65AA"/>
    <w:rsid w:val="00CF7D08"/>
    <w:rsid w:val="00D02B03"/>
    <w:rsid w:val="00D02EBD"/>
    <w:rsid w:val="00D03A25"/>
    <w:rsid w:val="00D04A3C"/>
    <w:rsid w:val="00D06C32"/>
    <w:rsid w:val="00D22097"/>
    <w:rsid w:val="00D23EFF"/>
    <w:rsid w:val="00D31753"/>
    <w:rsid w:val="00D36C41"/>
    <w:rsid w:val="00D4039B"/>
    <w:rsid w:val="00D42CB0"/>
    <w:rsid w:val="00D52BCA"/>
    <w:rsid w:val="00D53219"/>
    <w:rsid w:val="00D55A85"/>
    <w:rsid w:val="00D63292"/>
    <w:rsid w:val="00D63562"/>
    <w:rsid w:val="00D64E83"/>
    <w:rsid w:val="00D66D48"/>
    <w:rsid w:val="00D74B78"/>
    <w:rsid w:val="00D750D0"/>
    <w:rsid w:val="00D80A6E"/>
    <w:rsid w:val="00D81C21"/>
    <w:rsid w:val="00D851A0"/>
    <w:rsid w:val="00D87480"/>
    <w:rsid w:val="00D919A5"/>
    <w:rsid w:val="00D93C78"/>
    <w:rsid w:val="00D94A5D"/>
    <w:rsid w:val="00D9741E"/>
    <w:rsid w:val="00DA3466"/>
    <w:rsid w:val="00DB0F8E"/>
    <w:rsid w:val="00DB4770"/>
    <w:rsid w:val="00DB71FD"/>
    <w:rsid w:val="00DB7CED"/>
    <w:rsid w:val="00DC453F"/>
    <w:rsid w:val="00DC57F0"/>
    <w:rsid w:val="00DC6152"/>
    <w:rsid w:val="00DD184A"/>
    <w:rsid w:val="00DD5651"/>
    <w:rsid w:val="00DE0091"/>
    <w:rsid w:val="00DE3D4D"/>
    <w:rsid w:val="00DE546F"/>
    <w:rsid w:val="00DE5A0D"/>
    <w:rsid w:val="00DE639B"/>
    <w:rsid w:val="00DF241E"/>
    <w:rsid w:val="00DF3112"/>
    <w:rsid w:val="00DF45AC"/>
    <w:rsid w:val="00DF70E0"/>
    <w:rsid w:val="00DF754D"/>
    <w:rsid w:val="00E01098"/>
    <w:rsid w:val="00E010A7"/>
    <w:rsid w:val="00E01413"/>
    <w:rsid w:val="00E0352E"/>
    <w:rsid w:val="00E043C5"/>
    <w:rsid w:val="00E06DDB"/>
    <w:rsid w:val="00E17424"/>
    <w:rsid w:val="00E223F4"/>
    <w:rsid w:val="00E2276A"/>
    <w:rsid w:val="00E24894"/>
    <w:rsid w:val="00E25A07"/>
    <w:rsid w:val="00E27FCA"/>
    <w:rsid w:val="00E3041E"/>
    <w:rsid w:val="00E333DF"/>
    <w:rsid w:val="00E33810"/>
    <w:rsid w:val="00E33C26"/>
    <w:rsid w:val="00E405AB"/>
    <w:rsid w:val="00E42F9B"/>
    <w:rsid w:val="00E44E91"/>
    <w:rsid w:val="00E50B24"/>
    <w:rsid w:val="00E51FA8"/>
    <w:rsid w:val="00E56D41"/>
    <w:rsid w:val="00E6000E"/>
    <w:rsid w:val="00E74480"/>
    <w:rsid w:val="00E80D48"/>
    <w:rsid w:val="00E83C41"/>
    <w:rsid w:val="00E84A31"/>
    <w:rsid w:val="00E8627D"/>
    <w:rsid w:val="00E87842"/>
    <w:rsid w:val="00E95016"/>
    <w:rsid w:val="00E96776"/>
    <w:rsid w:val="00E9781D"/>
    <w:rsid w:val="00EA51D2"/>
    <w:rsid w:val="00EA5D76"/>
    <w:rsid w:val="00EB019A"/>
    <w:rsid w:val="00EC2925"/>
    <w:rsid w:val="00EC357E"/>
    <w:rsid w:val="00EC5579"/>
    <w:rsid w:val="00EC5986"/>
    <w:rsid w:val="00EC5C40"/>
    <w:rsid w:val="00ED02B0"/>
    <w:rsid w:val="00ED292C"/>
    <w:rsid w:val="00ED7572"/>
    <w:rsid w:val="00ED774B"/>
    <w:rsid w:val="00EE0118"/>
    <w:rsid w:val="00EE49CE"/>
    <w:rsid w:val="00EE66A1"/>
    <w:rsid w:val="00EE7C8D"/>
    <w:rsid w:val="00EF24B1"/>
    <w:rsid w:val="00EF3299"/>
    <w:rsid w:val="00EF3918"/>
    <w:rsid w:val="00EF46F0"/>
    <w:rsid w:val="00EF5F51"/>
    <w:rsid w:val="00EF635B"/>
    <w:rsid w:val="00EF65B9"/>
    <w:rsid w:val="00F01D00"/>
    <w:rsid w:val="00F025F6"/>
    <w:rsid w:val="00F0672B"/>
    <w:rsid w:val="00F12860"/>
    <w:rsid w:val="00F155EB"/>
    <w:rsid w:val="00F172E0"/>
    <w:rsid w:val="00F23AF2"/>
    <w:rsid w:val="00F27D5D"/>
    <w:rsid w:val="00F30857"/>
    <w:rsid w:val="00F31B62"/>
    <w:rsid w:val="00F32671"/>
    <w:rsid w:val="00F330C3"/>
    <w:rsid w:val="00F357BA"/>
    <w:rsid w:val="00F3602D"/>
    <w:rsid w:val="00F40F77"/>
    <w:rsid w:val="00F41E2D"/>
    <w:rsid w:val="00F42C67"/>
    <w:rsid w:val="00F42E8B"/>
    <w:rsid w:val="00F46F71"/>
    <w:rsid w:val="00F505D2"/>
    <w:rsid w:val="00F55696"/>
    <w:rsid w:val="00F56365"/>
    <w:rsid w:val="00F613CE"/>
    <w:rsid w:val="00F627C2"/>
    <w:rsid w:val="00F637B6"/>
    <w:rsid w:val="00F63EC1"/>
    <w:rsid w:val="00F67822"/>
    <w:rsid w:val="00F70058"/>
    <w:rsid w:val="00F717D5"/>
    <w:rsid w:val="00F75F33"/>
    <w:rsid w:val="00F7700A"/>
    <w:rsid w:val="00F84236"/>
    <w:rsid w:val="00F85225"/>
    <w:rsid w:val="00FA7060"/>
    <w:rsid w:val="00FB0393"/>
    <w:rsid w:val="00FB170E"/>
    <w:rsid w:val="00FB2022"/>
    <w:rsid w:val="00FB4E5A"/>
    <w:rsid w:val="00FB631F"/>
    <w:rsid w:val="00FB689D"/>
    <w:rsid w:val="00FB6FCA"/>
    <w:rsid w:val="00FC0D0F"/>
    <w:rsid w:val="00FC189E"/>
    <w:rsid w:val="00FC2CE4"/>
    <w:rsid w:val="00FC379E"/>
    <w:rsid w:val="00FC7264"/>
    <w:rsid w:val="00FD09C9"/>
    <w:rsid w:val="00FD2F39"/>
    <w:rsid w:val="00FD337C"/>
    <w:rsid w:val="00FD3BAE"/>
    <w:rsid w:val="00FD4D0B"/>
    <w:rsid w:val="00FD5236"/>
    <w:rsid w:val="00FD70C2"/>
    <w:rsid w:val="00FD7D5B"/>
    <w:rsid w:val="00FE0F23"/>
    <w:rsid w:val="00FE1453"/>
    <w:rsid w:val="00FE2EB4"/>
    <w:rsid w:val="00FE69D6"/>
    <w:rsid w:val="00FF0C5E"/>
    <w:rsid w:val="00FF10CF"/>
    <w:rsid w:val="00FF2782"/>
    <w:rsid w:val="00FF2C9D"/>
    <w:rsid w:val="00FF7B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1129"/>
  <w15:docId w15:val="{8FC7378C-76FB-4DED-AF2B-EE09677E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character" w:styleId="Mention">
    <w:name w:val="Mention"/>
    <w:basedOn w:val="DefaultParagraphFont"/>
    <w:uiPriority w:val="99"/>
    <w:unhideWhenUsed/>
    <w:rsid w:val="004E3A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705">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853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04908">
      <w:bodyDiv w:val="1"/>
      <w:marLeft w:val="0"/>
      <w:marRight w:val="0"/>
      <w:marTop w:val="0"/>
      <w:marBottom w:val="0"/>
      <w:divBdr>
        <w:top w:val="none" w:sz="0" w:space="0" w:color="auto"/>
        <w:left w:val="none" w:sz="0" w:space="0" w:color="auto"/>
        <w:bottom w:val="none" w:sz="0" w:space="0" w:color="auto"/>
        <w:right w:val="none" w:sz="0" w:space="0" w:color="auto"/>
      </w:divBdr>
    </w:div>
    <w:div w:id="212818510">
      <w:bodyDiv w:val="1"/>
      <w:marLeft w:val="0"/>
      <w:marRight w:val="0"/>
      <w:marTop w:val="0"/>
      <w:marBottom w:val="0"/>
      <w:divBdr>
        <w:top w:val="none" w:sz="0" w:space="0" w:color="auto"/>
        <w:left w:val="none" w:sz="0" w:space="0" w:color="auto"/>
        <w:bottom w:val="none" w:sz="0" w:space="0" w:color="auto"/>
        <w:right w:val="none" w:sz="0" w:space="0" w:color="auto"/>
      </w:divBdr>
    </w:div>
    <w:div w:id="218900104">
      <w:bodyDiv w:val="1"/>
      <w:marLeft w:val="0"/>
      <w:marRight w:val="0"/>
      <w:marTop w:val="0"/>
      <w:marBottom w:val="0"/>
      <w:divBdr>
        <w:top w:val="none" w:sz="0" w:space="0" w:color="auto"/>
        <w:left w:val="none" w:sz="0" w:space="0" w:color="auto"/>
        <w:bottom w:val="none" w:sz="0" w:space="0" w:color="auto"/>
        <w:right w:val="none" w:sz="0" w:space="0" w:color="auto"/>
      </w:divBdr>
    </w:div>
    <w:div w:id="257492363">
      <w:bodyDiv w:val="1"/>
      <w:marLeft w:val="0"/>
      <w:marRight w:val="0"/>
      <w:marTop w:val="0"/>
      <w:marBottom w:val="0"/>
      <w:divBdr>
        <w:top w:val="none" w:sz="0" w:space="0" w:color="auto"/>
        <w:left w:val="none" w:sz="0" w:space="0" w:color="auto"/>
        <w:bottom w:val="none" w:sz="0" w:space="0" w:color="auto"/>
        <w:right w:val="none" w:sz="0" w:space="0" w:color="auto"/>
      </w:divBdr>
    </w:div>
    <w:div w:id="32528655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84893">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5883436">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9834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51503201">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4965201">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46828">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41960">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2308361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42764906">
      <w:bodyDiv w:val="1"/>
      <w:marLeft w:val="0"/>
      <w:marRight w:val="0"/>
      <w:marTop w:val="0"/>
      <w:marBottom w:val="0"/>
      <w:divBdr>
        <w:top w:val="none" w:sz="0" w:space="0" w:color="auto"/>
        <w:left w:val="none" w:sz="0" w:space="0" w:color="auto"/>
        <w:bottom w:val="none" w:sz="0" w:space="0" w:color="auto"/>
        <w:right w:val="none" w:sz="0" w:space="0" w:color="auto"/>
      </w:divBdr>
    </w:div>
    <w:div w:id="967901453">
      <w:bodyDiv w:val="1"/>
      <w:marLeft w:val="0"/>
      <w:marRight w:val="0"/>
      <w:marTop w:val="0"/>
      <w:marBottom w:val="0"/>
      <w:divBdr>
        <w:top w:val="none" w:sz="0" w:space="0" w:color="auto"/>
        <w:left w:val="none" w:sz="0" w:space="0" w:color="auto"/>
        <w:bottom w:val="none" w:sz="0" w:space="0" w:color="auto"/>
        <w:right w:val="none" w:sz="0" w:space="0" w:color="auto"/>
      </w:divBdr>
    </w:div>
    <w:div w:id="973634412">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5255">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547347">
      <w:bodyDiv w:val="1"/>
      <w:marLeft w:val="0"/>
      <w:marRight w:val="0"/>
      <w:marTop w:val="0"/>
      <w:marBottom w:val="0"/>
      <w:divBdr>
        <w:top w:val="none" w:sz="0" w:space="0" w:color="auto"/>
        <w:left w:val="none" w:sz="0" w:space="0" w:color="auto"/>
        <w:bottom w:val="none" w:sz="0" w:space="0" w:color="auto"/>
        <w:right w:val="none" w:sz="0" w:space="0" w:color="auto"/>
      </w:divBdr>
    </w:div>
    <w:div w:id="1162887187">
      <w:bodyDiv w:val="1"/>
      <w:marLeft w:val="0"/>
      <w:marRight w:val="0"/>
      <w:marTop w:val="0"/>
      <w:marBottom w:val="0"/>
      <w:divBdr>
        <w:top w:val="none" w:sz="0" w:space="0" w:color="auto"/>
        <w:left w:val="none" w:sz="0" w:space="0" w:color="auto"/>
        <w:bottom w:val="none" w:sz="0" w:space="0" w:color="auto"/>
        <w:right w:val="none" w:sz="0" w:space="0" w:color="auto"/>
      </w:divBdr>
    </w:div>
    <w:div w:id="1174614252">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8355830">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47695455">
      <w:bodyDiv w:val="1"/>
      <w:marLeft w:val="0"/>
      <w:marRight w:val="0"/>
      <w:marTop w:val="0"/>
      <w:marBottom w:val="0"/>
      <w:divBdr>
        <w:top w:val="none" w:sz="0" w:space="0" w:color="auto"/>
        <w:left w:val="none" w:sz="0" w:space="0" w:color="auto"/>
        <w:bottom w:val="none" w:sz="0" w:space="0" w:color="auto"/>
        <w:right w:val="none" w:sz="0" w:space="0" w:color="auto"/>
      </w:divBdr>
    </w:div>
    <w:div w:id="1458794416">
      <w:bodyDiv w:val="1"/>
      <w:marLeft w:val="0"/>
      <w:marRight w:val="0"/>
      <w:marTop w:val="0"/>
      <w:marBottom w:val="0"/>
      <w:divBdr>
        <w:top w:val="none" w:sz="0" w:space="0" w:color="auto"/>
        <w:left w:val="none" w:sz="0" w:space="0" w:color="auto"/>
        <w:bottom w:val="none" w:sz="0" w:space="0" w:color="auto"/>
        <w:right w:val="none" w:sz="0" w:space="0" w:color="auto"/>
      </w:divBdr>
    </w:div>
    <w:div w:id="1462724315">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3882775">
      <w:bodyDiv w:val="1"/>
      <w:marLeft w:val="0"/>
      <w:marRight w:val="0"/>
      <w:marTop w:val="0"/>
      <w:marBottom w:val="0"/>
      <w:divBdr>
        <w:top w:val="none" w:sz="0" w:space="0" w:color="auto"/>
        <w:left w:val="none" w:sz="0" w:space="0" w:color="auto"/>
        <w:bottom w:val="none" w:sz="0" w:space="0" w:color="auto"/>
        <w:right w:val="none" w:sz="0" w:space="0" w:color="auto"/>
      </w:divBdr>
    </w:div>
    <w:div w:id="1624340182">
      <w:bodyDiv w:val="1"/>
      <w:marLeft w:val="0"/>
      <w:marRight w:val="0"/>
      <w:marTop w:val="0"/>
      <w:marBottom w:val="0"/>
      <w:divBdr>
        <w:top w:val="none" w:sz="0" w:space="0" w:color="auto"/>
        <w:left w:val="none" w:sz="0" w:space="0" w:color="auto"/>
        <w:bottom w:val="none" w:sz="0" w:space="0" w:color="auto"/>
        <w:right w:val="none" w:sz="0" w:space="0" w:color="auto"/>
      </w:divBdr>
    </w:div>
    <w:div w:id="1625573068">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31744">
      <w:bodyDiv w:val="1"/>
      <w:marLeft w:val="0"/>
      <w:marRight w:val="0"/>
      <w:marTop w:val="0"/>
      <w:marBottom w:val="0"/>
      <w:divBdr>
        <w:top w:val="none" w:sz="0" w:space="0" w:color="auto"/>
        <w:left w:val="none" w:sz="0" w:space="0" w:color="auto"/>
        <w:bottom w:val="none" w:sz="0" w:space="0" w:color="auto"/>
        <w:right w:val="none" w:sz="0" w:space="0" w:color="auto"/>
      </w:divBdr>
    </w:div>
    <w:div w:id="1745645772">
      <w:bodyDiv w:val="1"/>
      <w:marLeft w:val="0"/>
      <w:marRight w:val="0"/>
      <w:marTop w:val="0"/>
      <w:marBottom w:val="0"/>
      <w:divBdr>
        <w:top w:val="none" w:sz="0" w:space="0" w:color="auto"/>
        <w:left w:val="none" w:sz="0" w:space="0" w:color="auto"/>
        <w:bottom w:val="none" w:sz="0" w:space="0" w:color="auto"/>
        <w:right w:val="none" w:sz="0" w:space="0" w:color="auto"/>
      </w:divBdr>
    </w:div>
    <w:div w:id="1810515179">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4515707">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07722">
      <w:bodyDiv w:val="1"/>
      <w:marLeft w:val="0"/>
      <w:marRight w:val="0"/>
      <w:marTop w:val="0"/>
      <w:marBottom w:val="0"/>
      <w:divBdr>
        <w:top w:val="none" w:sz="0" w:space="0" w:color="auto"/>
        <w:left w:val="none" w:sz="0" w:space="0" w:color="auto"/>
        <w:bottom w:val="none" w:sz="0" w:space="0" w:color="auto"/>
        <w:right w:val="none" w:sz="0" w:space="0" w:color="auto"/>
      </w:divBdr>
    </w:div>
    <w:div w:id="2014871038">
      <w:bodyDiv w:val="1"/>
      <w:marLeft w:val="0"/>
      <w:marRight w:val="0"/>
      <w:marTop w:val="0"/>
      <w:marBottom w:val="0"/>
      <w:divBdr>
        <w:top w:val="none" w:sz="0" w:space="0" w:color="auto"/>
        <w:left w:val="none" w:sz="0" w:space="0" w:color="auto"/>
        <w:bottom w:val="none" w:sz="0" w:space="0" w:color="auto"/>
        <w:right w:val="none" w:sz="0" w:space="0" w:color="auto"/>
      </w:divBdr>
    </w:div>
    <w:div w:id="2015452198">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31913">
      <w:bodyDiv w:val="1"/>
      <w:marLeft w:val="0"/>
      <w:marRight w:val="0"/>
      <w:marTop w:val="0"/>
      <w:marBottom w:val="0"/>
      <w:divBdr>
        <w:top w:val="none" w:sz="0" w:space="0" w:color="auto"/>
        <w:left w:val="none" w:sz="0" w:space="0" w:color="auto"/>
        <w:bottom w:val="none" w:sz="0" w:space="0" w:color="auto"/>
        <w:right w:val="none" w:sz="0" w:space="0" w:color="auto"/>
      </w:divBdr>
    </w:div>
    <w:div w:id="2122799284">
      <w:bodyDiv w:val="1"/>
      <w:marLeft w:val="0"/>
      <w:marRight w:val="0"/>
      <w:marTop w:val="0"/>
      <w:marBottom w:val="0"/>
      <w:divBdr>
        <w:top w:val="none" w:sz="0" w:space="0" w:color="auto"/>
        <w:left w:val="none" w:sz="0" w:space="0" w:color="auto"/>
        <w:bottom w:val="none" w:sz="0" w:space="0" w:color="auto"/>
        <w:right w:val="none" w:sz="0" w:space="0" w:color="auto"/>
      </w:divBdr>
    </w:div>
    <w:div w:id="212915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shoretreatments@aff.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griculture.gov.au/market-access-trade/improving-export-legisl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arrival/treatments/treatments-fumiga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3B87C723B3C5CE4EA2597CE4A729738D" ma:contentTypeVersion="20" ma:contentTypeDescription="Create a new document." ma:contentTypeScope="" ma:versionID="454da81215c9f4614999d3b7798fd91e">
  <xsd:schema xmlns:xsd="http://www.w3.org/2001/XMLSchema" xmlns:xs="http://www.w3.org/2001/XMLSchema" xmlns:p="http://schemas.microsoft.com/office/2006/metadata/properties" xmlns:ns2="77d684c0-b3ee-4c52-9149-8325f1b90b16" xmlns:ns3="a02441a3-4721-4974-a71a-8d527336826f" xmlns:ns4="81c01dc6-2c49-4730-b140-874c95cac377" targetNamespace="http://schemas.microsoft.com/office/2006/metadata/properties" ma:root="true" ma:fieldsID="8d92cae9edd7067be2110125e48cf27d" ns2:_="" ns3:_="" ns4:_="">
    <xsd:import namespace="77d684c0-b3ee-4c52-9149-8325f1b90b16"/>
    <xsd:import namespace="a02441a3-4721-4974-a71a-8d527336826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Location" minOccurs="0"/>
                <xsd:element ref="ns2:MediaServiceBillingMetadata"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684c0-b3ee-4c52-9149-8325f1b90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ocumentCategory" ma:index="27" nillable="true" ma:displayName="DocumentCategory" ma:description="Added column for filtering in powerapps" ma:format="Dropdown" ma:internalName="DocumentCategory">
      <xsd:simpleType>
        <xsd:union memberTypes="dms:Text">
          <xsd:simpleType>
            <xsd:restriction base="dms:Choice">
              <xsd:enumeration value="Audit Repo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02441a3-4721-4974-a71a-8d52733682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31bc229-8bb5-4649-945f-cd76c741d354}" ma:internalName="TaxCatchAll" ma:showField="CatchAllData" ma:web="a02441a3-4721-4974-a71a-8d5273368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684c0-b3ee-4c52-9149-8325f1b90b16">
      <Terms xmlns="http://schemas.microsoft.com/office/infopath/2007/PartnerControls"/>
    </lcf76f155ced4ddcb4097134ff3c332f>
    <DocumentCategory xmlns="77d684c0-b3ee-4c52-9149-8325f1b90b16" xsi:nil="true"/>
    <TaxCatchAll xmlns="81c01dc6-2c49-4730-b140-874c95cac3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C583A8A5-9BD9-42D4-AFC5-180641377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684c0-b3ee-4c52-9149-8325f1b90b16"/>
    <ds:schemaRef ds:uri="a02441a3-4721-4974-a71a-8d527336826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7d684c0-b3ee-4c52-9149-8325f1b90b16"/>
    <ds:schemaRef ds:uri="81c01dc6-2c49-4730-b140-874c95cac377"/>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5642</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14519</CharactersWithSpaces>
  <SharedDoc>false</SharedDoc>
  <HLinks>
    <vt:vector size="24" baseType="variant">
      <vt:variant>
        <vt:i4>5373952</vt:i4>
      </vt:variant>
      <vt:variant>
        <vt:i4>9</vt:i4>
      </vt:variant>
      <vt:variant>
        <vt:i4>0</vt:i4>
      </vt:variant>
      <vt:variant>
        <vt:i4>5</vt:i4>
      </vt:variant>
      <vt:variant>
        <vt:lpwstr>https://creativecommons.org/licenses/by/4.0/legalcode</vt:lpwstr>
      </vt:variant>
      <vt:variant>
        <vt:lpwstr/>
      </vt:variant>
      <vt:variant>
        <vt:i4>3735617</vt:i4>
      </vt:variant>
      <vt:variant>
        <vt:i4>6</vt:i4>
      </vt:variant>
      <vt:variant>
        <vt:i4>0</vt:i4>
      </vt:variant>
      <vt:variant>
        <vt:i4>5</vt:i4>
      </vt:variant>
      <vt:variant>
        <vt:lpwstr>mailto:offshoretreatments@aff.gov.au</vt:lpwstr>
      </vt:variant>
      <vt:variant>
        <vt:lpwstr/>
      </vt:variant>
      <vt:variant>
        <vt:i4>3407916</vt:i4>
      </vt:variant>
      <vt:variant>
        <vt:i4>3</vt:i4>
      </vt:variant>
      <vt:variant>
        <vt:i4>0</vt:i4>
      </vt:variant>
      <vt:variant>
        <vt:i4>5</vt:i4>
      </vt:variant>
      <vt:variant>
        <vt:lpwstr>http://www.agriculture.gov.au/market-access-trade/improving-export-legislation</vt:lpwstr>
      </vt:variant>
      <vt:variant>
        <vt:lpwstr/>
      </vt:variant>
      <vt:variant>
        <vt:i4>3670108</vt:i4>
      </vt:variant>
      <vt:variant>
        <vt:i4>0</vt:i4>
      </vt:variant>
      <vt:variant>
        <vt:i4>0</vt:i4>
      </vt:variant>
      <vt:variant>
        <vt:i4>5</vt:i4>
      </vt:variant>
      <vt:variant>
        <vt:lpwstr>https://www.agriculture.gov.au/biosecurity-trade/import/arrival/treatments/treatments-fumigants</vt:lpwstr>
      </vt:variant>
      <vt:variant>
        <vt:lpwstr>methyl-bromide-fumigation_2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Blake, Marian</dc:creator>
  <cp:keywords/>
  <cp:lastModifiedBy>Blake, Marian</cp:lastModifiedBy>
  <cp:revision>398</cp:revision>
  <cp:lastPrinted>2022-10-28T11:30:00Z</cp:lastPrinted>
  <dcterms:created xsi:type="dcterms:W3CDTF">2025-10-09T09:15:00Z</dcterms:created>
  <dcterms:modified xsi:type="dcterms:W3CDTF">2026-02-24T02:14:00Z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0x0101003B87C723B3C5CE4EA2597CE4A729738D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