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C2372" w14:textId="77777777" w:rsidR="00885E12" w:rsidRPr="008B09B2" w:rsidRDefault="00885E12" w:rsidP="003573C3">
      <w:pPr>
        <w:spacing w:after="0"/>
        <w:rPr>
          <w:b/>
          <w:color w:val="1F497D" w:themeColor="text2"/>
          <w:sz w:val="36"/>
          <w:szCs w:val="36"/>
        </w:rPr>
      </w:pPr>
      <w:bookmarkStart w:id="0" w:name="_GoBack"/>
      <w:bookmarkEnd w:id="0"/>
      <w:r w:rsidRPr="008B09B2">
        <w:rPr>
          <w:b/>
          <w:color w:val="1F497D" w:themeColor="text2"/>
          <w:sz w:val="36"/>
          <w:szCs w:val="36"/>
        </w:rPr>
        <w:t>Great Barrier Reef Gully and Streambank Joint Program</w:t>
      </w:r>
    </w:p>
    <w:p w14:paraId="2698AB20" w14:textId="585AA5E6" w:rsidR="009E2DF9" w:rsidRPr="004C2F39" w:rsidRDefault="003573C3" w:rsidP="004C2F39">
      <w:pPr>
        <w:spacing w:after="0"/>
        <w:rPr>
          <w:sz w:val="28"/>
        </w:rPr>
      </w:pPr>
      <w:r>
        <w:rPr>
          <w:sz w:val="28"/>
        </w:rPr>
        <w:t xml:space="preserve">Fixing gullies </w:t>
      </w:r>
      <w:r w:rsidR="000E70FA">
        <w:rPr>
          <w:sz w:val="28"/>
        </w:rPr>
        <w:t xml:space="preserve">and streambanks </w:t>
      </w:r>
      <w:r w:rsidR="00EF232B">
        <w:rPr>
          <w:sz w:val="28"/>
        </w:rPr>
        <w:t xml:space="preserve">for </w:t>
      </w:r>
      <w:r>
        <w:rPr>
          <w:sz w:val="28"/>
        </w:rPr>
        <w:t>clean water</w:t>
      </w:r>
      <w:r w:rsidRPr="003573C3">
        <w:rPr>
          <w:sz w:val="28"/>
        </w:rPr>
        <w:t xml:space="preserve"> for a healthy </w:t>
      </w:r>
      <w:r w:rsidR="00EF232B">
        <w:rPr>
          <w:sz w:val="28"/>
        </w:rPr>
        <w:t>reef</w:t>
      </w:r>
      <w:r w:rsidR="004C2F39">
        <w:rPr>
          <w:sz w:val="28"/>
        </w:rPr>
        <w:br/>
      </w:r>
    </w:p>
    <w:p w14:paraId="49E9B4E1" w14:textId="77777777" w:rsidR="00B273C4" w:rsidRPr="008B09B2" w:rsidRDefault="005E531B" w:rsidP="005E531B">
      <w:pPr>
        <w:spacing w:after="120"/>
        <w:rPr>
          <w:b/>
          <w:color w:val="1F497D" w:themeColor="text2"/>
          <w:sz w:val="28"/>
          <w:szCs w:val="28"/>
        </w:rPr>
      </w:pPr>
      <w:r w:rsidRPr="008B09B2">
        <w:rPr>
          <w:b/>
          <w:color w:val="1F497D" w:themeColor="text2"/>
          <w:sz w:val="28"/>
          <w:szCs w:val="28"/>
        </w:rPr>
        <w:t xml:space="preserve">The challenge: </w:t>
      </w:r>
      <w:r w:rsidR="00B273C4" w:rsidRPr="008B09B2">
        <w:rPr>
          <w:b/>
          <w:color w:val="1F497D" w:themeColor="text2"/>
          <w:sz w:val="28"/>
          <w:szCs w:val="28"/>
        </w:rPr>
        <w:t xml:space="preserve">Gully and streambank erosion </w:t>
      </w:r>
      <w:r w:rsidRPr="008B09B2">
        <w:rPr>
          <w:b/>
          <w:color w:val="1F497D" w:themeColor="text2"/>
          <w:sz w:val="28"/>
          <w:szCs w:val="28"/>
        </w:rPr>
        <w:t>and sediment run-off</w:t>
      </w:r>
    </w:p>
    <w:p w14:paraId="3FF346F4" w14:textId="0C967E54" w:rsidR="004C2F39" w:rsidRDefault="00241062" w:rsidP="004C2F39">
      <w:pPr>
        <w:spacing w:after="120"/>
      </w:pPr>
      <w:r>
        <w:t>Sediment run-off is one of the biggest pressures on the Great Barrier Reef with g</w:t>
      </w:r>
      <w:r w:rsidR="00B273C4">
        <w:t>ully and streambank erosion contribut</w:t>
      </w:r>
      <w:r>
        <w:t>ing</w:t>
      </w:r>
      <w:r w:rsidR="005E11C7">
        <w:t xml:space="preserve"> significantly to</w:t>
      </w:r>
      <w:r w:rsidR="00B273C4">
        <w:t xml:space="preserve"> sediment en</w:t>
      </w:r>
      <w:r>
        <w:t xml:space="preserve">tering the reef. </w:t>
      </w:r>
      <w:r w:rsidR="004C2F39">
        <w:t xml:space="preserve"> With changed land use</w:t>
      </w:r>
      <w:r w:rsidR="004C2F39" w:rsidRPr="002B18FB">
        <w:t xml:space="preserve">, grazing, cane </w:t>
      </w:r>
      <w:r w:rsidR="004C2F39">
        <w:t>production and mining, there’s</w:t>
      </w:r>
      <w:r w:rsidR="004C2F39" w:rsidRPr="002B18FB">
        <w:t xml:space="preserve"> </w:t>
      </w:r>
      <w:r w:rsidR="00EE28A9">
        <w:t xml:space="preserve">also </w:t>
      </w:r>
      <w:r w:rsidR="004C2F39" w:rsidRPr="002B18FB">
        <w:t xml:space="preserve">been a significant increase in erosion across the landscape alongside the </w:t>
      </w:r>
      <w:r w:rsidR="004C2F39">
        <w:t xml:space="preserve">Great Barrier Reef. </w:t>
      </w:r>
    </w:p>
    <w:p w14:paraId="5DA89C74" w14:textId="77777777" w:rsidR="004C2F39" w:rsidRDefault="00B273C4" w:rsidP="004C2F39">
      <w:pPr>
        <w:spacing w:after="120"/>
      </w:pPr>
      <w:r w:rsidRPr="002B18FB">
        <w:t xml:space="preserve">The </w:t>
      </w:r>
      <w:r w:rsidRPr="00651992">
        <w:rPr>
          <w:i/>
        </w:rPr>
        <w:t>2013</w:t>
      </w:r>
      <w:r>
        <w:t xml:space="preserve"> </w:t>
      </w:r>
      <w:r w:rsidRPr="002B18FB">
        <w:rPr>
          <w:i/>
        </w:rPr>
        <w:t xml:space="preserve">Scientific Consensus Statement </w:t>
      </w:r>
      <w:r w:rsidRPr="002B18FB">
        <w:t xml:space="preserve"> indicated that sub-surface erosion (which includes gullying and streambank erosion) in the </w:t>
      </w:r>
      <w:r>
        <w:t>r</w:t>
      </w:r>
      <w:r w:rsidRPr="002B18FB">
        <w:t>eef catchments is the dominant source of fine sediment and associa</w:t>
      </w:r>
      <w:r w:rsidR="00D766AC">
        <w:t>ted nutrients delivered to the r</w:t>
      </w:r>
      <w:r w:rsidRPr="002B18FB">
        <w:t xml:space="preserve">eef lagoon. </w:t>
      </w:r>
    </w:p>
    <w:p w14:paraId="4E46606E" w14:textId="2886F432" w:rsidR="004C2F39" w:rsidRDefault="00B273C4" w:rsidP="004C2F39">
      <w:pPr>
        <w:spacing w:after="120"/>
      </w:pPr>
      <w:r w:rsidRPr="002B18FB">
        <w:t xml:space="preserve">Fine </w:t>
      </w:r>
      <w:r w:rsidR="00AA33FF">
        <w:t>sediment poses the highest risk</w:t>
      </w:r>
      <w:r w:rsidRPr="002B18FB">
        <w:t xml:space="preserve"> to </w:t>
      </w:r>
      <w:r>
        <w:t>r</w:t>
      </w:r>
      <w:r w:rsidRPr="002B18FB">
        <w:t xml:space="preserve">eef ecosystems, </w:t>
      </w:r>
      <w:r w:rsidR="00AA33FF">
        <w:t xml:space="preserve">smothering corals, seagrasses and other plants, affecting their growth and survival as well as the survival of turtles, dugongs, fish and other </w:t>
      </w:r>
      <w:r w:rsidR="005E11C7">
        <w:t>animals</w:t>
      </w:r>
      <w:r w:rsidR="00AA33FF">
        <w:t xml:space="preserve"> that depend on them for food and shelter. </w:t>
      </w:r>
    </w:p>
    <w:p w14:paraId="0E42B350" w14:textId="6A5800A9" w:rsidR="00C96503" w:rsidRDefault="005E11C7" w:rsidP="004C2F39">
      <w:pPr>
        <w:spacing w:after="0"/>
      </w:pPr>
      <w:r>
        <w:t>Fine soil, such as silt and clay, and the nutrients attached to them, travel even further into the reef forming ‘flocs’ that att</w:t>
      </w:r>
      <w:r w:rsidR="00C96503">
        <w:t>ract and grow organic material, as well as reduce</w:t>
      </w:r>
      <w:r>
        <w:t xml:space="preserve"> the light to corals and s</w:t>
      </w:r>
      <w:r w:rsidR="00C96503">
        <w:t>eagrass meadows.</w:t>
      </w:r>
    </w:p>
    <w:p w14:paraId="4D1E4DD4" w14:textId="77777777" w:rsidR="001F486F" w:rsidRPr="004C2F39" w:rsidRDefault="001F486F" w:rsidP="001F486F">
      <w:pPr>
        <w:spacing w:after="0"/>
        <w:ind w:left="-426"/>
      </w:pPr>
    </w:p>
    <w:p w14:paraId="15EA981A" w14:textId="77777777" w:rsidR="00F37337" w:rsidRPr="008B09B2" w:rsidRDefault="005E531B" w:rsidP="00C80F94">
      <w:pPr>
        <w:spacing w:after="120"/>
        <w:rPr>
          <w:b/>
          <w:color w:val="1F497D" w:themeColor="text2"/>
          <w:sz w:val="28"/>
          <w:szCs w:val="28"/>
        </w:rPr>
      </w:pPr>
      <w:r w:rsidRPr="008B09B2">
        <w:rPr>
          <w:b/>
          <w:color w:val="1F497D" w:themeColor="text2"/>
          <w:sz w:val="28"/>
          <w:szCs w:val="28"/>
        </w:rPr>
        <w:t xml:space="preserve">The solution: Great Barrier Reef Gully and Streambank Joint </w:t>
      </w:r>
      <w:r w:rsidR="00651992" w:rsidRPr="008B09B2">
        <w:rPr>
          <w:b/>
          <w:color w:val="1F497D" w:themeColor="text2"/>
          <w:sz w:val="28"/>
          <w:szCs w:val="28"/>
        </w:rPr>
        <w:t>Program</w:t>
      </w:r>
    </w:p>
    <w:p w14:paraId="63D9DEA2" w14:textId="77777777" w:rsidR="001352C3" w:rsidRPr="00670ED0" w:rsidRDefault="001352C3" w:rsidP="00651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Partnering to deliver for the Great Barrier Reef</w:t>
      </w:r>
    </w:p>
    <w:p w14:paraId="383EC7BE" w14:textId="77777777" w:rsidR="001352C3" w:rsidRDefault="001352C3" w:rsidP="0013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</w:pPr>
      <w:r>
        <w:t>A coordinated approach to gully and streambank work</w:t>
      </w:r>
    </w:p>
    <w:p w14:paraId="5B818429" w14:textId="77777777" w:rsidR="001352C3" w:rsidRDefault="001352C3" w:rsidP="0013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</w:pPr>
      <w:r>
        <w:t>Guided by technical expertise in sediment management</w:t>
      </w:r>
    </w:p>
    <w:p w14:paraId="12B80552" w14:textId="37615150" w:rsidR="001352C3" w:rsidRDefault="00EE28A9" w:rsidP="0013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</w:pPr>
      <w:r>
        <w:t>Ensuring c</w:t>
      </w:r>
      <w:r w:rsidR="001352C3">
        <w:t>onsistency to monitoring and evaluation</w:t>
      </w:r>
    </w:p>
    <w:p w14:paraId="38B0C7E6" w14:textId="72245ABF" w:rsidR="001352C3" w:rsidRDefault="00EE28A9" w:rsidP="0013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</w:pPr>
      <w:r>
        <w:t xml:space="preserve">Targeting </w:t>
      </w:r>
      <w:r w:rsidR="001352C3">
        <w:t>high erosion areas</w:t>
      </w:r>
    </w:p>
    <w:p w14:paraId="70F1835D" w14:textId="33DC6633" w:rsidR="001352C3" w:rsidRDefault="00EE28A9" w:rsidP="0013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</w:pPr>
      <w:r>
        <w:t>Sharing</w:t>
      </w:r>
      <w:r w:rsidR="001352C3">
        <w:t xml:space="preserve"> learnings</w:t>
      </w:r>
      <w:r>
        <w:t xml:space="preserve"> and communicating outcomes</w:t>
      </w:r>
    </w:p>
    <w:p w14:paraId="7C498B8E" w14:textId="77777777" w:rsidR="00651992" w:rsidRDefault="001352C3" w:rsidP="0013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</w:pPr>
      <w:r>
        <w:t>Leveraging research investment</w:t>
      </w:r>
    </w:p>
    <w:p w14:paraId="22C28DED" w14:textId="5D27C7E0" w:rsidR="00676534" w:rsidRDefault="00885E12" w:rsidP="00C80F94">
      <w:pPr>
        <w:spacing w:after="120"/>
      </w:pPr>
      <w:r>
        <w:t>The</w:t>
      </w:r>
      <w:r w:rsidR="008362D0">
        <w:t xml:space="preserve"> Australian and</w:t>
      </w:r>
      <w:r>
        <w:t xml:space="preserve"> Queensland </w:t>
      </w:r>
      <w:r w:rsidR="00C96503">
        <w:t>g</w:t>
      </w:r>
      <w:r>
        <w:t>overnments, in partnership with the Great Barrier Reef Foundation, Greening Australia</w:t>
      </w:r>
      <w:r w:rsidR="00BF1D9F">
        <w:t>,</w:t>
      </w:r>
      <w:r w:rsidR="00EA22A2">
        <w:t xml:space="preserve"> </w:t>
      </w:r>
      <w:r w:rsidR="00185D39">
        <w:t>research institutions,</w:t>
      </w:r>
      <w:r w:rsidR="006068AF">
        <w:t xml:space="preserve"> </w:t>
      </w:r>
      <w:r w:rsidR="00BF1D9F">
        <w:t>regional natural resource management bodies</w:t>
      </w:r>
      <w:r w:rsidR="006068AF">
        <w:t xml:space="preserve"> and </w:t>
      </w:r>
      <w:r w:rsidR="00185D39">
        <w:t xml:space="preserve">other </w:t>
      </w:r>
      <w:r w:rsidR="006068AF">
        <w:t xml:space="preserve">industry groups </w:t>
      </w:r>
      <w:r>
        <w:t>are working together to tackle sediment run</w:t>
      </w:r>
      <w:r w:rsidR="0080409A">
        <w:t>-</w:t>
      </w:r>
      <w:r>
        <w:t>off</w:t>
      </w:r>
      <w:r w:rsidR="006068AF">
        <w:t xml:space="preserve"> </w:t>
      </w:r>
      <w:r>
        <w:t xml:space="preserve">by </w:t>
      </w:r>
      <w:r w:rsidR="00676534">
        <w:t xml:space="preserve">remediating gullies and streambanks in priority areas of the </w:t>
      </w:r>
      <w:r w:rsidR="00E73F68">
        <w:t>r</w:t>
      </w:r>
      <w:r w:rsidR="00676534">
        <w:t>eef catchment</w:t>
      </w:r>
      <w:r w:rsidR="00795959">
        <w:t>s</w:t>
      </w:r>
      <w:r w:rsidR="00ED2D44">
        <w:t xml:space="preserve"> through the Great Barrier Reef Gully and Streambank Joint Program.</w:t>
      </w:r>
    </w:p>
    <w:p w14:paraId="1CCB82C9" w14:textId="77777777" w:rsidR="00885E12" w:rsidRDefault="00676534" w:rsidP="00C80F94">
      <w:pPr>
        <w:spacing w:after="120"/>
      </w:pPr>
      <w:r>
        <w:t>Th</w:t>
      </w:r>
      <w:r w:rsidR="00ED2D44">
        <w:t>is</w:t>
      </w:r>
      <w:r>
        <w:t xml:space="preserve"> </w:t>
      </w:r>
      <w:r w:rsidR="00ED2D44">
        <w:t xml:space="preserve">umbrella </w:t>
      </w:r>
      <w:r>
        <w:t>program</w:t>
      </w:r>
      <w:r w:rsidR="00404FD0">
        <w:t xml:space="preserve"> of work</w:t>
      </w:r>
      <w:r>
        <w:t xml:space="preserve"> </w:t>
      </w:r>
      <w:r w:rsidR="006E5E64">
        <w:t>delivers</w:t>
      </w:r>
      <w:r w:rsidR="00ED2D44">
        <w:t xml:space="preserve"> </w:t>
      </w:r>
      <w:r w:rsidR="006E5E64">
        <w:t xml:space="preserve">a range of </w:t>
      </w:r>
      <w:r w:rsidR="00C20AF8">
        <w:t>projects and programs focusing on</w:t>
      </w:r>
      <w:r w:rsidR="009F3BD1">
        <w:t>:</w:t>
      </w:r>
    </w:p>
    <w:p w14:paraId="466509A6" w14:textId="31D19387" w:rsidR="007C142B" w:rsidRDefault="00860038" w:rsidP="007C142B">
      <w:pPr>
        <w:pStyle w:val="ListParagraph"/>
        <w:numPr>
          <w:ilvl w:val="0"/>
          <w:numId w:val="6"/>
        </w:numPr>
        <w:spacing w:after="120"/>
      </w:pPr>
      <w:r>
        <w:t>p</w:t>
      </w:r>
      <w:r w:rsidR="007C142B">
        <w:t xml:space="preserve">hysical remediation (including </w:t>
      </w:r>
      <w:r w:rsidR="00864C25">
        <w:t xml:space="preserve">piloting </w:t>
      </w:r>
      <w:r w:rsidR="007C142B">
        <w:t>of different techniques)</w:t>
      </w:r>
    </w:p>
    <w:p w14:paraId="2D2FFAB9" w14:textId="4D9C3291" w:rsidR="007C142B" w:rsidRDefault="00B26267" w:rsidP="007C142B">
      <w:pPr>
        <w:pStyle w:val="ListParagraph"/>
        <w:numPr>
          <w:ilvl w:val="0"/>
          <w:numId w:val="6"/>
        </w:numPr>
        <w:spacing w:after="120"/>
      </w:pPr>
      <w:r>
        <w:t xml:space="preserve">mulching, </w:t>
      </w:r>
      <w:r w:rsidR="00860038">
        <w:t>r</w:t>
      </w:r>
      <w:r w:rsidR="007C142B">
        <w:t>evegetation and fencing</w:t>
      </w:r>
    </w:p>
    <w:p w14:paraId="24B267BF" w14:textId="77777777" w:rsidR="007C142B" w:rsidRDefault="00860038" w:rsidP="007C142B">
      <w:pPr>
        <w:pStyle w:val="ListParagraph"/>
        <w:numPr>
          <w:ilvl w:val="0"/>
          <w:numId w:val="6"/>
        </w:numPr>
        <w:spacing w:after="120"/>
      </w:pPr>
      <w:r>
        <w:t>n</w:t>
      </w:r>
      <w:r w:rsidR="00FD7244">
        <w:t>ative grass seed production</w:t>
      </w:r>
    </w:p>
    <w:p w14:paraId="6B42CA60" w14:textId="4A0D24D3" w:rsidR="007C142B" w:rsidRDefault="00860038" w:rsidP="007C142B">
      <w:pPr>
        <w:pStyle w:val="ListParagraph"/>
        <w:numPr>
          <w:ilvl w:val="0"/>
          <w:numId w:val="6"/>
        </w:numPr>
        <w:spacing w:after="120"/>
      </w:pPr>
      <w:r>
        <w:t>g</w:t>
      </w:r>
      <w:r w:rsidR="007C142B">
        <w:t>razing land management</w:t>
      </w:r>
      <w:r w:rsidR="00FD7244">
        <w:t xml:space="preserve"> </w:t>
      </w:r>
      <w:r w:rsidR="00B26267">
        <w:t>improvements</w:t>
      </w:r>
    </w:p>
    <w:p w14:paraId="7C5AA35B" w14:textId="77777777" w:rsidR="00FD7244" w:rsidRDefault="007C142B" w:rsidP="00FD7244">
      <w:pPr>
        <w:pStyle w:val="ListParagraph"/>
        <w:numPr>
          <w:ilvl w:val="0"/>
          <w:numId w:val="6"/>
        </w:numPr>
        <w:spacing w:after="120"/>
      </w:pPr>
      <w:r>
        <w:t xml:space="preserve">Traditional Owner engagement </w:t>
      </w:r>
      <w:r w:rsidR="00FD7244">
        <w:t>and training</w:t>
      </w:r>
    </w:p>
    <w:p w14:paraId="12C1CABA" w14:textId="5DF145EE" w:rsidR="00FD7244" w:rsidRDefault="00B26267" w:rsidP="007C142B">
      <w:pPr>
        <w:pStyle w:val="ListParagraph"/>
        <w:numPr>
          <w:ilvl w:val="0"/>
          <w:numId w:val="6"/>
        </w:numPr>
        <w:spacing w:after="120"/>
      </w:pPr>
      <w:r>
        <w:t xml:space="preserve">scientific </w:t>
      </w:r>
      <w:r w:rsidR="00860038">
        <w:t>r</w:t>
      </w:r>
      <w:r w:rsidR="00FD7244">
        <w:t>esearch and monitoring</w:t>
      </w:r>
      <w:r>
        <w:t xml:space="preserve"> to understand the nature of gullies</w:t>
      </w:r>
    </w:p>
    <w:p w14:paraId="0C14AC88" w14:textId="102B948F" w:rsidR="00B26267" w:rsidRDefault="00B26267" w:rsidP="007C142B">
      <w:pPr>
        <w:pStyle w:val="ListParagraph"/>
        <w:numPr>
          <w:ilvl w:val="0"/>
          <w:numId w:val="6"/>
        </w:numPr>
        <w:spacing w:after="120"/>
      </w:pPr>
      <w:r>
        <w:t>communication</w:t>
      </w:r>
    </w:p>
    <w:p w14:paraId="2F8B0382" w14:textId="77777777" w:rsidR="007C142B" w:rsidRDefault="00860038" w:rsidP="007C142B">
      <w:pPr>
        <w:pStyle w:val="ListParagraph"/>
        <w:numPr>
          <w:ilvl w:val="0"/>
          <w:numId w:val="6"/>
        </w:numPr>
        <w:spacing w:after="120"/>
      </w:pPr>
      <w:r>
        <w:t>e</w:t>
      </w:r>
      <w:r w:rsidR="007C142B">
        <w:t xml:space="preserve">mployment and tourism opportunities. </w:t>
      </w:r>
    </w:p>
    <w:p w14:paraId="2038E72E" w14:textId="504E31F0" w:rsidR="00185D39" w:rsidRDefault="00185D39" w:rsidP="00C80F94">
      <w:pPr>
        <w:spacing w:after="120"/>
      </w:pPr>
      <w:r>
        <w:lastRenderedPageBreak/>
        <w:t>The program also includes</w:t>
      </w:r>
      <w:r w:rsidR="007C142B" w:rsidRPr="0030019F">
        <w:t xml:space="preserve"> </w:t>
      </w:r>
      <w:r>
        <w:t xml:space="preserve">work </w:t>
      </w:r>
      <w:r w:rsidR="007C142B" w:rsidRPr="0030019F">
        <w:t>on Springvale Station in Cape York</w:t>
      </w:r>
      <w:r w:rsidR="006D3D6D" w:rsidRPr="0030019F">
        <w:t xml:space="preserve"> which was purchased by the Queensland Government for $7 million. Springvale </w:t>
      </w:r>
      <w:r w:rsidR="005E41FE" w:rsidRPr="0030019F">
        <w:t xml:space="preserve">has </w:t>
      </w:r>
      <w:r w:rsidR="006D3D6D" w:rsidRPr="0030019F">
        <w:t>significant sediment management opportunities as well as terrestrial conservation outcomes</w:t>
      </w:r>
      <w:r w:rsidR="00FD713B" w:rsidRPr="0030019F">
        <w:t xml:space="preserve">, </w:t>
      </w:r>
      <w:r w:rsidR="00956CDA">
        <w:t xml:space="preserve">with 40 per cent of </w:t>
      </w:r>
      <w:r w:rsidR="006D3D6D" w:rsidRPr="0030019F">
        <w:t xml:space="preserve">sediment </w:t>
      </w:r>
      <w:r w:rsidR="00FD713B" w:rsidRPr="0030019F">
        <w:t xml:space="preserve">to the Normanby catchment coming from the property. </w:t>
      </w:r>
    </w:p>
    <w:p w14:paraId="73E2A431" w14:textId="721C6E85" w:rsidR="000E0128" w:rsidRDefault="000E0128" w:rsidP="00C80F94">
      <w:pPr>
        <w:spacing w:after="120"/>
      </w:pPr>
      <w:r w:rsidRPr="0030019F">
        <w:t xml:space="preserve">A number of programs are already in place to improve </w:t>
      </w:r>
      <w:r w:rsidR="00956CDA">
        <w:t xml:space="preserve">riparian and </w:t>
      </w:r>
      <w:r w:rsidRPr="0030019F">
        <w:t xml:space="preserve">grazing land management to prevent future gullies forming and streambanks eroding. </w:t>
      </w:r>
      <w:r w:rsidR="00863F6F" w:rsidRPr="0030019F">
        <w:t xml:space="preserve">The Great Barrier Reef Gully and Streambank Joint Program </w:t>
      </w:r>
      <w:r w:rsidRPr="0030019F">
        <w:t>build</w:t>
      </w:r>
      <w:r w:rsidR="00720A08" w:rsidRPr="0030019F">
        <w:t>s</w:t>
      </w:r>
      <w:r w:rsidR="00956CDA">
        <w:t xml:space="preserve"> upon</w:t>
      </w:r>
      <w:r w:rsidRPr="0030019F">
        <w:t xml:space="preserve"> and complement</w:t>
      </w:r>
      <w:r w:rsidR="00720A08" w:rsidRPr="0030019F">
        <w:t>s</w:t>
      </w:r>
      <w:r w:rsidRPr="0030019F">
        <w:t xml:space="preserve"> th</w:t>
      </w:r>
      <w:r w:rsidR="00863F6F" w:rsidRPr="0030019F">
        <w:t>e</w:t>
      </w:r>
      <w:r w:rsidRPr="0030019F">
        <w:t xml:space="preserve">se activities. In addition, a focus on innovative </w:t>
      </w:r>
      <w:r w:rsidR="00956CDA">
        <w:t xml:space="preserve">remediation </w:t>
      </w:r>
      <w:r w:rsidRPr="0030019F">
        <w:t xml:space="preserve">techniques </w:t>
      </w:r>
      <w:r w:rsidR="00834565" w:rsidRPr="0030019F">
        <w:t xml:space="preserve">will help </w:t>
      </w:r>
      <w:r w:rsidR="00795959" w:rsidRPr="0030019F">
        <w:t>to</w:t>
      </w:r>
      <w:r w:rsidRPr="0030019F">
        <w:t xml:space="preserve"> ensure</w:t>
      </w:r>
      <w:r>
        <w:t xml:space="preserve"> future investments are more cost-effective. </w:t>
      </w:r>
    </w:p>
    <w:p w14:paraId="58C1DBF8" w14:textId="77777777" w:rsidR="000D2D77" w:rsidRDefault="002937EE" w:rsidP="000D2D77">
      <w:pPr>
        <w:rPr>
          <w:b/>
          <w:i/>
        </w:rPr>
      </w:pPr>
      <w:r>
        <w:rPr>
          <w:b/>
        </w:rPr>
        <w:t>Targeting priority areas</w:t>
      </w:r>
    </w:p>
    <w:p w14:paraId="2020A6B7" w14:textId="791C98A5" w:rsidR="000D2D77" w:rsidRDefault="00860114" w:rsidP="000D2D77">
      <w:r>
        <w:t>Previous s</w:t>
      </w:r>
      <w:r w:rsidR="000D2D77">
        <w:t xml:space="preserve">cience has identified the top priority areas for </w:t>
      </w:r>
      <w:r w:rsidR="002937EE">
        <w:t xml:space="preserve">gully and streambank </w:t>
      </w:r>
      <w:r w:rsidR="00956CDA">
        <w:t>remediation</w:t>
      </w:r>
      <w:r w:rsidR="00C96503">
        <w:t xml:space="preserve"> across five of the six reef regions</w:t>
      </w:r>
      <w:r w:rsidR="000D2D77">
        <w:t xml:space="preserve">.  </w:t>
      </w:r>
      <w:r w:rsidR="00036904">
        <w:t>P</w:t>
      </w:r>
      <w:r w:rsidR="000D2D77">
        <w:t>rojects focus on these areas</w:t>
      </w:r>
      <w:r w:rsidR="00036904">
        <w:t xml:space="preserve"> which include the Normanby in</w:t>
      </w:r>
      <w:r w:rsidR="005E6AB4">
        <w:t xml:space="preserve"> </w:t>
      </w:r>
      <w:r w:rsidR="000D2D77">
        <w:t>Cape York</w:t>
      </w:r>
      <w:r w:rsidR="00C76475">
        <w:t>,</w:t>
      </w:r>
      <w:r w:rsidR="00036904">
        <w:t xml:space="preserve"> </w:t>
      </w:r>
      <w:r w:rsidR="00257CD9">
        <w:t xml:space="preserve">the </w:t>
      </w:r>
      <w:r w:rsidR="000D2D77">
        <w:t>Burdekin</w:t>
      </w:r>
      <w:r w:rsidR="00036904">
        <w:t xml:space="preserve"> and Fitzroy</w:t>
      </w:r>
      <w:r w:rsidR="002937EE">
        <w:t xml:space="preserve"> </w:t>
      </w:r>
      <w:r w:rsidR="00036904">
        <w:t xml:space="preserve">regions as well as areas in the Burnett Mary and Mackay Whitsunday. </w:t>
      </w:r>
      <w:r w:rsidR="005E6AB4">
        <w:t xml:space="preserve">  </w:t>
      </w:r>
    </w:p>
    <w:p w14:paraId="1FA88A5B" w14:textId="77777777" w:rsidR="000D2D77" w:rsidRDefault="00670ED0" w:rsidP="000D2D77">
      <w:pPr>
        <w:rPr>
          <w:rFonts w:cs="Arial"/>
          <w:bCs/>
        </w:rPr>
      </w:pPr>
      <w:r>
        <w:rPr>
          <w:b/>
        </w:rPr>
        <w:t>Guided by t</w:t>
      </w:r>
      <w:r w:rsidRPr="00670ED0">
        <w:rPr>
          <w:b/>
        </w:rPr>
        <w:t xml:space="preserve">echnical expertise </w:t>
      </w:r>
      <w:r w:rsidR="000D2D77" w:rsidRPr="00670ED0">
        <w:rPr>
          <w:b/>
        </w:rPr>
        <w:t xml:space="preserve"> </w:t>
      </w:r>
    </w:p>
    <w:p w14:paraId="1FD090AA" w14:textId="18C28611" w:rsidR="000D2D77" w:rsidRPr="005610FE" w:rsidRDefault="00670ED0" w:rsidP="000D2D77">
      <w:pPr>
        <w:rPr>
          <w:rFonts w:cs="Arial"/>
          <w:bCs/>
        </w:rPr>
      </w:pPr>
      <w:r>
        <w:rPr>
          <w:rFonts w:cs="Arial"/>
          <w:bCs/>
        </w:rPr>
        <w:t xml:space="preserve">The Great Barrier Reef Gully and Streambank Joint Program is guided by </w:t>
      </w:r>
      <w:r w:rsidR="00B239E3">
        <w:rPr>
          <w:rFonts w:cs="Arial"/>
          <w:bCs/>
        </w:rPr>
        <w:t>t</w:t>
      </w:r>
      <w:r w:rsidR="0017677D">
        <w:rPr>
          <w:rFonts w:cs="Arial"/>
          <w:bCs/>
        </w:rPr>
        <w:t>he Sediment Working Group</w:t>
      </w:r>
      <w:r w:rsidR="00B239E3">
        <w:rPr>
          <w:rFonts w:cs="Arial"/>
          <w:bCs/>
        </w:rPr>
        <w:t>, which</w:t>
      </w:r>
      <w:r w:rsidR="00B716FE">
        <w:rPr>
          <w:rFonts w:cs="Arial"/>
          <w:bCs/>
        </w:rPr>
        <w:t xml:space="preserve"> provides technical, policy and strategic input into how best to tackle gully and streambank remediation to maximise on the ground actions. </w:t>
      </w:r>
      <w:r w:rsidR="00257CD9">
        <w:rPr>
          <w:rFonts w:cs="Arial"/>
          <w:bCs/>
        </w:rPr>
        <w:br/>
      </w:r>
      <w:r>
        <w:rPr>
          <w:rFonts w:cs="Arial"/>
          <w:bCs/>
        </w:rPr>
        <w:br/>
      </w:r>
      <w:r w:rsidR="0017677D">
        <w:rPr>
          <w:rFonts w:cs="Arial"/>
          <w:bCs/>
        </w:rPr>
        <w:t xml:space="preserve">The working group </w:t>
      </w:r>
      <w:r w:rsidR="000D2D77" w:rsidRPr="005610FE">
        <w:rPr>
          <w:rFonts w:cs="Arial"/>
          <w:bCs/>
        </w:rPr>
        <w:t>draws on in-kind support from across government, resea</w:t>
      </w:r>
      <w:r w:rsidR="000D2D77">
        <w:rPr>
          <w:rFonts w:cs="Arial"/>
          <w:bCs/>
        </w:rPr>
        <w:t xml:space="preserve">rchers and investment programs </w:t>
      </w:r>
      <w:r w:rsidR="00B716FE">
        <w:rPr>
          <w:rFonts w:cs="Arial"/>
          <w:bCs/>
        </w:rPr>
        <w:t>and works to support:</w:t>
      </w:r>
    </w:p>
    <w:p w14:paraId="1F4A87CD" w14:textId="488C87B5" w:rsidR="000D2D77" w:rsidRPr="005610FE" w:rsidRDefault="000D2D77" w:rsidP="000D2D77">
      <w:pPr>
        <w:pStyle w:val="ListParagraph"/>
        <w:numPr>
          <w:ilvl w:val="0"/>
          <w:numId w:val="5"/>
        </w:numPr>
        <w:spacing w:after="120"/>
      </w:pPr>
      <w:r w:rsidRPr="005610FE">
        <w:rPr>
          <w:rFonts w:cs="Arial"/>
          <w:bCs/>
        </w:rPr>
        <w:t>consensus on understanding and management options for hillslope, gully and bank erosion in G</w:t>
      </w:r>
      <w:r w:rsidR="00B716FE">
        <w:rPr>
          <w:rFonts w:cs="Arial"/>
          <w:bCs/>
        </w:rPr>
        <w:t xml:space="preserve">reat </w:t>
      </w:r>
      <w:r w:rsidRPr="005610FE">
        <w:rPr>
          <w:rFonts w:cs="Arial"/>
          <w:bCs/>
        </w:rPr>
        <w:t>B</w:t>
      </w:r>
      <w:r w:rsidR="00B716FE">
        <w:rPr>
          <w:rFonts w:cs="Arial"/>
          <w:bCs/>
        </w:rPr>
        <w:t xml:space="preserve">arrier </w:t>
      </w:r>
      <w:r w:rsidRPr="005610FE">
        <w:rPr>
          <w:rFonts w:cs="Arial"/>
          <w:bCs/>
        </w:rPr>
        <w:t>R</w:t>
      </w:r>
      <w:r w:rsidR="00B716FE">
        <w:rPr>
          <w:rFonts w:cs="Arial"/>
          <w:bCs/>
        </w:rPr>
        <w:t>eef</w:t>
      </w:r>
      <w:r w:rsidRPr="005610FE">
        <w:rPr>
          <w:rFonts w:cs="Arial"/>
          <w:bCs/>
        </w:rPr>
        <w:t xml:space="preserve"> catchments</w:t>
      </w:r>
      <w:r w:rsidRPr="005610FE">
        <w:t>; including priority areas to focus remediation activities</w:t>
      </w:r>
    </w:p>
    <w:p w14:paraId="0948863D" w14:textId="77777777" w:rsidR="000D2D77" w:rsidRPr="005610FE" w:rsidRDefault="000D2D77" w:rsidP="000D2D77">
      <w:pPr>
        <w:pStyle w:val="ListParagraph"/>
        <w:numPr>
          <w:ilvl w:val="0"/>
          <w:numId w:val="5"/>
        </w:numPr>
        <w:spacing w:after="120"/>
      </w:pPr>
      <w:r w:rsidRPr="005610FE">
        <w:t>consistency in monitoring and evaluation of commissioned projects</w:t>
      </w:r>
    </w:p>
    <w:p w14:paraId="3E527F91" w14:textId="3DDC53ED" w:rsidR="000D2D77" w:rsidRDefault="000D2D77" w:rsidP="000D2D77">
      <w:pPr>
        <w:pStyle w:val="ListParagraph"/>
        <w:numPr>
          <w:ilvl w:val="0"/>
          <w:numId w:val="5"/>
        </w:numPr>
        <w:spacing w:after="120"/>
      </w:pPr>
      <w:r w:rsidRPr="005610FE">
        <w:t xml:space="preserve">a </w:t>
      </w:r>
      <w:r w:rsidR="00F47BC3" w:rsidRPr="005610FE">
        <w:t>framework and</w:t>
      </w:r>
      <w:r w:rsidRPr="005610FE">
        <w:t xml:space="preserve"> process to </w:t>
      </w:r>
      <w:r w:rsidR="00F47BC3" w:rsidRPr="005610FE">
        <w:t>synthesise and</w:t>
      </w:r>
      <w:r w:rsidRPr="005610FE">
        <w:t xml:space="preserve"> communicate learnings (including the update of the 2013 Scientific Consensus statement) to underpin </w:t>
      </w:r>
      <w:r w:rsidR="001352C3">
        <w:t xml:space="preserve">an </w:t>
      </w:r>
      <w:r w:rsidRPr="005610FE">
        <w:t>adaptive management approach.</w:t>
      </w:r>
    </w:p>
    <w:p w14:paraId="7DF4BA5C" w14:textId="4C19C706" w:rsidR="00885E12" w:rsidRPr="008B79F8" w:rsidRDefault="00720A08" w:rsidP="00C80F94">
      <w:pPr>
        <w:spacing w:after="120"/>
        <w:rPr>
          <w:b/>
          <w:color w:val="1F497D" w:themeColor="text2"/>
          <w:sz w:val="28"/>
          <w:szCs w:val="28"/>
        </w:rPr>
      </w:pPr>
      <w:r w:rsidRPr="008B79F8">
        <w:rPr>
          <w:b/>
          <w:color w:val="1F497D" w:themeColor="text2"/>
          <w:sz w:val="28"/>
          <w:szCs w:val="28"/>
        </w:rPr>
        <w:t>The i</w:t>
      </w:r>
      <w:r w:rsidR="002B4894" w:rsidRPr="008B79F8">
        <w:rPr>
          <w:b/>
          <w:color w:val="1F497D" w:themeColor="text2"/>
          <w:sz w:val="28"/>
          <w:szCs w:val="28"/>
        </w:rPr>
        <w:t>nvestment</w:t>
      </w:r>
      <w:r w:rsidRPr="008B79F8">
        <w:rPr>
          <w:b/>
          <w:color w:val="1F497D" w:themeColor="text2"/>
          <w:sz w:val="28"/>
          <w:szCs w:val="28"/>
        </w:rPr>
        <w:t xml:space="preserve">: </w:t>
      </w:r>
      <w:r w:rsidR="00D36034">
        <w:rPr>
          <w:b/>
          <w:color w:val="1F497D" w:themeColor="text2"/>
          <w:sz w:val="28"/>
          <w:szCs w:val="28"/>
        </w:rPr>
        <w:t>A</w:t>
      </w:r>
      <w:r w:rsidR="00AE5CFE">
        <w:rPr>
          <w:b/>
          <w:color w:val="1F497D" w:themeColor="text2"/>
          <w:sz w:val="28"/>
          <w:szCs w:val="28"/>
        </w:rPr>
        <w:t>pproximately</w:t>
      </w:r>
      <w:r w:rsidR="006C3811" w:rsidRPr="008B79F8">
        <w:rPr>
          <w:b/>
          <w:color w:val="1F497D" w:themeColor="text2"/>
          <w:sz w:val="28"/>
          <w:szCs w:val="28"/>
        </w:rPr>
        <w:t xml:space="preserve"> $45 million over six years</w:t>
      </w:r>
    </w:p>
    <w:p w14:paraId="309E4FB6" w14:textId="49D92601" w:rsidR="006D3D6D" w:rsidRDefault="00720A08" w:rsidP="002B4894">
      <w:pPr>
        <w:spacing w:after="120"/>
      </w:pPr>
      <w:r>
        <w:t>The program brings together government, corporate and philanthropic funding in a way</w:t>
      </w:r>
      <w:r w:rsidR="00863F6F">
        <w:t>,</w:t>
      </w:r>
      <w:r>
        <w:t xml:space="preserve"> and at a scale, not done be</w:t>
      </w:r>
      <w:r w:rsidR="00063915">
        <w:t>fore for the Great Barrier Reef</w:t>
      </w:r>
      <w:r w:rsidR="0045455B">
        <w:t>, to deliver a cohesive joint program of gully an</w:t>
      </w:r>
      <w:r w:rsidR="008624CF">
        <w:t>d streambank remediation</w:t>
      </w:r>
      <w:r w:rsidR="006D3D6D">
        <w:t xml:space="preserve"> work.</w:t>
      </w:r>
    </w:p>
    <w:p w14:paraId="4464CF5C" w14:textId="2002C90E" w:rsidR="00B57AC0" w:rsidRDefault="00AE5CFE" w:rsidP="002B4894">
      <w:pPr>
        <w:spacing w:after="120"/>
      </w:pPr>
      <w:r>
        <w:t>Approximately</w:t>
      </w:r>
      <w:r w:rsidR="00720A08">
        <w:t xml:space="preserve"> $45 million </w:t>
      </w:r>
      <w:r w:rsidR="00063915">
        <w:t>is expected to be</w:t>
      </w:r>
      <w:r w:rsidR="00720A08">
        <w:t xml:space="preserve"> i</w:t>
      </w:r>
      <w:r w:rsidR="00063915">
        <w:t xml:space="preserve">nvested over the next six years </w:t>
      </w:r>
      <w:r w:rsidR="004C4777">
        <w:t xml:space="preserve">from </w:t>
      </w:r>
      <w:r w:rsidR="0069099D">
        <w:t xml:space="preserve">both the Australian and Queensland </w:t>
      </w:r>
      <w:r w:rsidR="008624CF">
        <w:t>g</w:t>
      </w:r>
      <w:r w:rsidR="0069099D">
        <w:t>overnments as well as non-government organisations</w:t>
      </w:r>
      <w:r w:rsidR="004C4777">
        <w:t xml:space="preserve">, </w:t>
      </w:r>
      <w:r w:rsidR="00063915">
        <w:t xml:space="preserve">with the </w:t>
      </w:r>
      <w:r w:rsidR="007E091D">
        <w:t xml:space="preserve">umbrella </w:t>
      </w:r>
      <w:r w:rsidR="00063915">
        <w:t xml:space="preserve">program setting </w:t>
      </w:r>
      <w:r w:rsidR="00720A08">
        <w:t xml:space="preserve">the foundation for greater collaborative efforts into the future. </w:t>
      </w:r>
    </w:p>
    <w:p w14:paraId="6A73D8E2" w14:textId="77777777" w:rsidR="002B4894" w:rsidRDefault="00777AD4" w:rsidP="002B4894">
      <w:pPr>
        <w:spacing w:after="120"/>
      </w:pPr>
      <w:r>
        <w:t>Key investments include:</w:t>
      </w:r>
    </w:p>
    <w:p w14:paraId="2E94B8A7" w14:textId="0B4ED4D1" w:rsidR="006D3D6D" w:rsidRDefault="00794AC2" w:rsidP="008624CF">
      <w:pPr>
        <w:pStyle w:val="ListParagraph"/>
        <w:numPr>
          <w:ilvl w:val="0"/>
          <w:numId w:val="7"/>
        </w:numPr>
        <w:spacing w:after="120"/>
        <w:ind w:left="360"/>
      </w:pPr>
      <w:r>
        <w:t>a</w:t>
      </w:r>
      <w:r w:rsidR="00777AD4">
        <w:t xml:space="preserve"> project between Greening Australia </w:t>
      </w:r>
      <w:r w:rsidR="00F34224">
        <w:t xml:space="preserve">and the </w:t>
      </w:r>
      <w:r w:rsidR="00777AD4">
        <w:t xml:space="preserve">Queensland Government to trial innovative gully remediation techniques </w:t>
      </w:r>
      <w:r w:rsidR="00F34224">
        <w:t xml:space="preserve">funded through the Great </w:t>
      </w:r>
      <w:r w:rsidR="008624CF">
        <w:t xml:space="preserve">Barrier </w:t>
      </w:r>
      <w:r w:rsidR="00777AD4">
        <w:t>Reef Innovation Fund ($2 million each)</w:t>
      </w:r>
    </w:p>
    <w:p w14:paraId="1A7CBA02" w14:textId="5E02479E" w:rsidR="00056190" w:rsidRDefault="00056190" w:rsidP="008624CF">
      <w:pPr>
        <w:pStyle w:val="ListParagraph"/>
        <w:numPr>
          <w:ilvl w:val="0"/>
          <w:numId w:val="7"/>
        </w:numPr>
        <w:spacing w:after="120"/>
        <w:ind w:left="360"/>
      </w:pPr>
      <w:r>
        <w:t xml:space="preserve">$8 million </w:t>
      </w:r>
      <w:r w:rsidR="00CE22CE">
        <w:t xml:space="preserve">through the Australian Government Reef Trust phase 2 </w:t>
      </w:r>
      <w:r w:rsidR="00794AC2">
        <w:t xml:space="preserve">for </w:t>
      </w:r>
      <w:r>
        <w:t xml:space="preserve">gully </w:t>
      </w:r>
      <w:r w:rsidR="004A1558">
        <w:t xml:space="preserve">restoration </w:t>
      </w:r>
      <w:r>
        <w:t xml:space="preserve">projects </w:t>
      </w:r>
      <w:r w:rsidR="00794AC2">
        <w:t>in priority areas in the Burdekin, Fitzroy, Burnett Mary and Cape York natural resource management regions</w:t>
      </w:r>
    </w:p>
    <w:p w14:paraId="3DF8A250" w14:textId="6918E5F5" w:rsidR="001F3E65" w:rsidRDefault="00777AD4" w:rsidP="008624CF">
      <w:pPr>
        <w:pStyle w:val="ListParagraph"/>
        <w:numPr>
          <w:ilvl w:val="0"/>
          <w:numId w:val="7"/>
        </w:numPr>
        <w:spacing w:after="120"/>
        <w:ind w:left="360"/>
      </w:pPr>
      <w:r>
        <w:t>$20 million</w:t>
      </w:r>
      <w:r w:rsidR="00F34224">
        <w:t xml:space="preserve"> </w:t>
      </w:r>
      <w:r w:rsidR="00C86DB0">
        <w:t xml:space="preserve">through the </w:t>
      </w:r>
      <w:r w:rsidR="00F34224">
        <w:t>Australian Government</w:t>
      </w:r>
      <w:r>
        <w:t xml:space="preserve"> Reef Trust phase 4 </w:t>
      </w:r>
      <w:r w:rsidR="00BA158E">
        <w:t>competitive grants round</w:t>
      </w:r>
      <w:r w:rsidR="00EA22A2">
        <w:t xml:space="preserve"> </w:t>
      </w:r>
      <w:r>
        <w:t xml:space="preserve">for gully and streambank restoration </w:t>
      </w:r>
      <w:r w:rsidR="00BA158E">
        <w:t>in priority areas</w:t>
      </w:r>
    </w:p>
    <w:p w14:paraId="0677AAC3" w14:textId="57225073" w:rsidR="00BF1D9F" w:rsidRDefault="00BA158E" w:rsidP="008624CF">
      <w:pPr>
        <w:pStyle w:val="ListParagraph"/>
        <w:numPr>
          <w:ilvl w:val="0"/>
          <w:numId w:val="7"/>
        </w:numPr>
        <w:spacing w:after="120"/>
        <w:ind w:left="360"/>
      </w:pPr>
      <w:r>
        <w:lastRenderedPageBreak/>
        <w:t>a</w:t>
      </w:r>
      <w:r w:rsidR="00BF1D9F">
        <w:t xml:space="preserve"> northern reef recovery project focused on </w:t>
      </w:r>
      <w:r w:rsidR="00794AC2">
        <w:t xml:space="preserve">remediation in </w:t>
      </w:r>
      <w:r w:rsidR="00BF1D9F">
        <w:t xml:space="preserve">Cape York </w:t>
      </w:r>
      <w:r w:rsidR="00794AC2">
        <w:t xml:space="preserve">delivered through a </w:t>
      </w:r>
      <w:r w:rsidR="00BF1D9F">
        <w:t xml:space="preserve">Great </w:t>
      </w:r>
      <w:r w:rsidR="00794AC2">
        <w:t xml:space="preserve">Barrier Reef Foundation and </w:t>
      </w:r>
      <w:r w:rsidR="00BF1D9F">
        <w:t>Queensland Government</w:t>
      </w:r>
      <w:r w:rsidR="00794AC2">
        <w:t xml:space="preserve"> partnership </w:t>
      </w:r>
      <w:r w:rsidR="00BF1D9F">
        <w:t>(</w:t>
      </w:r>
      <w:r w:rsidR="001A260C">
        <w:t xml:space="preserve">up to </w:t>
      </w:r>
      <w:r w:rsidR="00BF1D9F">
        <w:t xml:space="preserve">$3 million each) </w:t>
      </w:r>
    </w:p>
    <w:p w14:paraId="37DEAA32" w14:textId="13F50FAB" w:rsidR="00C80F94" w:rsidRPr="00BA158E" w:rsidRDefault="0049228D" w:rsidP="008624CF">
      <w:pPr>
        <w:pStyle w:val="ListParagraph"/>
        <w:numPr>
          <w:ilvl w:val="0"/>
          <w:numId w:val="7"/>
        </w:numPr>
        <w:spacing w:after="120"/>
        <w:ind w:left="360"/>
      </w:pPr>
      <w:r w:rsidRPr="001F3E65">
        <w:rPr>
          <w:rFonts w:cstheme="minorHAnsi"/>
        </w:rPr>
        <w:t>Queensland Government funding for gully and streambank management and remediation as part of the major integrated project in t</w:t>
      </w:r>
      <w:r w:rsidR="008624CF">
        <w:rPr>
          <w:rFonts w:cstheme="minorHAnsi"/>
        </w:rPr>
        <w:t>he Bowen-Bogie-Broken catchment</w:t>
      </w:r>
      <w:r w:rsidR="001A260C">
        <w:rPr>
          <w:rFonts w:cstheme="minorHAnsi"/>
        </w:rPr>
        <w:t xml:space="preserve"> (funding to be determined</w:t>
      </w:r>
      <w:r w:rsidR="00B6607E">
        <w:rPr>
          <w:rFonts w:cstheme="minorHAnsi"/>
        </w:rPr>
        <w:t xml:space="preserve">– </w:t>
      </w:r>
      <w:r w:rsidR="00AC4355">
        <w:rPr>
          <w:rFonts w:cstheme="minorHAnsi"/>
        </w:rPr>
        <w:t xml:space="preserve">tentatively </w:t>
      </w:r>
      <w:r w:rsidR="00B6607E">
        <w:rPr>
          <w:rFonts w:cstheme="minorHAnsi"/>
        </w:rPr>
        <w:t>$5 million</w:t>
      </w:r>
      <w:r w:rsidR="001A260C">
        <w:rPr>
          <w:rFonts w:cstheme="minorHAnsi"/>
        </w:rPr>
        <w:t>)</w:t>
      </w:r>
    </w:p>
    <w:p w14:paraId="59BDABC9" w14:textId="665C7E13" w:rsidR="00BA158E" w:rsidRDefault="00FC51AB" w:rsidP="008624CF">
      <w:pPr>
        <w:pStyle w:val="ListParagraph"/>
        <w:numPr>
          <w:ilvl w:val="0"/>
          <w:numId w:val="7"/>
        </w:numPr>
        <w:spacing w:after="120"/>
        <w:ind w:left="360"/>
      </w:pPr>
      <w:r>
        <w:t>$700</w:t>
      </w:r>
      <w:r w:rsidR="00BA158E">
        <w:t>,000  through the Australian Government National Environment Science Programme, with contributions of $820,000 from CSIRO and $130,000 from Griffith University</w:t>
      </w:r>
      <w:r w:rsidR="00F64945">
        <w:t xml:space="preserve"> for alluvial remediation and evaluation of gully remediation</w:t>
      </w:r>
    </w:p>
    <w:p w14:paraId="0CAB777D" w14:textId="79C2F25F" w:rsidR="00EA22A2" w:rsidRPr="001F3E65" w:rsidRDefault="00BA158E" w:rsidP="00186BB8">
      <w:pPr>
        <w:pStyle w:val="ListParagraph"/>
        <w:numPr>
          <w:ilvl w:val="0"/>
          <w:numId w:val="7"/>
        </w:numPr>
        <w:spacing w:after="120"/>
        <w:ind w:left="360"/>
      </w:pPr>
      <w:r>
        <w:rPr>
          <w:rFonts w:cstheme="minorHAnsi"/>
        </w:rPr>
        <w:t>$</w:t>
      </w:r>
      <w:r w:rsidR="00A6518D">
        <w:rPr>
          <w:rFonts w:cstheme="minorHAnsi"/>
        </w:rPr>
        <w:t>1 million</w:t>
      </w:r>
      <w:r w:rsidR="00686C9F">
        <w:rPr>
          <w:rFonts w:cstheme="minorHAnsi"/>
        </w:rPr>
        <w:t xml:space="preserve"> </w:t>
      </w:r>
      <w:r>
        <w:rPr>
          <w:rFonts w:cstheme="minorHAnsi"/>
        </w:rPr>
        <w:t xml:space="preserve">through </w:t>
      </w:r>
      <w:r w:rsidR="00EA22A2" w:rsidRPr="00BA158E">
        <w:rPr>
          <w:rFonts w:cstheme="minorHAnsi"/>
        </w:rPr>
        <w:t xml:space="preserve">the Queensland Government </w:t>
      </w:r>
      <w:r w:rsidR="007B0680">
        <w:rPr>
          <w:rFonts w:cstheme="minorHAnsi"/>
        </w:rPr>
        <w:t xml:space="preserve">Reef </w:t>
      </w:r>
      <w:r w:rsidR="00EA22A2" w:rsidRPr="00BA158E">
        <w:rPr>
          <w:rFonts w:cstheme="minorHAnsi"/>
        </w:rPr>
        <w:t>Water Quality Science Program</w:t>
      </w:r>
      <w:r w:rsidR="00A6518D">
        <w:rPr>
          <w:rFonts w:cstheme="minorHAnsi"/>
        </w:rPr>
        <w:t xml:space="preserve"> for sediment projects and research in the</w:t>
      </w:r>
      <w:r w:rsidR="00F64945">
        <w:rPr>
          <w:rFonts w:cstheme="minorHAnsi"/>
        </w:rPr>
        <w:t xml:space="preserve"> Fitzroy and Burdekin regions</w:t>
      </w:r>
      <w:r w:rsidR="00EA22A2" w:rsidRPr="00BA158E">
        <w:rPr>
          <w:rFonts w:cstheme="minorHAnsi"/>
        </w:rPr>
        <w:t xml:space="preserve">.  </w:t>
      </w:r>
    </w:p>
    <w:p w14:paraId="2913B02E" w14:textId="77777777" w:rsidR="00885E12" w:rsidRPr="00186BB8" w:rsidRDefault="00091FAA" w:rsidP="00C80F94">
      <w:pPr>
        <w:spacing w:after="120"/>
        <w:rPr>
          <w:b/>
        </w:rPr>
      </w:pPr>
      <w:r w:rsidRPr="00186BB8">
        <w:rPr>
          <w:b/>
        </w:rPr>
        <w:t xml:space="preserve">Current </w:t>
      </w:r>
      <w:r w:rsidR="00F34224" w:rsidRPr="00186BB8">
        <w:rPr>
          <w:b/>
        </w:rPr>
        <w:t xml:space="preserve">investment </w:t>
      </w:r>
      <w:r w:rsidRPr="00186BB8">
        <w:rPr>
          <w:b/>
        </w:rPr>
        <w:t>for gully and streambank remediation in the G</w:t>
      </w:r>
      <w:r w:rsidR="00F34224" w:rsidRPr="00186BB8">
        <w:rPr>
          <w:b/>
        </w:rPr>
        <w:t xml:space="preserve">reat </w:t>
      </w:r>
      <w:r w:rsidRPr="00186BB8">
        <w:rPr>
          <w:b/>
        </w:rPr>
        <w:t>B</w:t>
      </w:r>
      <w:r w:rsidR="00F34224" w:rsidRPr="00186BB8">
        <w:rPr>
          <w:b/>
        </w:rPr>
        <w:t xml:space="preserve">arrier </w:t>
      </w:r>
      <w:r w:rsidRPr="00186BB8">
        <w:rPr>
          <w:b/>
        </w:rPr>
        <w:t>R</w:t>
      </w:r>
      <w:r w:rsidR="00F34224" w:rsidRPr="00186BB8">
        <w:rPr>
          <w:b/>
        </w:rPr>
        <w:t>eef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976"/>
        <w:gridCol w:w="1418"/>
        <w:gridCol w:w="1417"/>
        <w:gridCol w:w="1560"/>
        <w:gridCol w:w="1559"/>
      </w:tblGrid>
      <w:tr w:rsidR="000E3741" w:rsidRPr="000E3741" w14:paraId="418C0F24" w14:textId="77777777" w:rsidTr="0090376F">
        <w:tc>
          <w:tcPr>
            <w:tcW w:w="1419" w:type="dxa"/>
            <w:shd w:val="clear" w:color="auto" w:fill="1F497D" w:themeFill="text2"/>
          </w:tcPr>
          <w:p w14:paraId="735AB045" w14:textId="3A019CC0" w:rsidR="000E3741" w:rsidRPr="0090376F" w:rsidRDefault="005C27D5" w:rsidP="00E57C60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0376F">
              <w:rPr>
                <w:b/>
                <w:color w:val="FFFFFF" w:themeColor="background1"/>
                <w:sz w:val="20"/>
                <w:szCs w:val="20"/>
              </w:rPr>
              <w:t>Funding s</w:t>
            </w:r>
            <w:r w:rsidR="000E3741" w:rsidRPr="0090376F">
              <w:rPr>
                <w:b/>
                <w:color w:val="FFFFFF" w:themeColor="background1"/>
                <w:sz w:val="20"/>
                <w:szCs w:val="20"/>
              </w:rPr>
              <w:t xml:space="preserve">ource </w:t>
            </w:r>
          </w:p>
        </w:tc>
        <w:tc>
          <w:tcPr>
            <w:tcW w:w="2976" w:type="dxa"/>
            <w:shd w:val="clear" w:color="auto" w:fill="1F497D" w:themeFill="text2"/>
          </w:tcPr>
          <w:p w14:paraId="792945EB" w14:textId="77777777" w:rsidR="000E3741" w:rsidRPr="0090376F" w:rsidRDefault="000E3741" w:rsidP="00E57C60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0376F">
              <w:rPr>
                <w:b/>
                <w:color w:val="FFFFFF" w:themeColor="background1"/>
                <w:sz w:val="20"/>
                <w:szCs w:val="20"/>
              </w:rPr>
              <w:t xml:space="preserve">Initiative </w:t>
            </w:r>
          </w:p>
        </w:tc>
        <w:tc>
          <w:tcPr>
            <w:tcW w:w="1418" w:type="dxa"/>
            <w:shd w:val="clear" w:color="auto" w:fill="1F497D" w:themeFill="text2"/>
          </w:tcPr>
          <w:p w14:paraId="3F6C3624" w14:textId="647EC7B9" w:rsidR="000E3741" w:rsidRPr="0090376F" w:rsidRDefault="005C27D5" w:rsidP="00E57C60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0376F">
              <w:rPr>
                <w:b/>
                <w:color w:val="FFFFFF" w:themeColor="background1"/>
                <w:sz w:val="20"/>
                <w:szCs w:val="20"/>
              </w:rPr>
              <w:t>Area/location</w:t>
            </w:r>
          </w:p>
        </w:tc>
        <w:tc>
          <w:tcPr>
            <w:tcW w:w="1417" w:type="dxa"/>
            <w:shd w:val="clear" w:color="auto" w:fill="1F497D" w:themeFill="text2"/>
          </w:tcPr>
          <w:p w14:paraId="3565E0F7" w14:textId="77777777" w:rsidR="000E3741" w:rsidRPr="0090376F" w:rsidRDefault="000E3741" w:rsidP="00570890">
            <w:pPr>
              <w:ind w:right="-136"/>
              <w:rPr>
                <w:b/>
                <w:color w:val="FFFFFF" w:themeColor="background1"/>
                <w:sz w:val="20"/>
                <w:szCs w:val="20"/>
              </w:rPr>
            </w:pPr>
            <w:r w:rsidRPr="0090376F">
              <w:rPr>
                <w:b/>
                <w:color w:val="FFFFFF" w:themeColor="background1"/>
                <w:sz w:val="20"/>
                <w:szCs w:val="20"/>
              </w:rPr>
              <w:t xml:space="preserve">Government funds </w:t>
            </w:r>
          </w:p>
        </w:tc>
        <w:tc>
          <w:tcPr>
            <w:tcW w:w="1560" w:type="dxa"/>
            <w:shd w:val="clear" w:color="auto" w:fill="1F497D" w:themeFill="text2"/>
          </w:tcPr>
          <w:p w14:paraId="20742E10" w14:textId="77777777" w:rsidR="000E3741" w:rsidRPr="0090376F" w:rsidRDefault="000E3741" w:rsidP="00E57C60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0376F">
              <w:rPr>
                <w:b/>
                <w:color w:val="FFFFFF" w:themeColor="background1"/>
                <w:sz w:val="20"/>
                <w:szCs w:val="20"/>
              </w:rPr>
              <w:t xml:space="preserve">Matched by </w:t>
            </w:r>
          </w:p>
        </w:tc>
        <w:tc>
          <w:tcPr>
            <w:tcW w:w="1559" w:type="dxa"/>
            <w:shd w:val="clear" w:color="auto" w:fill="1F497D" w:themeFill="text2"/>
          </w:tcPr>
          <w:p w14:paraId="2417D67C" w14:textId="77777777" w:rsidR="000E3741" w:rsidRPr="0090376F" w:rsidRDefault="000E3741" w:rsidP="00E57C60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0376F">
              <w:rPr>
                <w:b/>
                <w:color w:val="FFFFFF" w:themeColor="background1"/>
                <w:sz w:val="20"/>
                <w:szCs w:val="20"/>
              </w:rPr>
              <w:t xml:space="preserve">Matching funds </w:t>
            </w:r>
          </w:p>
        </w:tc>
      </w:tr>
      <w:tr w:rsidR="000E3741" w:rsidRPr="000E3741" w14:paraId="617ABE8E" w14:textId="77777777" w:rsidTr="001F486F">
        <w:tc>
          <w:tcPr>
            <w:tcW w:w="1419" w:type="dxa"/>
            <w:vMerge w:val="restart"/>
          </w:tcPr>
          <w:p w14:paraId="352DA57B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 xml:space="preserve">Queensland Government </w:t>
            </w:r>
          </w:p>
        </w:tc>
        <w:tc>
          <w:tcPr>
            <w:tcW w:w="2976" w:type="dxa"/>
          </w:tcPr>
          <w:p w14:paraId="33322B83" w14:textId="7D9944AA" w:rsidR="000E3741" w:rsidRPr="000E3741" w:rsidRDefault="00B239E3" w:rsidP="00B23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Innovative </w:t>
            </w:r>
            <w:r w:rsidR="00C032FF">
              <w:rPr>
                <w:sz w:val="20"/>
                <w:szCs w:val="20"/>
              </w:rPr>
              <w:t xml:space="preserve">Gully Remediation </w:t>
            </w:r>
            <w:r>
              <w:rPr>
                <w:sz w:val="20"/>
                <w:szCs w:val="20"/>
              </w:rPr>
              <w:t xml:space="preserve">Project </w:t>
            </w:r>
            <w:r w:rsidR="00C032FF">
              <w:rPr>
                <w:sz w:val="20"/>
                <w:szCs w:val="20"/>
              </w:rPr>
              <w:t xml:space="preserve"> </w:t>
            </w:r>
            <w:r w:rsidR="000E3741" w:rsidRPr="000E37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6BC138A" w14:textId="7D58AA83" w:rsidR="000E3741" w:rsidRPr="000E3741" w:rsidRDefault="00D3448C" w:rsidP="00D34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Burdekin </w:t>
            </w:r>
            <w:r w:rsidR="005C27D5">
              <w:rPr>
                <w:sz w:val="20"/>
                <w:szCs w:val="20"/>
              </w:rPr>
              <w:t>region</w:t>
            </w:r>
          </w:p>
        </w:tc>
        <w:tc>
          <w:tcPr>
            <w:tcW w:w="1417" w:type="dxa"/>
          </w:tcPr>
          <w:p w14:paraId="18464B89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$2M</w:t>
            </w:r>
          </w:p>
        </w:tc>
        <w:tc>
          <w:tcPr>
            <w:tcW w:w="1560" w:type="dxa"/>
          </w:tcPr>
          <w:p w14:paraId="5BCC754C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 xml:space="preserve">Greening Australia </w:t>
            </w:r>
          </w:p>
        </w:tc>
        <w:tc>
          <w:tcPr>
            <w:tcW w:w="1559" w:type="dxa"/>
          </w:tcPr>
          <w:p w14:paraId="4DBCDD18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$2M</w:t>
            </w:r>
          </w:p>
        </w:tc>
      </w:tr>
      <w:tr w:rsidR="000E3741" w:rsidRPr="000E3741" w14:paraId="101C1FF4" w14:textId="77777777" w:rsidTr="001F486F">
        <w:tc>
          <w:tcPr>
            <w:tcW w:w="1419" w:type="dxa"/>
            <w:vMerge/>
          </w:tcPr>
          <w:p w14:paraId="3CED2973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15BEEC6" w14:textId="77777777" w:rsidR="000E3741" w:rsidRPr="000E3741" w:rsidRDefault="00B20F4E" w:rsidP="00B20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Reef Recovery Project</w:t>
            </w:r>
            <w:r w:rsidR="000E3741" w:rsidRPr="000E37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E42580" w14:textId="1CCDA762" w:rsidR="000E3741" w:rsidRPr="000E3741" w:rsidRDefault="000D7247" w:rsidP="000D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Normanby catchment</w:t>
            </w:r>
            <w:r w:rsidRPr="000E3741">
              <w:rPr>
                <w:sz w:val="20"/>
                <w:szCs w:val="20"/>
              </w:rPr>
              <w:t xml:space="preserve"> and broader </w:t>
            </w:r>
            <w:r>
              <w:rPr>
                <w:sz w:val="20"/>
                <w:szCs w:val="20"/>
              </w:rPr>
              <w:t xml:space="preserve">eastern </w:t>
            </w:r>
            <w:r w:rsidRPr="000E3741">
              <w:rPr>
                <w:sz w:val="20"/>
                <w:szCs w:val="20"/>
              </w:rPr>
              <w:t xml:space="preserve">Cape York </w:t>
            </w:r>
          </w:p>
        </w:tc>
        <w:tc>
          <w:tcPr>
            <w:tcW w:w="1417" w:type="dxa"/>
          </w:tcPr>
          <w:p w14:paraId="417F9E34" w14:textId="1F475F37" w:rsidR="000E3741" w:rsidRPr="000E3741" w:rsidRDefault="001A260C" w:rsidP="00E5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 to </w:t>
            </w:r>
            <w:r w:rsidR="000E3741" w:rsidRPr="000E3741">
              <w:rPr>
                <w:sz w:val="20"/>
                <w:szCs w:val="20"/>
              </w:rPr>
              <w:t>$3M</w:t>
            </w:r>
          </w:p>
        </w:tc>
        <w:tc>
          <w:tcPr>
            <w:tcW w:w="1560" w:type="dxa"/>
          </w:tcPr>
          <w:p w14:paraId="57E510B9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G</w:t>
            </w:r>
            <w:r w:rsidR="00C032FF">
              <w:rPr>
                <w:sz w:val="20"/>
                <w:szCs w:val="20"/>
              </w:rPr>
              <w:t xml:space="preserve">reat </w:t>
            </w:r>
            <w:r w:rsidRPr="000E3741">
              <w:rPr>
                <w:sz w:val="20"/>
                <w:szCs w:val="20"/>
              </w:rPr>
              <w:t>B</w:t>
            </w:r>
            <w:r w:rsidR="00C032FF">
              <w:rPr>
                <w:sz w:val="20"/>
                <w:szCs w:val="20"/>
              </w:rPr>
              <w:t xml:space="preserve">arrier </w:t>
            </w:r>
            <w:r w:rsidRPr="000E3741">
              <w:rPr>
                <w:sz w:val="20"/>
                <w:szCs w:val="20"/>
              </w:rPr>
              <w:t>R</w:t>
            </w:r>
            <w:r w:rsidR="00C032FF">
              <w:rPr>
                <w:sz w:val="20"/>
                <w:szCs w:val="20"/>
              </w:rPr>
              <w:t>eef</w:t>
            </w:r>
            <w:r w:rsidRPr="000E3741">
              <w:rPr>
                <w:sz w:val="20"/>
                <w:szCs w:val="20"/>
              </w:rPr>
              <w:t xml:space="preserve"> Foundation</w:t>
            </w:r>
          </w:p>
        </w:tc>
        <w:tc>
          <w:tcPr>
            <w:tcW w:w="1559" w:type="dxa"/>
          </w:tcPr>
          <w:p w14:paraId="09BF6F43" w14:textId="101C8864" w:rsidR="000E3741" w:rsidRPr="000E3741" w:rsidRDefault="001A260C" w:rsidP="00E5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 to </w:t>
            </w:r>
            <w:r w:rsidR="000E3741" w:rsidRPr="000E3741">
              <w:rPr>
                <w:sz w:val="20"/>
                <w:szCs w:val="20"/>
              </w:rPr>
              <w:t>$3M</w:t>
            </w:r>
          </w:p>
        </w:tc>
      </w:tr>
      <w:tr w:rsidR="000E3741" w:rsidRPr="000E3741" w14:paraId="714C8004" w14:textId="77777777" w:rsidTr="001F486F">
        <w:tc>
          <w:tcPr>
            <w:tcW w:w="1419" w:type="dxa"/>
            <w:vMerge/>
          </w:tcPr>
          <w:p w14:paraId="2202997A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8C69BE2" w14:textId="77777777" w:rsidR="000E3741" w:rsidRPr="000E3741" w:rsidRDefault="000E3741" w:rsidP="00B239E3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 xml:space="preserve">Major </w:t>
            </w:r>
            <w:r w:rsidR="00B239E3">
              <w:rPr>
                <w:sz w:val="20"/>
                <w:szCs w:val="20"/>
              </w:rPr>
              <w:t>I</w:t>
            </w:r>
            <w:r w:rsidRPr="000E3741">
              <w:rPr>
                <w:sz w:val="20"/>
                <w:szCs w:val="20"/>
              </w:rPr>
              <w:t xml:space="preserve">ntegrated </w:t>
            </w:r>
            <w:r w:rsidR="00B239E3">
              <w:rPr>
                <w:sz w:val="20"/>
                <w:szCs w:val="20"/>
              </w:rPr>
              <w:t>P</w:t>
            </w:r>
            <w:r w:rsidRPr="000E3741">
              <w:rPr>
                <w:sz w:val="20"/>
                <w:szCs w:val="20"/>
              </w:rPr>
              <w:t>roject</w:t>
            </w:r>
          </w:p>
        </w:tc>
        <w:tc>
          <w:tcPr>
            <w:tcW w:w="1418" w:type="dxa"/>
          </w:tcPr>
          <w:p w14:paraId="565720A4" w14:textId="4D9258A1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Bowen-Broken-Bogie</w:t>
            </w:r>
            <w:r w:rsidR="005C27D5">
              <w:rPr>
                <w:sz w:val="20"/>
                <w:szCs w:val="20"/>
              </w:rPr>
              <w:t xml:space="preserve"> catchment</w:t>
            </w:r>
          </w:p>
        </w:tc>
        <w:tc>
          <w:tcPr>
            <w:tcW w:w="1417" w:type="dxa"/>
          </w:tcPr>
          <w:p w14:paraId="678C10DD" w14:textId="47D4648E" w:rsidR="000E3741" w:rsidRPr="000E3741" w:rsidRDefault="001A260C" w:rsidP="00AC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determined</w:t>
            </w:r>
            <w:r w:rsidR="00AC4355">
              <w:rPr>
                <w:sz w:val="20"/>
                <w:szCs w:val="20"/>
              </w:rPr>
              <w:t xml:space="preserve"> (tentatively </w:t>
            </w:r>
            <w:r w:rsidR="000E3741" w:rsidRPr="000E3741">
              <w:rPr>
                <w:sz w:val="20"/>
                <w:szCs w:val="20"/>
              </w:rPr>
              <w:t>$5M</w:t>
            </w:r>
            <w:r w:rsidR="00AC4355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036FCD99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2F1BDA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</w:tr>
      <w:tr w:rsidR="000E3741" w:rsidRPr="000E3741" w14:paraId="04231E3A" w14:textId="77777777" w:rsidTr="001F486F">
        <w:tc>
          <w:tcPr>
            <w:tcW w:w="1419" w:type="dxa"/>
            <w:vMerge/>
          </w:tcPr>
          <w:p w14:paraId="1ED8032E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FFEBA93" w14:textId="40E4C581" w:rsidR="000E3741" w:rsidRPr="000E3741" w:rsidRDefault="000E3741" w:rsidP="00FA20F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Reef W</w:t>
            </w:r>
            <w:r w:rsidR="00C032FF">
              <w:rPr>
                <w:sz w:val="20"/>
                <w:szCs w:val="20"/>
              </w:rPr>
              <w:t xml:space="preserve">ater </w:t>
            </w:r>
            <w:r w:rsidRPr="000E3741">
              <w:rPr>
                <w:sz w:val="20"/>
                <w:szCs w:val="20"/>
              </w:rPr>
              <w:t>Q</w:t>
            </w:r>
            <w:r w:rsidR="00BF1D9F">
              <w:rPr>
                <w:sz w:val="20"/>
                <w:szCs w:val="20"/>
              </w:rPr>
              <w:t>uality</w:t>
            </w:r>
            <w:r w:rsidRPr="000E3741">
              <w:rPr>
                <w:sz w:val="20"/>
                <w:szCs w:val="20"/>
              </w:rPr>
              <w:t xml:space="preserve"> Science Program (</w:t>
            </w:r>
            <w:r w:rsidR="00186BB8">
              <w:rPr>
                <w:sz w:val="20"/>
                <w:szCs w:val="20"/>
              </w:rPr>
              <w:t>s</w:t>
            </w:r>
            <w:r w:rsidR="00156FB6">
              <w:rPr>
                <w:sz w:val="20"/>
                <w:szCs w:val="20"/>
              </w:rPr>
              <w:t>ediment management)</w:t>
            </w:r>
          </w:p>
        </w:tc>
        <w:tc>
          <w:tcPr>
            <w:tcW w:w="1418" w:type="dxa"/>
          </w:tcPr>
          <w:p w14:paraId="4A488274" w14:textId="66413173" w:rsidR="000E3741" w:rsidRPr="000E3741" w:rsidRDefault="005C27D5" w:rsidP="00E5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Fitzroy and</w:t>
            </w:r>
            <w:r w:rsidR="00156FB6">
              <w:rPr>
                <w:sz w:val="20"/>
                <w:szCs w:val="20"/>
              </w:rPr>
              <w:t xml:space="preserve"> Burdekin</w:t>
            </w:r>
            <w:r>
              <w:rPr>
                <w:sz w:val="20"/>
                <w:szCs w:val="20"/>
              </w:rPr>
              <w:t xml:space="preserve"> regions</w:t>
            </w:r>
          </w:p>
        </w:tc>
        <w:tc>
          <w:tcPr>
            <w:tcW w:w="1417" w:type="dxa"/>
          </w:tcPr>
          <w:p w14:paraId="11FE1F95" w14:textId="77777777" w:rsidR="000E3741" w:rsidRDefault="000E3741" w:rsidP="00FA20F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$</w:t>
            </w:r>
            <w:r w:rsidR="00FA20F0">
              <w:rPr>
                <w:sz w:val="20"/>
                <w:szCs w:val="20"/>
              </w:rPr>
              <w:t>1M/3 years</w:t>
            </w:r>
          </w:p>
          <w:p w14:paraId="5AC168F1" w14:textId="29B975FB" w:rsidR="00FA20F0" w:rsidRPr="000E3741" w:rsidRDefault="00FA20F0" w:rsidP="00FA2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(2015-2019)</w:t>
            </w:r>
          </w:p>
        </w:tc>
        <w:tc>
          <w:tcPr>
            <w:tcW w:w="1560" w:type="dxa"/>
          </w:tcPr>
          <w:p w14:paraId="48E3C65C" w14:textId="77777777" w:rsidR="000E3741" w:rsidRPr="000E3741" w:rsidRDefault="00156FB6" w:rsidP="0015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In-kind support by proponents</w:t>
            </w:r>
          </w:p>
        </w:tc>
        <w:tc>
          <w:tcPr>
            <w:tcW w:w="1559" w:type="dxa"/>
          </w:tcPr>
          <w:p w14:paraId="653D84F9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</w:tr>
      <w:tr w:rsidR="000E3741" w:rsidRPr="000E3741" w14:paraId="0E1B70B8" w14:textId="77777777" w:rsidTr="001F486F">
        <w:tc>
          <w:tcPr>
            <w:tcW w:w="1419" w:type="dxa"/>
            <w:vMerge/>
          </w:tcPr>
          <w:p w14:paraId="524B3B69" w14:textId="5D0E48F4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B3308A8" w14:textId="77777777" w:rsidR="000E3741" w:rsidRPr="001A6406" w:rsidRDefault="000E3741" w:rsidP="00E57C60">
            <w:pPr>
              <w:rPr>
                <w:b/>
                <w:i/>
                <w:sz w:val="20"/>
                <w:szCs w:val="20"/>
              </w:rPr>
            </w:pPr>
            <w:r w:rsidRPr="001A6406">
              <w:rPr>
                <w:b/>
                <w:i/>
                <w:sz w:val="20"/>
                <w:szCs w:val="20"/>
              </w:rPr>
              <w:t>Total Q</w:t>
            </w:r>
            <w:r w:rsidR="001A6406" w:rsidRPr="001A6406">
              <w:rPr>
                <w:b/>
                <w:i/>
                <w:sz w:val="20"/>
                <w:szCs w:val="20"/>
              </w:rPr>
              <w:t>ueens</w:t>
            </w:r>
            <w:r w:rsidRPr="001A6406">
              <w:rPr>
                <w:b/>
                <w:i/>
                <w:sz w:val="20"/>
                <w:szCs w:val="20"/>
              </w:rPr>
              <w:t>l</w:t>
            </w:r>
            <w:r w:rsidR="001A6406" w:rsidRPr="001A6406">
              <w:rPr>
                <w:b/>
                <w:i/>
                <w:sz w:val="20"/>
                <w:szCs w:val="20"/>
              </w:rPr>
              <w:t>an</w:t>
            </w:r>
            <w:r w:rsidRPr="001A6406">
              <w:rPr>
                <w:b/>
                <w:i/>
                <w:sz w:val="20"/>
                <w:szCs w:val="20"/>
              </w:rPr>
              <w:t xml:space="preserve">d </w:t>
            </w:r>
            <w:r w:rsidR="001A6406" w:rsidRPr="001A6406">
              <w:rPr>
                <w:b/>
                <w:i/>
                <w:sz w:val="20"/>
                <w:szCs w:val="20"/>
              </w:rPr>
              <w:t xml:space="preserve">Government </w:t>
            </w:r>
            <w:r w:rsidRPr="001A6406">
              <w:rPr>
                <w:b/>
                <w:i/>
                <w:sz w:val="20"/>
                <w:szCs w:val="20"/>
              </w:rPr>
              <w:t>funding and matching</w:t>
            </w:r>
          </w:p>
        </w:tc>
        <w:tc>
          <w:tcPr>
            <w:tcW w:w="1418" w:type="dxa"/>
          </w:tcPr>
          <w:p w14:paraId="5FDFE2E1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B0FC761" w14:textId="7E41D371" w:rsidR="000E3741" w:rsidRPr="000E3741" w:rsidRDefault="00AC4355" w:rsidP="00A65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 to </w:t>
            </w:r>
            <w:r w:rsidR="000E3741" w:rsidRPr="000E3741">
              <w:rPr>
                <w:b/>
                <w:sz w:val="20"/>
                <w:szCs w:val="20"/>
              </w:rPr>
              <w:t>$1</w:t>
            </w:r>
            <w:r w:rsidR="00A6518D">
              <w:rPr>
                <w:b/>
                <w:sz w:val="20"/>
                <w:szCs w:val="20"/>
              </w:rPr>
              <w:t>1</w:t>
            </w:r>
            <w:r w:rsidR="000E3741" w:rsidRPr="000E3741">
              <w:rPr>
                <w:b/>
                <w:sz w:val="20"/>
                <w:szCs w:val="20"/>
              </w:rPr>
              <w:t>M / 4 years</w:t>
            </w:r>
          </w:p>
        </w:tc>
        <w:tc>
          <w:tcPr>
            <w:tcW w:w="1560" w:type="dxa"/>
          </w:tcPr>
          <w:p w14:paraId="17608E76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45FD83" w14:textId="3E599701" w:rsidR="000E3741" w:rsidRPr="000E3741" w:rsidRDefault="00AC4355" w:rsidP="00E57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 to </w:t>
            </w:r>
            <w:r w:rsidR="000E3741" w:rsidRPr="000E3741">
              <w:rPr>
                <w:b/>
                <w:sz w:val="20"/>
                <w:szCs w:val="20"/>
              </w:rPr>
              <w:t>$5M</w:t>
            </w:r>
          </w:p>
        </w:tc>
      </w:tr>
      <w:tr w:rsidR="000E3741" w:rsidRPr="000E3741" w14:paraId="5C4CEF79" w14:textId="77777777" w:rsidTr="001F486F">
        <w:tc>
          <w:tcPr>
            <w:tcW w:w="1419" w:type="dxa"/>
            <w:vMerge w:val="restart"/>
          </w:tcPr>
          <w:p w14:paraId="4DC00C7F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 xml:space="preserve">Australian Government </w:t>
            </w:r>
          </w:p>
        </w:tc>
        <w:tc>
          <w:tcPr>
            <w:tcW w:w="2976" w:type="dxa"/>
          </w:tcPr>
          <w:p w14:paraId="5BAC532E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 xml:space="preserve">Reef Trust – Phase 2 </w:t>
            </w:r>
          </w:p>
        </w:tc>
        <w:tc>
          <w:tcPr>
            <w:tcW w:w="1418" w:type="dxa"/>
          </w:tcPr>
          <w:p w14:paraId="7CFFECE4" w14:textId="4C3BDBCE" w:rsidR="000E3741" w:rsidRPr="000E3741" w:rsidRDefault="005C27D5" w:rsidP="00E5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Cape York, Burdekin, Fitzroy and </w:t>
            </w:r>
            <w:r w:rsidR="000E3741" w:rsidRPr="000E3741">
              <w:rPr>
                <w:sz w:val="20"/>
                <w:szCs w:val="20"/>
              </w:rPr>
              <w:t>Burnett Mary</w:t>
            </w:r>
            <w:r>
              <w:rPr>
                <w:sz w:val="20"/>
                <w:szCs w:val="20"/>
              </w:rPr>
              <w:t xml:space="preserve"> regions</w:t>
            </w:r>
          </w:p>
        </w:tc>
        <w:tc>
          <w:tcPr>
            <w:tcW w:w="1417" w:type="dxa"/>
          </w:tcPr>
          <w:p w14:paraId="012FD73A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$8M / 3 years</w:t>
            </w:r>
          </w:p>
        </w:tc>
        <w:tc>
          <w:tcPr>
            <w:tcW w:w="1560" w:type="dxa"/>
          </w:tcPr>
          <w:p w14:paraId="23606ADE" w14:textId="77777777" w:rsidR="000E3741" w:rsidRPr="000E3741" w:rsidRDefault="001948EE" w:rsidP="00C36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and in-kind contributions for each project</w:t>
            </w:r>
            <w:r w:rsidR="00E5164D">
              <w:rPr>
                <w:sz w:val="20"/>
                <w:szCs w:val="20"/>
              </w:rPr>
              <w:t xml:space="preserve"> from delivery partners and participating landholders.</w:t>
            </w:r>
          </w:p>
        </w:tc>
        <w:tc>
          <w:tcPr>
            <w:tcW w:w="1559" w:type="dxa"/>
          </w:tcPr>
          <w:p w14:paraId="44F0933A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</w:tr>
      <w:tr w:rsidR="000E3741" w:rsidRPr="000E3741" w14:paraId="6673D898" w14:textId="77777777" w:rsidTr="001F486F">
        <w:tc>
          <w:tcPr>
            <w:tcW w:w="1419" w:type="dxa"/>
            <w:vMerge/>
          </w:tcPr>
          <w:p w14:paraId="0E8BDD8F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6BF804E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Reef Trust – Phase 4 (includes gully and streambank repair)</w:t>
            </w:r>
          </w:p>
        </w:tc>
        <w:tc>
          <w:tcPr>
            <w:tcW w:w="1418" w:type="dxa"/>
          </w:tcPr>
          <w:p w14:paraId="1BAA0382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555D87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$20M/ 6 years</w:t>
            </w:r>
          </w:p>
        </w:tc>
        <w:tc>
          <w:tcPr>
            <w:tcW w:w="1560" w:type="dxa"/>
          </w:tcPr>
          <w:p w14:paraId="39F1F2F0" w14:textId="6C34049B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01B470" w14:textId="22A19C15" w:rsidR="000E3741" w:rsidRPr="00622ED9" w:rsidRDefault="000E3741" w:rsidP="00E57C60">
            <w:pPr>
              <w:rPr>
                <w:i/>
                <w:sz w:val="20"/>
                <w:szCs w:val="20"/>
              </w:rPr>
            </w:pPr>
          </w:p>
        </w:tc>
      </w:tr>
      <w:tr w:rsidR="000E3741" w:rsidRPr="000E3741" w14:paraId="356F4D9E" w14:textId="77777777" w:rsidTr="001F486F">
        <w:tc>
          <w:tcPr>
            <w:tcW w:w="1419" w:type="dxa"/>
            <w:vMerge/>
          </w:tcPr>
          <w:p w14:paraId="054929FF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2DCC8E4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N</w:t>
            </w:r>
            <w:r w:rsidR="001A6406">
              <w:rPr>
                <w:sz w:val="20"/>
                <w:szCs w:val="20"/>
              </w:rPr>
              <w:t xml:space="preserve">ational </w:t>
            </w:r>
            <w:r w:rsidRPr="000E3741">
              <w:rPr>
                <w:sz w:val="20"/>
                <w:szCs w:val="20"/>
              </w:rPr>
              <w:t>E</w:t>
            </w:r>
            <w:r w:rsidR="001A6406">
              <w:rPr>
                <w:sz w:val="20"/>
                <w:szCs w:val="20"/>
              </w:rPr>
              <w:t xml:space="preserve">nvironmental </w:t>
            </w:r>
            <w:r w:rsidRPr="000E3741">
              <w:rPr>
                <w:sz w:val="20"/>
                <w:szCs w:val="20"/>
              </w:rPr>
              <w:t>S</w:t>
            </w:r>
            <w:r w:rsidR="001A6406">
              <w:rPr>
                <w:sz w:val="20"/>
                <w:szCs w:val="20"/>
              </w:rPr>
              <w:t xml:space="preserve">cience </w:t>
            </w:r>
            <w:r w:rsidRPr="000E3741">
              <w:rPr>
                <w:sz w:val="20"/>
                <w:szCs w:val="20"/>
              </w:rPr>
              <w:t>P</w:t>
            </w:r>
            <w:r w:rsidR="001A6406">
              <w:rPr>
                <w:sz w:val="20"/>
                <w:szCs w:val="20"/>
              </w:rPr>
              <w:t>rogramme</w:t>
            </w:r>
            <w:r w:rsidRPr="000E3741">
              <w:rPr>
                <w:sz w:val="20"/>
                <w:szCs w:val="20"/>
              </w:rPr>
              <w:t xml:space="preserve"> – </w:t>
            </w:r>
            <w:r w:rsidR="001A6406">
              <w:rPr>
                <w:sz w:val="20"/>
                <w:szCs w:val="20"/>
              </w:rPr>
              <w:t>a</w:t>
            </w:r>
            <w:r w:rsidRPr="000E3741">
              <w:rPr>
                <w:sz w:val="20"/>
                <w:szCs w:val="20"/>
              </w:rPr>
              <w:t xml:space="preserve">lluvial gully remediation </w:t>
            </w:r>
          </w:p>
        </w:tc>
        <w:tc>
          <w:tcPr>
            <w:tcW w:w="1418" w:type="dxa"/>
          </w:tcPr>
          <w:p w14:paraId="4B13C7F1" w14:textId="2F6C432E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Bowen-Broken-Bogie</w:t>
            </w:r>
            <w:r w:rsidR="005C27D5">
              <w:rPr>
                <w:sz w:val="20"/>
                <w:szCs w:val="20"/>
              </w:rPr>
              <w:t xml:space="preserve"> catchment</w:t>
            </w:r>
          </w:p>
        </w:tc>
        <w:tc>
          <w:tcPr>
            <w:tcW w:w="1417" w:type="dxa"/>
          </w:tcPr>
          <w:p w14:paraId="50EA3EB8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$100,000</w:t>
            </w:r>
          </w:p>
        </w:tc>
        <w:tc>
          <w:tcPr>
            <w:tcW w:w="1560" w:type="dxa"/>
          </w:tcPr>
          <w:p w14:paraId="4574EE56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Griffith Uni</w:t>
            </w:r>
            <w:r w:rsidR="001A6406">
              <w:rPr>
                <w:sz w:val="20"/>
                <w:szCs w:val="20"/>
              </w:rPr>
              <w:t>versity</w:t>
            </w:r>
          </w:p>
        </w:tc>
        <w:tc>
          <w:tcPr>
            <w:tcW w:w="1559" w:type="dxa"/>
          </w:tcPr>
          <w:p w14:paraId="31E83CC0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$130,000</w:t>
            </w:r>
          </w:p>
        </w:tc>
      </w:tr>
      <w:tr w:rsidR="000E3741" w:rsidRPr="000E3741" w14:paraId="5049688D" w14:textId="77777777" w:rsidTr="001F486F">
        <w:tc>
          <w:tcPr>
            <w:tcW w:w="1419" w:type="dxa"/>
            <w:vMerge/>
          </w:tcPr>
          <w:p w14:paraId="0A018543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7620D2A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N</w:t>
            </w:r>
            <w:r w:rsidR="001A6406">
              <w:rPr>
                <w:sz w:val="20"/>
                <w:szCs w:val="20"/>
              </w:rPr>
              <w:t xml:space="preserve">ational </w:t>
            </w:r>
            <w:r w:rsidRPr="000E3741">
              <w:rPr>
                <w:sz w:val="20"/>
                <w:szCs w:val="20"/>
              </w:rPr>
              <w:t>E</w:t>
            </w:r>
            <w:r w:rsidR="001A6406">
              <w:rPr>
                <w:sz w:val="20"/>
                <w:szCs w:val="20"/>
              </w:rPr>
              <w:t xml:space="preserve">nvironmental </w:t>
            </w:r>
            <w:r w:rsidRPr="000E3741">
              <w:rPr>
                <w:sz w:val="20"/>
                <w:szCs w:val="20"/>
              </w:rPr>
              <w:t>S</w:t>
            </w:r>
            <w:r w:rsidR="001A6406">
              <w:rPr>
                <w:sz w:val="20"/>
                <w:szCs w:val="20"/>
              </w:rPr>
              <w:t xml:space="preserve">cience </w:t>
            </w:r>
            <w:r w:rsidRPr="000E3741">
              <w:rPr>
                <w:sz w:val="20"/>
                <w:szCs w:val="20"/>
              </w:rPr>
              <w:t>P</w:t>
            </w:r>
            <w:r w:rsidR="001A6406">
              <w:rPr>
                <w:sz w:val="20"/>
                <w:szCs w:val="20"/>
              </w:rPr>
              <w:t>rogramme</w:t>
            </w:r>
            <w:r w:rsidRPr="000E3741">
              <w:rPr>
                <w:sz w:val="20"/>
                <w:szCs w:val="20"/>
              </w:rPr>
              <w:t xml:space="preserve"> – demonstration and evaluation of gully remediation (linked to Phase 2 Reef Trust projects)</w:t>
            </w:r>
          </w:p>
        </w:tc>
        <w:tc>
          <w:tcPr>
            <w:tcW w:w="1418" w:type="dxa"/>
          </w:tcPr>
          <w:p w14:paraId="079FFC72" w14:textId="07A68EE0" w:rsidR="000E3741" w:rsidRPr="000E3741" w:rsidRDefault="005C27D5" w:rsidP="00E5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Bowen-Broken-Bogie, Don and </w:t>
            </w:r>
            <w:r w:rsidR="000E3741" w:rsidRPr="000E3741">
              <w:rPr>
                <w:sz w:val="20"/>
                <w:szCs w:val="20"/>
              </w:rPr>
              <w:t>Upper Burdekin</w:t>
            </w:r>
            <w:r>
              <w:rPr>
                <w:sz w:val="20"/>
                <w:szCs w:val="20"/>
              </w:rPr>
              <w:t xml:space="preserve"> catchments</w:t>
            </w:r>
          </w:p>
        </w:tc>
        <w:tc>
          <w:tcPr>
            <w:tcW w:w="1417" w:type="dxa"/>
          </w:tcPr>
          <w:p w14:paraId="1FA46261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$600,000</w:t>
            </w:r>
          </w:p>
        </w:tc>
        <w:tc>
          <w:tcPr>
            <w:tcW w:w="1560" w:type="dxa"/>
          </w:tcPr>
          <w:p w14:paraId="005EE93A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CSIRO</w:t>
            </w:r>
          </w:p>
        </w:tc>
        <w:tc>
          <w:tcPr>
            <w:tcW w:w="1559" w:type="dxa"/>
          </w:tcPr>
          <w:p w14:paraId="5425FC35" w14:textId="77777777" w:rsidR="000E3741" w:rsidRPr="000E3741" w:rsidRDefault="000E3741" w:rsidP="00E57C60">
            <w:pPr>
              <w:rPr>
                <w:sz w:val="20"/>
                <w:szCs w:val="20"/>
              </w:rPr>
            </w:pPr>
            <w:r w:rsidRPr="000E3741">
              <w:rPr>
                <w:sz w:val="20"/>
                <w:szCs w:val="20"/>
              </w:rPr>
              <w:t>$820,000</w:t>
            </w:r>
          </w:p>
        </w:tc>
      </w:tr>
      <w:tr w:rsidR="000E3741" w:rsidRPr="000E3741" w14:paraId="16A93B1E" w14:textId="77777777" w:rsidTr="001F486F">
        <w:tc>
          <w:tcPr>
            <w:tcW w:w="1419" w:type="dxa"/>
            <w:vMerge/>
          </w:tcPr>
          <w:p w14:paraId="2B3CD5A5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7DCEE69" w14:textId="77777777" w:rsidR="000E3741" w:rsidRPr="001A6406" w:rsidRDefault="000E3741" w:rsidP="001A6406">
            <w:pPr>
              <w:rPr>
                <w:b/>
                <w:i/>
                <w:sz w:val="20"/>
                <w:szCs w:val="20"/>
              </w:rPr>
            </w:pPr>
            <w:r w:rsidRPr="001A6406">
              <w:rPr>
                <w:b/>
                <w:i/>
                <w:sz w:val="20"/>
                <w:szCs w:val="20"/>
              </w:rPr>
              <w:t xml:space="preserve">Total </w:t>
            </w:r>
            <w:r w:rsidR="001A6406" w:rsidRPr="001A6406">
              <w:rPr>
                <w:b/>
                <w:i/>
                <w:sz w:val="20"/>
                <w:szCs w:val="20"/>
              </w:rPr>
              <w:t xml:space="preserve">Australian Government </w:t>
            </w:r>
            <w:r w:rsidRPr="001A6406">
              <w:rPr>
                <w:b/>
                <w:i/>
                <w:sz w:val="20"/>
                <w:szCs w:val="20"/>
              </w:rPr>
              <w:t>funding and matching</w:t>
            </w:r>
          </w:p>
        </w:tc>
        <w:tc>
          <w:tcPr>
            <w:tcW w:w="1418" w:type="dxa"/>
          </w:tcPr>
          <w:p w14:paraId="51B31952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DF3D32" w14:textId="77777777" w:rsidR="000E3741" w:rsidRPr="000E3741" w:rsidRDefault="000E3741" w:rsidP="00E57C60">
            <w:pPr>
              <w:rPr>
                <w:b/>
                <w:sz w:val="20"/>
                <w:szCs w:val="20"/>
              </w:rPr>
            </w:pPr>
            <w:r w:rsidRPr="000E3741">
              <w:rPr>
                <w:b/>
                <w:sz w:val="20"/>
                <w:szCs w:val="20"/>
              </w:rPr>
              <w:t>$28.7M / 6 years</w:t>
            </w:r>
          </w:p>
        </w:tc>
        <w:tc>
          <w:tcPr>
            <w:tcW w:w="1560" w:type="dxa"/>
          </w:tcPr>
          <w:p w14:paraId="353BA246" w14:textId="77777777" w:rsidR="000E3741" w:rsidRPr="000E3741" w:rsidRDefault="000E3741" w:rsidP="00E57C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CD1B9D" w14:textId="77777777" w:rsidR="000E3741" w:rsidRPr="000E3741" w:rsidRDefault="00622ED9" w:rsidP="00622E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$0.9</w:t>
            </w:r>
            <w:r w:rsidR="000E3741" w:rsidRPr="000E3741">
              <w:rPr>
                <w:b/>
                <w:sz w:val="20"/>
                <w:szCs w:val="20"/>
              </w:rPr>
              <w:t>5M</w:t>
            </w:r>
            <w:r>
              <w:rPr>
                <w:b/>
                <w:sz w:val="20"/>
                <w:szCs w:val="20"/>
              </w:rPr>
              <w:t xml:space="preserve"> (+ additional TBC)</w:t>
            </w:r>
          </w:p>
        </w:tc>
      </w:tr>
      <w:tr w:rsidR="000E3741" w:rsidRPr="00186BB8" w14:paraId="5B97653C" w14:textId="77777777" w:rsidTr="001F486F">
        <w:tc>
          <w:tcPr>
            <w:tcW w:w="5813" w:type="dxa"/>
            <w:gridSpan w:val="3"/>
          </w:tcPr>
          <w:p w14:paraId="754DA2A5" w14:textId="239519ED" w:rsidR="000E3741" w:rsidRPr="00186BB8" w:rsidRDefault="005C27D5" w:rsidP="00E57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f</w:t>
            </w:r>
            <w:r w:rsidR="000E3741" w:rsidRPr="00186BB8">
              <w:rPr>
                <w:b/>
                <w:sz w:val="20"/>
                <w:szCs w:val="20"/>
              </w:rPr>
              <w:t>unds</w:t>
            </w:r>
          </w:p>
        </w:tc>
        <w:tc>
          <w:tcPr>
            <w:tcW w:w="1417" w:type="dxa"/>
          </w:tcPr>
          <w:p w14:paraId="3E658F59" w14:textId="0E02CC12" w:rsidR="000E3741" w:rsidRPr="00186BB8" w:rsidRDefault="00AC4355" w:rsidP="001A26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 to </w:t>
            </w:r>
            <w:r w:rsidR="000E3741" w:rsidRPr="00186BB8">
              <w:rPr>
                <w:b/>
                <w:sz w:val="20"/>
                <w:szCs w:val="20"/>
              </w:rPr>
              <w:t>$39.</w:t>
            </w:r>
            <w:r w:rsidR="00A6518D">
              <w:rPr>
                <w:b/>
                <w:sz w:val="20"/>
                <w:szCs w:val="20"/>
              </w:rPr>
              <w:t>7</w:t>
            </w:r>
            <w:r w:rsidR="000E3741" w:rsidRPr="00186BB8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60" w:type="dxa"/>
          </w:tcPr>
          <w:p w14:paraId="59392977" w14:textId="77777777" w:rsidR="000E3741" w:rsidRPr="00186BB8" w:rsidRDefault="000E3741" w:rsidP="00E57C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F895CC" w14:textId="77777777" w:rsidR="000E3741" w:rsidRPr="00186BB8" w:rsidRDefault="00622ED9" w:rsidP="00E57C60">
            <w:pPr>
              <w:rPr>
                <w:b/>
                <w:sz w:val="20"/>
                <w:szCs w:val="20"/>
              </w:rPr>
            </w:pPr>
            <w:r w:rsidRPr="00186BB8">
              <w:rPr>
                <w:b/>
                <w:sz w:val="20"/>
                <w:szCs w:val="20"/>
              </w:rPr>
              <w:t>$5.9</w:t>
            </w:r>
            <w:r w:rsidR="000E3741" w:rsidRPr="00186BB8">
              <w:rPr>
                <w:b/>
                <w:sz w:val="20"/>
                <w:szCs w:val="20"/>
              </w:rPr>
              <w:t>5M</w:t>
            </w:r>
            <w:r w:rsidRPr="00186BB8">
              <w:rPr>
                <w:b/>
                <w:sz w:val="20"/>
                <w:szCs w:val="20"/>
              </w:rPr>
              <w:t xml:space="preserve"> (+)</w:t>
            </w:r>
          </w:p>
        </w:tc>
      </w:tr>
      <w:tr w:rsidR="000E3741" w:rsidRPr="00186BB8" w14:paraId="44439518" w14:textId="77777777" w:rsidTr="001F486F">
        <w:tc>
          <w:tcPr>
            <w:tcW w:w="5813" w:type="dxa"/>
            <w:gridSpan w:val="3"/>
          </w:tcPr>
          <w:p w14:paraId="5A139C7E" w14:textId="0633693B" w:rsidR="000E3741" w:rsidRPr="00186BB8" w:rsidRDefault="005C27D5" w:rsidP="00E57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Combined total f</w:t>
            </w:r>
            <w:r w:rsidR="000E3741" w:rsidRPr="00186BB8">
              <w:rPr>
                <w:b/>
                <w:sz w:val="20"/>
                <w:szCs w:val="20"/>
              </w:rPr>
              <w:t>unds</w:t>
            </w:r>
          </w:p>
        </w:tc>
        <w:tc>
          <w:tcPr>
            <w:tcW w:w="4536" w:type="dxa"/>
            <w:gridSpan w:val="3"/>
          </w:tcPr>
          <w:p w14:paraId="3D677014" w14:textId="5920DAA8" w:rsidR="000E3741" w:rsidRPr="00186BB8" w:rsidRDefault="00AC4355" w:rsidP="00D360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Approximately </w:t>
            </w:r>
            <w:r w:rsidR="00622ED9" w:rsidRPr="00186BB8">
              <w:rPr>
                <w:b/>
                <w:sz w:val="20"/>
                <w:szCs w:val="20"/>
              </w:rPr>
              <w:t>$45.</w:t>
            </w:r>
            <w:r w:rsidR="000243DE">
              <w:rPr>
                <w:b/>
                <w:sz w:val="20"/>
                <w:szCs w:val="20"/>
              </w:rPr>
              <w:t>6</w:t>
            </w:r>
            <w:r w:rsidR="00622ED9" w:rsidRPr="00186BB8">
              <w:rPr>
                <w:b/>
                <w:sz w:val="20"/>
                <w:szCs w:val="20"/>
              </w:rPr>
              <w:t>5</w:t>
            </w:r>
            <w:r w:rsidR="000E3741" w:rsidRPr="00186BB8">
              <w:rPr>
                <w:b/>
                <w:sz w:val="20"/>
                <w:szCs w:val="20"/>
              </w:rPr>
              <w:t>M</w:t>
            </w:r>
          </w:p>
        </w:tc>
      </w:tr>
    </w:tbl>
    <w:p w14:paraId="447CC3AF" w14:textId="56926D2F" w:rsidR="00186BB8" w:rsidRPr="007D2511" w:rsidRDefault="001A260C" w:rsidP="00FC4566">
      <w:pPr>
        <w:ind w:left="-426"/>
        <w:rPr>
          <w:b/>
          <w:i/>
        </w:rPr>
      </w:pPr>
      <w:r>
        <w:rPr>
          <w:b/>
          <w:i/>
        </w:rPr>
        <w:t xml:space="preserve">  </w:t>
      </w:r>
      <w:r w:rsidR="007D2511">
        <w:rPr>
          <w:b/>
          <w:i/>
        </w:rPr>
        <w:br/>
      </w:r>
      <w:r w:rsidR="008E351F" w:rsidRPr="0068067C">
        <w:rPr>
          <w:rFonts w:cstheme="minorHAnsi"/>
          <w:b/>
          <w:sz w:val="20"/>
          <w:szCs w:val="20"/>
        </w:rPr>
        <w:t>Australian Government</w:t>
      </w:r>
      <w:r w:rsidR="007D2511" w:rsidRPr="00FC4566">
        <w:rPr>
          <w:rFonts w:cstheme="minorHAnsi"/>
          <w:sz w:val="20"/>
          <w:szCs w:val="20"/>
        </w:rPr>
        <w:tab/>
      </w:r>
      <w:r w:rsidR="00FC4566" w:rsidRPr="00FC4566">
        <w:rPr>
          <w:rFonts w:cstheme="minorHAnsi"/>
          <w:i/>
          <w:sz w:val="20"/>
          <w:szCs w:val="20"/>
        </w:rPr>
        <w:tab/>
      </w:r>
      <w:r w:rsidR="00FC4566" w:rsidRPr="00FC4566">
        <w:rPr>
          <w:rFonts w:cstheme="minorHAnsi"/>
          <w:i/>
          <w:sz w:val="20"/>
          <w:szCs w:val="20"/>
        </w:rPr>
        <w:tab/>
      </w:r>
      <w:r w:rsidR="00FC4566" w:rsidRPr="00FC4566">
        <w:rPr>
          <w:rFonts w:cstheme="minorHAnsi"/>
          <w:i/>
          <w:sz w:val="20"/>
          <w:szCs w:val="20"/>
        </w:rPr>
        <w:tab/>
      </w:r>
      <w:r w:rsidR="00FC4566" w:rsidRPr="00FC4566">
        <w:rPr>
          <w:rFonts w:cstheme="minorHAnsi"/>
          <w:i/>
          <w:sz w:val="20"/>
          <w:szCs w:val="20"/>
        </w:rPr>
        <w:tab/>
      </w:r>
      <w:r w:rsidR="0068067C">
        <w:rPr>
          <w:rFonts w:cstheme="minorHAnsi"/>
          <w:i/>
          <w:sz w:val="20"/>
          <w:szCs w:val="20"/>
        </w:rPr>
        <w:tab/>
      </w:r>
      <w:r w:rsidR="007D2511" w:rsidRPr="0068067C">
        <w:rPr>
          <w:rFonts w:cstheme="minorHAnsi"/>
          <w:b/>
          <w:sz w:val="20"/>
          <w:szCs w:val="20"/>
        </w:rPr>
        <w:t>Queensland Government</w:t>
      </w:r>
      <w:r w:rsidR="008E351F" w:rsidRPr="00FC4566">
        <w:rPr>
          <w:rFonts w:cstheme="minorHAnsi"/>
          <w:sz w:val="20"/>
          <w:szCs w:val="20"/>
        </w:rPr>
        <w:br/>
      </w:r>
      <w:r w:rsidR="008E351F" w:rsidRPr="00FC4566">
        <w:rPr>
          <w:rFonts w:cstheme="minorHAnsi"/>
          <w:sz w:val="20"/>
          <w:szCs w:val="20"/>
        </w:rPr>
        <w:lastRenderedPageBreak/>
        <w:t>Web:</w:t>
      </w:r>
      <w:r w:rsidR="00FC4566" w:rsidRPr="00FC4566">
        <w:rPr>
          <w:rFonts w:cstheme="minorHAnsi"/>
          <w:sz w:val="20"/>
          <w:szCs w:val="20"/>
        </w:rPr>
        <w:t xml:space="preserve"> </w:t>
      </w:r>
      <w:hyperlink r:id="rId7" w:history="1">
        <w:r w:rsidR="007D2511" w:rsidRPr="00FC4566">
          <w:rPr>
            <w:rStyle w:val="Hyperlink"/>
            <w:rFonts w:cstheme="minorHAnsi"/>
            <w:sz w:val="20"/>
            <w:szCs w:val="20"/>
          </w:rPr>
          <w:t>www.environment.gov.au/marine/gbr/protecting-the-reef</w:t>
        </w:r>
      </w:hyperlink>
      <w:r w:rsidR="00FC4566" w:rsidRPr="00FC4566">
        <w:rPr>
          <w:rFonts w:cstheme="minorHAnsi"/>
          <w:sz w:val="20"/>
          <w:szCs w:val="20"/>
        </w:rPr>
        <w:tab/>
      </w:r>
      <w:r w:rsidR="0068067C">
        <w:rPr>
          <w:rFonts w:cstheme="minorHAnsi"/>
          <w:sz w:val="20"/>
          <w:szCs w:val="20"/>
        </w:rPr>
        <w:tab/>
      </w:r>
      <w:r w:rsidR="00FC4566" w:rsidRPr="00FC4566">
        <w:rPr>
          <w:rFonts w:cstheme="minorHAnsi"/>
          <w:sz w:val="20"/>
          <w:szCs w:val="20"/>
        </w:rPr>
        <w:t xml:space="preserve">Web: </w:t>
      </w:r>
      <w:hyperlink r:id="rId8" w:history="1">
        <w:r w:rsidR="00FC4566" w:rsidRPr="00FC4566">
          <w:rPr>
            <w:rStyle w:val="Hyperlink"/>
            <w:rFonts w:cstheme="minorHAnsi"/>
            <w:sz w:val="20"/>
            <w:szCs w:val="20"/>
          </w:rPr>
          <w:t>www.qld.gov.au/greatbarrierreef</w:t>
        </w:r>
      </w:hyperlink>
      <w:r w:rsidR="00FC4566" w:rsidRPr="00FC4566">
        <w:rPr>
          <w:rFonts w:cstheme="minorHAnsi"/>
          <w:sz w:val="20"/>
          <w:szCs w:val="20"/>
        </w:rPr>
        <w:t xml:space="preserve"> </w:t>
      </w:r>
      <w:r w:rsidR="008E351F" w:rsidRPr="00FC4566">
        <w:rPr>
          <w:rFonts w:cstheme="minorHAnsi"/>
          <w:sz w:val="20"/>
          <w:szCs w:val="20"/>
        </w:rPr>
        <w:br/>
        <w:t xml:space="preserve">Email: </w:t>
      </w:r>
      <w:hyperlink r:id="rId9" w:history="1">
        <w:r w:rsidR="007D2511" w:rsidRPr="00FC4566">
          <w:rPr>
            <w:rStyle w:val="Hyperlink"/>
            <w:rFonts w:cstheme="minorHAnsi"/>
            <w:sz w:val="20"/>
            <w:szCs w:val="20"/>
          </w:rPr>
          <w:t>reef2050@environment.gov.au</w:t>
        </w:r>
      </w:hyperlink>
      <w:r w:rsidR="007D2511" w:rsidRPr="00FC4566">
        <w:rPr>
          <w:rFonts w:cstheme="minorHAnsi"/>
          <w:sz w:val="20"/>
          <w:szCs w:val="20"/>
        </w:rPr>
        <w:tab/>
      </w:r>
      <w:r w:rsidR="007D2511" w:rsidRPr="00FC4566">
        <w:rPr>
          <w:rFonts w:cstheme="minorHAnsi"/>
          <w:sz w:val="20"/>
          <w:szCs w:val="20"/>
        </w:rPr>
        <w:tab/>
      </w:r>
      <w:r w:rsidR="007D2511" w:rsidRPr="00FC4566">
        <w:rPr>
          <w:sz w:val="20"/>
          <w:szCs w:val="20"/>
        </w:rPr>
        <w:tab/>
      </w:r>
      <w:r w:rsidR="007D2511" w:rsidRPr="00FC4566">
        <w:rPr>
          <w:sz w:val="20"/>
          <w:szCs w:val="20"/>
        </w:rPr>
        <w:tab/>
      </w:r>
      <w:r w:rsidR="0068067C">
        <w:rPr>
          <w:sz w:val="20"/>
          <w:szCs w:val="20"/>
        </w:rPr>
        <w:tab/>
      </w:r>
      <w:r w:rsidR="00FC4566" w:rsidRPr="00FC4566">
        <w:rPr>
          <w:sz w:val="20"/>
          <w:szCs w:val="20"/>
        </w:rPr>
        <w:t xml:space="preserve">Email: </w:t>
      </w:r>
      <w:hyperlink r:id="rId10" w:history="1">
        <w:r w:rsidR="00FC4566" w:rsidRPr="00FC4566">
          <w:rPr>
            <w:rStyle w:val="Hyperlink"/>
            <w:sz w:val="20"/>
            <w:szCs w:val="20"/>
          </w:rPr>
          <w:t>OfficeoftheGBR@ehp.qld.gov.au</w:t>
        </w:r>
      </w:hyperlink>
      <w:r w:rsidR="00FC4566">
        <w:t xml:space="preserve"> </w:t>
      </w:r>
    </w:p>
    <w:sectPr w:rsidR="00186BB8" w:rsidRPr="007D2511" w:rsidSect="001F48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3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73601" w14:textId="77777777" w:rsidR="00890439" w:rsidRDefault="00890439" w:rsidP="00BA1E74">
      <w:pPr>
        <w:spacing w:after="0" w:line="240" w:lineRule="auto"/>
      </w:pPr>
      <w:r>
        <w:separator/>
      </w:r>
    </w:p>
  </w:endnote>
  <w:endnote w:type="continuationSeparator" w:id="0">
    <w:p w14:paraId="4E22E4C6" w14:textId="77777777" w:rsidR="00890439" w:rsidRDefault="00890439" w:rsidP="00BA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5C88" w14:textId="77777777" w:rsidR="009F588F" w:rsidRDefault="009F58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283D6" w14:textId="69B47E29" w:rsidR="006A35DB" w:rsidRDefault="004A36F7">
    <w:pPr>
      <w:pStyle w:val="Footer"/>
    </w:pPr>
    <w:r>
      <w:rPr>
        <w:b/>
        <w:noProof/>
        <w:color w:val="000000"/>
        <w:sz w:val="24"/>
      </w:rPr>
      <w:drawing>
        <wp:anchor distT="0" distB="0" distL="114300" distR="114300" simplePos="0" relativeHeight="251660288" behindDoc="0" locked="0" layoutInCell="1" allowOverlap="1" wp14:anchorId="4CE5EFDD" wp14:editId="040EF419">
          <wp:simplePos x="0" y="0"/>
          <wp:positionH relativeFrom="column">
            <wp:posOffset>5321300</wp:posOffset>
          </wp:positionH>
          <wp:positionV relativeFrom="paragraph">
            <wp:posOffset>-325043</wp:posOffset>
          </wp:positionV>
          <wp:extent cx="782320" cy="780415"/>
          <wp:effectExtent l="0" t="0" r="0" b="635"/>
          <wp:wrapNone/>
          <wp:docPr id="2" name="irc_mi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25C92DB" wp14:editId="4C58DF68">
          <wp:simplePos x="0" y="0"/>
          <wp:positionH relativeFrom="column">
            <wp:posOffset>-149860</wp:posOffset>
          </wp:positionH>
          <wp:positionV relativeFrom="paragraph">
            <wp:posOffset>-307975</wp:posOffset>
          </wp:positionV>
          <wp:extent cx="1264920" cy="763905"/>
          <wp:effectExtent l="0" t="0" r="0" b="0"/>
          <wp:wrapThrough wrapText="bothSides">
            <wp:wrapPolygon edited="0">
              <wp:start x="0" y="0"/>
              <wp:lineTo x="0" y="21007"/>
              <wp:lineTo x="21145" y="21007"/>
              <wp:lineTo x="211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1465A" w14:textId="77777777" w:rsidR="009F588F" w:rsidRDefault="009F5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324D4" w14:textId="77777777" w:rsidR="00890439" w:rsidRDefault="00890439" w:rsidP="00BA1E74">
      <w:pPr>
        <w:spacing w:after="0" w:line="240" w:lineRule="auto"/>
      </w:pPr>
      <w:r>
        <w:separator/>
      </w:r>
    </w:p>
  </w:footnote>
  <w:footnote w:type="continuationSeparator" w:id="0">
    <w:p w14:paraId="6D416320" w14:textId="77777777" w:rsidR="00890439" w:rsidRDefault="00890439" w:rsidP="00BA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528EB" w14:textId="77777777" w:rsidR="009F588F" w:rsidRDefault="009F58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4D84D" w14:textId="77777777" w:rsidR="009F588F" w:rsidRDefault="009F58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E8D1D" w14:textId="77777777" w:rsidR="009F588F" w:rsidRDefault="009F58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7D9B"/>
    <w:multiLevelType w:val="hybridMultilevel"/>
    <w:tmpl w:val="F10E5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73DEF"/>
    <w:multiLevelType w:val="hybridMultilevel"/>
    <w:tmpl w:val="972033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6BCE"/>
    <w:multiLevelType w:val="hybridMultilevel"/>
    <w:tmpl w:val="26EECD7E"/>
    <w:lvl w:ilvl="0" w:tplc="65A62DE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3DB2"/>
    <w:multiLevelType w:val="hybridMultilevel"/>
    <w:tmpl w:val="1174D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1210"/>
    <w:multiLevelType w:val="hybridMultilevel"/>
    <w:tmpl w:val="323C9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209AE"/>
    <w:multiLevelType w:val="hybridMultilevel"/>
    <w:tmpl w:val="FB50A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561D8"/>
    <w:multiLevelType w:val="hybridMultilevel"/>
    <w:tmpl w:val="C2F607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36110"/>
    <w:multiLevelType w:val="hybridMultilevel"/>
    <w:tmpl w:val="C67C2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46429"/>
    <w:multiLevelType w:val="hybridMultilevel"/>
    <w:tmpl w:val="7AA8E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56BDC"/>
    <w:multiLevelType w:val="hybridMultilevel"/>
    <w:tmpl w:val="81A2820C"/>
    <w:lvl w:ilvl="0" w:tplc="65A62DE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B311D"/>
    <w:multiLevelType w:val="hybridMultilevel"/>
    <w:tmpl w:val="B5FADB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005EA9"/>
    <w:multiLevelType w:val="hybridMultilevel"/>
    <w:tmpl w:val="96D85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617FB"/>
    <w:multiLevelType w:val="hybridMultilevel"/>
    <w:tmpl w:val="7E54D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B11E3"/>
    <w:multiLevelType w:val="hybridMultilevel"/>
    <w:tmpl w:val="C836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12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94"/>
    <w:rsid w:val="000243DE"/>
    <w:rsid w:val="00036904"/>
    <w:rsid w:val="00056190"/>
    <w:rsid w:val="00063915"/>
    <w:rsid w:val="00085CD1"/>
    <w:rsid w:val="00091FAA"/>
    <w:rsid w:val="000B6CD4"/>
    <w:rsid w:val="000B7BCF"/>
    <w:rsid w:val="000C13DF"/>
    <w:rsid w:val="000D2D77"/>
    <w:rsid w:val="000D7247"/>
    <w:rsid w:val="000E0128"/>
    <w:rsid w:val="000E3741"/>
    <w:rsid w:val="000E70FA"/>
    <w:rsid w:val="000F399A"/>
    <w:rsid w:val="000F4F92"/>
    <w:rsid w:val="001339BB"/>
    <w:rsid w:val="00134897"/>
    <w:rsid w:val="001352C3"/>
    <w:rsid w:val="0013605C"/>
    <w:rsid w:val="00156FB6"/>
    <w:rsid w:val="0017677D"/>
    <w:rsid w:val="00185D39"/>
    <w:rsid w:val="00186BB8"/>
    <w:rsid w:val="001948EE"/>
    <w:rsid w:val="001A04B4"/>
    <w:rsid w:val="001A260C"/>
    <w:rsid w:val="001A2A1A"/>
    <w:rsid w:val="001A6406"/>
    <w:rsid w:val="001B31B0"/>
    <w:rsid w:val="001D3249"/>
    <w:rsid w:val="001D7784"/>
    <w:rsid w:val="001F3E65"/>
    <w:rsid w:val="001F486F"/>
    <w:rsid w:val="00236C37"/>
    <w:rsid w:val="00241062"/>
    <w:rsid w:val="00244355"/>
    <w:rsid w:val="00257CD9"/>
    <w:rsid w:val="00265C85"/>
    <w:rsid w:val="002729C6"/>
    <w:rsid w:val="0027303A"/>
    <w:rsid w:val="0028165B"/>
    <w:rsid w:val="00285D3D"/>
    <w:rsid w:val="002937EE"/>
    <w:rsid w:val="002A3BE1"/>
    <w:rsid w:val="002B18FB"/>
    <w:rsid w:val="002B4894"/>
    <w:rsid w:val="002D7507"/>
    <w:rsid w:val="002D7BEE"/>
    <w:rsid w:val="0030019F"/>
    <w:rsid w:val="00301736"/>
    <w:rsid w:val="00306910"/>
    <w:rsid w:val="00323898"/>
    <w:rsid w:val="003573C3"/>
    <w:rsid w:val="00377183"/>
    <w:rsid w:val="003803FE"/>
    <w:rsid w:val="00381C45"/>
    <w:rsid w:val="00397423"/>
    <w:rsid w:val="003B0751"/>
    <w:rsid w:val="003C3444"/>
    <w:rsid w:val="00404FD0"/>
    <w:rsid w:val="004070B2"/>
    <w:rsid w:val="004355AB"/>
    <w:rsid w:val="00450F46"/>
    <w:rsid w:val="0045455B"/>
    <w:rsid w:val="00456946"/>
    <w:rsid w:val="004771F9"/>
    <w:rsid w:val="0049228D"/>
    <w:rsid w:val="004A1558"/>
    <w:rsid w:val="004A36F7"/>
    <w:rsid w:val="004B5360"/>
    <w:rsid w:val="004C2F39"/>
    <w:rsid w:val="004C4777"/>
    <w:rsid w:val="00515979"/>
    <w:rsid w:val="00522D76"/>
    <w:rsid w:val="005406A8"/>
    <w:rsid w:val="0054731B"/>
    <w:rsid w:val="00570890"/>
    <w:rsid w:val="00596538"/>
    <w:rsid w:val="005A2005"/>
    <w:rsid w:val="005B7F4A"/>
    <w:rsid w:val="005C0C7D"/>
    <w:rsid w:val="005C27D5"/>
    <w:rsid w:val="005C3D9E"/>
    <w:rsid w:val="005D20D6"/>
    <w:rsid w:val="005D3DA3"/>
    <w:rsid w:val="005E0876"/>
    <w:rsid w:val="005E11C7"/>
    <w:rsid w:val="005E41FE"/>
    <w:rsid w:val="005E47A8"/>
    <w:rsid w:val="005E531B"/>
    <w:rsid w:val="005E6AB4"/>
    <w:rsid w:val="005F0055"/>
    <w:rsid w:val="006068AF"/>
    <w:rsid w:val="0061105C"/>
    <w:rsid w:val="00622ED9"/>
    <w:rsid w:val="006266B0"/>
    <w:rsid w:val="00627D7D"/>
    <w:rsid w:val="0064240C"/>
    <w:rsid w:val="00651992"/>
    <w:rsid w:val="00652C8F"/>
    <w:rsid w:val="00661678"/>
    <w:rsid w:val="00670ED0"/>
    <w:rsid w:val="00676534"/>
    <w:rsid w:val="0067748F"/>
    <w:rsid w:val="0068067C"/>
    <w:rsid w:val="00686C9F"/>
    <w:rsid w:val="0069099D"/>
    <w:rsid w:val="006A35DB"/>
    <w:rsid w:val="006B2C73"/>
    <w:rsid w:val="006C3811"/>
    <w:rsid w:val="006D3D6D"/>
    <w:rsid w:val="006E5E64"/>
    <w:rsid w:val="006E64D1"/>
    <w:rsid w:val="0071565C"/>
    <w:rsid w:val="00720A08"/>
    <w:rsid w:val="0075671E"/>
    <w:rsid w:val="00777AD4"/>
    <w:rsid w:val="00783251"/>
    <w:rsid w:val="00794AC2"/>
    <w:rsid w:val="00795959"/>
    <w:rsid w:val="007B0680"/>
    <w:rsid w:val="007C142B"/>
    <w:rsid w:val="007C71BF"/>
    <w:rsid w:val="007D2511"/>
    <w:rsid w:val="007E091D"/>
    <w:rsid w:val="007E6B50"/>
    <w:rsid w:val="00800385"/>
    <w:rsid w:val="0080409A"/>
    <w:rsid w:val="00834565"/>
    <w:rsid w:val="008362D0"/>
    <w:rsid w:val="00852B92"/>
    <w:rsid w:val="00860038"/>
    <w:rsid w:val="00860114"/>
    <w:rsid w:val="00860624"/>
    <w:rsid w:val="008624CF"/>
    <w:rsid w:val="00863F6F"/>
    <w:rsid w:val="00864C25"/>
    <w:rsid w:val="00867738"/>
    <w:rsid w:val="0087556C"/>
    <w:rsid w:val="00885E12"/>
    <w:rsid w:val="00890439"/>
    <w:rsid w:val="008A0394"/>
    <w:rsid w:val="008A5899"/>
    <w:rsid w:val="008B09B2"/>
    <w:rsid w:val="008B79F8"/>
    <w:rsid w:val="008D28A5"/>
    <w:rsid w:val="008E351F"/>
    <w:rsid w:val="008E6883"/>
    <w:rsid w:val="009029A2"/>
    <w:rsid w:val="00903382"/>
    <w:rsid w:val="0090376F"/>
    <w:rsid w:val="00924DE3"/>
    <w:rsid w:val="009550BE"/>
    <w:rsid w:val="00956CDA"/>
    <w:rsid w:val="00957500"/>
    <w:rsid w:val="009575EE"/>
    <w:rsid w:val="00986E90"/>
    <w:rsid w:val="00994C62"/>
    <w:rsid w:val="00996D8E"/>
    <w:rsid w:val="009A6C24"/>
    <w:rsid w:val="009B0614"/>
    <w:rsid w:val="009B31E0"/>
    <w:rsid w:val="009B6B46"/>
    <w:rsid w:val="009D2CC7"/>
    <w:rsid w:val="009E00C9"/>
    <w:rsid w:val="009E2DF9"/>
    <w:rsid w:val="009E59CC"/>
    <w:rsid w:val="009F0903"/>
    <w:rsid w:val="009F1991"/>
    <w:rsid w:val="009F3BD1"/>
    <w:rsid w:val="009F588F"/>
    <w:rsid w:val="00A10A16"/>
    <w:rsid w:val="00A1751B"/>
    <w:rsid w:val="00A23C70"/>
    <w:rsid w:val="00A24318"/>
    <w:rsid w:val="00A36761"/>
    <w:rsid w:val="00A3778C"/>
    <w:rsid w:val="00A50A4F"/>
    <w:rsid w:val="00A618C4"/>
    <w:rsid w:val="00A6518D"/>
    <w:rsid w:val="00A83BE1"/>
    <w:rsid w:val="00A86C61"/>
    <w:rsid w:val="00AA33FF"/>
    <w:rsid w:val="00AA49EC"/>
    <w:rsid w:val="00AA4E5C"/>
    <w:rsid w:val="00AC4355"/>
    <w:rsid w:val="00AE5CFE"/>
    <w:rsid w:val="00B066AE"/>
    <w:rsid w:val="00B11C3C"/>
    <w:rsid w:val="00B20F4E"/>
    <w:rsid w:val="00B239E3"/>
    <w:rsid w:val="00B26267"/>
    <w:rsid w:val="00B273C4"/>
    <w:rsid w:val="00B56A83"/>
    <w:rsid w:val="00B57AC0"/>
    <w:rsid w:val="00B6607E"/>
    <w:rsid w:val="00B716FE"/>
    <w:rsid w:val="00B94FBF"/>
    <w:rsid w:val="00BA158E"/>
    <w:rsid w:val="00BA1E74"/>
    <w:rsid w:val="00BA68AC"/>
    <w:rsid w:val="00BA6C0F"/>
    <w:rsid w:val="00BE605C"/>
    <w:rsid w:val="00BF1D9F"/>
    <w:rsid w:val="00C001C8"/>
    <w:rsid w:val="00C032FF"/>
    <w:rsid w:val="00C20AF8"/>
    <w:rsid w:val="00C25AF9"/>
    <w:rsid w:val="00C365CE"/>
    <w:rsid w:val="00C5431F"/>
    <w:rsid w:val="00C6023D"/>
    <w:rsid w:val="00C65A7C"/>
    <w:rsid w:val="00C76475"/>
    <w:rsid w:val="00C80F94"/>
    <w:rsid w:val="00C86DB0"/>
    <w:rsid w:val="00C96503"/>
    <w:rsid w:val="00CB142B"/>
    <w:rsid w:val="00CD00FA"/>
    <w:rsid w:val="00CE22CE"/>
    <w:rsid w:val="00CF14B2"/>
    <w:rsid w:val="00D00420"/>
    <w:rsid w:val="00D3448C"/>
    <w:rsid w:val="00D34DB3"/>
    <w:rsid w:val="00D36034"/>
    <w:rsid w:val="00D766AC"/>
    <w:rsid w:val="00D90B60"/>
    <w:rsid w:val="00E12505"/>
    <w:rsid w:val="00E5164D"/>
    <w:rsid w:val="00E57C60"/>
    <w:rsid w:val="00E60FEB"/>
    <w:rsid w:val="00E73F68"/>
    <w:rsid w:val="00E82F2E"/>
    <w:rsid w:val="00E862C5"/>
    <w:rsid w:val="00E90657"/>
    <w:rsid w:val="00E97DEB"/>
    <w:rsid w:val="00EA11F1"/>
    <w:rsid w:val="00EA22A2"/>
    <w:rsid w:val="00ED2D44"/>
    <w:rsid w:val="00EE16C0"/>
    <w:rsid w:val="00EE28A9"/>
    <w:rsid w:val="00EF0402"/>
    <w:rsid w:val="00EF232B"/>
    <w:rsid w:val="00F111BF"/>
    <w:rsid w:val="00F1269C"/>
    <w:rsid w:val="00F14FB4"/>
    <w:rsid w:val="00F31723"/>
    <w:rsid w:val="00F34224"/>
    <w:rsid w:val="00F34BE6"/>
    <w:rsid w:val="00F37337"/>
    <w:rsid w:val="00F47BC3"/>
    <w:rsid w:val="00F47F85"/>
    <w:rsid w:val="00F64945"/>
    <w:rsid w:val="00F861BB"/>
    <w:rsid w:val="00F87E6B"/>
    <w:rsid w:val="00F93A71"/>
    <w:rsid w:val="00F94054"/>
    <w:rsid w:val="00FA0EC4"/>
    <w:rsid w:val="00FA20F0"/>
    <w:rsid w:val="00FC4566"/>
    <w:rsid w:val="00FC51AB"/>
    <w:rsid w:val="00FC540D"/>
    <w:rsid w:val="00FC75DA"/>
    <w:rsid w:val="00FD713B"/>
    <w:rsid w:val="00FD7244"/>
    <w:rsid w:val="00FE4586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41275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F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0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F9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E74"/>
  </w:style>
  <w:style w:type="paragraph" w:styleId="Footer">
    <w:name w:val="footer"/>
    <w:basedOn w:val="Normal"/>
    <w:link w:val="FooterChar"/>
    <w:uiPriority w:val="99"/>
    <w:unhideWhenUsed/>
    <w:rsid w:val="00BA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C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35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2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ld.gov.au/greatbarrierree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vironment.gov.au/marine/gbr/protecting-the-ree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oftheGBR@ehp.qld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ef2050@environment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com.au/url?sa=i&amp;rct=j&amp;q=&amp;esrc=s&amp;source=images&amp;cd=&amp;cad=rja&amp;uact=8&amp;ved=0ahUKEwjWnLvk8s3KAhWF3KYKHVW0BMwQjRwIBw&amp;url=https://www.qld.gov.au/&amp;bvm=bv.113034660,d.dGY&amp;psig=AFQjCNGjEBUapuBYITqgb5Sxqr_apBt77A&amp;ust=1454118227187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10F92E4C.dotm</Template>
  <TotalTime>0</TotalTime>
  <Pages>4</Pages>
  <Words>1221</Words>
  <Characters>6965</Characters>
  <Application>Microsoft Office Word</Application>
  <DocSecurity>4</DocSecurity>
  <Lines>58</Lines>
  <Paragraphs>16</Paragraphs>
  <ScaleCrop>false</ScaleCrop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Barrier Reef Gully and Streambank Joint Program</dc:title>
  <dc:creator/>
  <cp:lastModifiedBy/>
  <cp:revision>1</cp:revision>
  <dcterms:created xsi:type="dcterms:W3CDTF">2017-02-24T03:26:00Z</dcterms:created>
  <dcterms:modified xsi:type="dcterms:W3CDTF">2017-02-24T03:26:00Z</dcterms:modified>
</cp:coreProperties>
</file>