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B4D4" w14:textId="0C2E79BB" w:rsidR="000E455C" w:rsidRDefault="007525DD" w:rsidP="0013173D">
      <w:pPr>
        <w:pStyle w:val="Date"/>
        <w:spacing w:before="1440"/>
      </w:pPr>
      <w:r>
        <w:t>March</w:t>
      </w:r>
      <w:r w:rsidR="0044304D">
        <w:t xml:space="preserve"> </w:t>
      </w:r>
      <w:r w:rsidR="00B82095">
        <w:t>20</w:t>
      </w:r>
      <w:r w:rsidR="0044304D">
        <w:t>2</w:t>
      </w:r>
      <w:r w:rsidR="00A0018B">
        <w:t>3</w:t>
      </w:r>
    </w:p>
    <w:p w14:paraId="4D141510" w14:textId="343134D4" w:rsidR="00D04A3C" w:rsidRPr="007B4C63" w:rsidRDefault="007525DD" w:rsidP="007B4C63">
      <w:pPr>
        <w:pStyle w:val="Series"/>
      </w:pPr>
      <w:r>
        <w:t>Plant export legislation changes</w:t>
      </w:r>
    </w:p>
    <w:p w14:paraId="1678DDCF" w14:textId="64913ECE" w:rsidR="00B82095" w:rsidRPr="00220618" w:rsidRDefault="007525DD" w:rsidP="007B4C63">
      <w:pPr>
        <w:pStyle w:val="Heading1"/>
      </w:pPr>
      <w:r w:rsidRPr="007525DD">
        <w:t xml:space="preserve">Plant rules: Changes affecting export bulk vessels (commencing 1 July 2023) </w:t>
      </w:r>
    </w:p>
    <w:p w14:paraId="0C8FB71D" w14:textId="77777777" w:rsidR="007525DD" w:rsidRDefault="007525DD" w:rsidP="007525DD">
      <w:r>
        <w:t>On 1 July 2023, the Export Control (Plants and Plant Products) Rules 2021 (Plant Rules) are being amended to align with current business and regulatory practices.</w:t>
      </w:r>
    </w:p>
    <w:p w14:paraId="00709434" w14:textId="77777777" w:rsidR="007525DD" w:rsidRDefault="007525DD" w:rsidP="007525DD">
      <w:r>
        <w:t>The changes to export bulk vessel survey practices will provide greater assurance to us, the shipping industry and Australia’s grain exporters that bulk vessels comply with agricultural export legislation.</w:t>
      </w:r>
    </w:p>
    <w:p w14:paraId="39BD8327" w14:textId="67338978" w:rsidR="00754CA3" w:rsidRDefault="007525DD" w:rsidP="007525DD">
      <w:r>
        <w:t>The changes do not affect the standard expected of vessels that will be loaded with Australian grain. They</w:t>
      </w:r>
      <w:r w:rsidR="00754CA3">
        <w:t>:</w:t>
      </w:r>
    </w:p>
    <w:p w14:paraId="5DDE06B3" w14:textId="0EDBAF79" w:rsidR="007525DD" w:rsidRDefault="001165A4" w:rsidP="007525DD">
      <w:pPr>
        <w:pStyle w:val="ListBullet"/>
      </w:pPr>
      <w:r>
        <w:t>p</w:t>
      </w:r>
      <w:r w:rsidR="007525DD">
        <w:t xml:space="preserve">ut in place more effective checks and balances to ensure surveying practices meet the current expected </w:t>
      </w:r>
      <w:proofErr w:type="gramStart"/>
      <w:r w:rsidR="007525DD">
        <w:t>standard</w:t>
      </w:r>
      <w:proofErr w:type="gramEnd"/>
    </w:p>
    <w:p w14:paraId="5F7743D9" w14:textId="6EEC0A36" w:rsidR="007525DD" w:rsidRDefault="007525DD" w:rsidP="007525DD">
      <w:pPr>
        <w:pStyle w:val="ListBullet"/>
      </w:pPr>
      <w:r>
        <w:t xml:space="preserve">minimise the risk of Australian grain becoming infested or contaminated after loading and while transiting to its destination overseas. </w:t>
      </w:r>
    </w:p>
    <w:p w14:paraId="42E1D922" w14:textId="4B524D7F" w:rsidR="00943779" w:rsidRDefault="0061282E" w:rsidP="00A8157A">
      <w:pPr>
        <w:pStyle w:val="Heading2"/>
      </w:pPr>
      <w:r>
        <w:t xml:space="preserve">Accredited Grain Surveyor Assurance scheme </w:t>
      </w:r>
    </w:p>
    <w:p w14:paraId="316B0BF0" w14:textId="675534B3" w:rsidR="0061282E" w:rsidRDefault="0061282E" w:rsidP="0061282E">
      <w:r>
        <w:t>We are introducing the Accredited Grain Surveyor Assurance (AGSA) scheme on 1 July 2023. We are working with the Australasian Institute of Marine Surveyors (AIMS) and representatives of Australia’s shipping and grain export industries to introduce and implement the Accredited Grain Surveyor Assurance (AGSA) scheme.</w:t>
      </w:r>
    </w:p>
    <w:p w14:paraId="6D53D43A" w14:textId="32D2943B" w:rsidR="000C4558" w:rsidRDefault="0061282E" w:rsidP="0061282E">
      <w:r>
        <w:t>The AGSA scheme clarifies the qualifications required for marine surveyors to be accredited to perform bulk vessel surveys and:</w:t>
      </w:r>
    </w:p>
    <w:p w14:paraId="6381593C" w14:textId="5460154A" w:rsidR="0061282E" w:rsidRDefault="0061282E" w:rsidP="0061282E">
      <w:pPr>
        <w:pStyle w:val="ListBullet"/>
      </w:pPr>
      <w:r>
        <w:t xml:space="preserve">reflects the broader range of relevant training and qualifications held by marine surveyors performing bulk vessel </w:t>
      </w:r>
      <w:proofErr w:type="gramStart"/>
      <w:r>
        <w:t>surveys</w:t>
      </w:r>
      <w:proofErr w:type="gramEnd"/>
      <w:r>
        <w:t xml:space="preserve"> </w:t>
      </w:r>
    </w:p>
    <w:p w14:paraId="36FF57BC" w14:textId="77777777" w:rsidR="0061282E" w:rsidRDefault="0061282E" w:rsidP="0061282E">
      <w:pPr>
        <w:pStyle w:val="ListBullet"/>
      </w:pPr>
      <w:r>
        <w:t xml:space="preserve">incorporates work experience requirements to provide greater assurance that new marine surveyors can perform surveys safely and </w:t>
      </w:r>
      <w:proofErr w:type="gramStart"/>
      <w:r>
        <w:t>compliantly</w:t>
      </w:r>
      <w:proofErr w:type="gramEnd"/>
      <w:r>
        <w:t xml:space="preserve"> </w:t>
      </w:r>
    </w:p>
    <w:p w14:paraId="2B48A53E" w14:textId="114FCF92" w:rsidR="0061282E" w:rsidRDefault="0061282E" w:rsidP="0061282E">
      <w:pPr>
        <w:pStyle w:val="ListBullet"/>
      </w:pPr>
      <w:r w:rsidRPr="0061282E">
        <w:t xml:space="preserve">minimises fraudulent practices surrounding qualification and experience requirements. </w:t>
      </w:r>
    </w:p>
    <w:p w14:paraId="5380BC5A" w14:textId="77777777" w:rsidR="009B50CA" w:rsidRDefault="009B50CA" w:rsidP="009B50CA">
      <w:pPr>
        <w:rPr>
          <w:rFonts w:ascii="Calibri" w:eastAsiaTheme="minorEastAsia" w:hAnsi="Calibri"/>
          <w:b/>
          <w:bCs/>
          <w:sz w:val="28"/>
          <w:szCs w:val="28"/>
          <w:lang w:eastAsia="ja-JP"/>
        </w:rPr>
      </w:pPr>
      <w:r w:rsidRPr="009B50CA">
        <w:rPr>
          <w:rFonts w:ascii="Calibri" w:eastAsiaTheme="minorEastAsia" w:hAnsi="Calibri"/>
          <w:b/>
          <w:bCs/>
          <w:sz w:val="28"/>
          <w:szCs w:val="28"/>
          <w:lang w:eastAsia="ja-JP"/>
        </w:rPr>
        <w:t xml:space="preserve">Administration of AGSA scheme by </w:t>
      </w:r>
      <w:proofErr w:type="gramStart"/>
      <w:r w:rsidRPr="009B50CA">
        <w:rPr>
          <w:rFonts w:ascii="Calibri" w:eastAsiaTheme="minorEastAsia" w:hAnsi="Calibri"/>
          <w:b/>
          <w:bCs/>
          <w:sz w:val="28"/>
          <w:szCs w:val="28"/>
          <w:lang w:eastAsia="ja-JP"/>
        </w:rPr>
        <w:t>AIMS</w:t>
      </w:r>
      <w:proofErr w:type="gramEnd"/>
    </w:p>
    <w:p w14:paraId="7D7CE69A" w14:textId="0668B70C" w:rsidR="009B50CA" w:rsidRDefault="009B50CA" w:rsidP="009B50CA">
      <w:pPr>
        <w:pStyle w:val="ListBullet"/>
      </w:pPr>
      <w:r>
        <w:t xml:space="preserve">AIMS members and non-members may apply to AIMS to be accredited under the AGSA scheme. </w:t>
      </w:r>
    </w:p>
    <w:p w14:paraId="55935AF6" w14:textId="28ACCC2A" w:rsidR="009B50CA" w:rsidRDefault="009B50CA" w:rsidP="009B50CA">
      <w:pPr>
        <w:pStyle w:val="ListBullet"/>
      </w:pPr>
      <w:r>
        <w:t>Accreditation must be renewed annually at a fee of $250 per marine surveyor. When first applying, an application fee of $</w:t>
      </w:r>
      <w:r w:rsidR="00196F09">
        <w:t>150</w:t>
      </w:r>
      <w:r>
        <w:t xml:space="preserve"> will also apply. </w:t>
      </w:r>
    </w:p>
    <w:p w14:paraId="684D2A8C" w14:textId="77777777" w:rsidR="009B50CA" w:rsidRDefault="009B50CA" w:rsidP="009B50CA">
      <w:pPr>
        <w:pStyle w:val="ListBullet"/>
      </w:pPr>
      <w:r>
        <w:lastRenderedPageBreak/>
        <w:t xml:space="preserve">The fees will facilitate assessment of applications and ongoing management of marine surveyors’ accreditations by AIMS. </w:t>
      </w:r>
    </w:p>
    <w:p w14:paraId="0BA678A6" w14:textId="77777777" w:rsidR="009B50CA" w:rsidRDefault="009B50CA" w:rsidP="009B50CA">
      <w:pPr>
        <w:pStyle w:val="ListBullet"/>
      </w:pPr>
      <w:r>
        <w:t xml:space="preserve">A list of accredited marine surveyors will be available on the AIMS website. </w:t>
      </w:r>
    </w:p>
    <w:p w14:paraId="19AAD71B" w14:textId="77777777" w:rsidR="009B50CA" w:rsidRDefault="009B50CA" w:rsidP="009B50CA">
      <w:pPr>
        <w:pStyle w:val="ListBullet"/>
      </w:pPr>
      <w:r>
        <w:t xml:space="preserve">Accredited marine surveyors will receive identification cards as evidence of their annual accreditation. </w:t>
      </w:r>
    </w:p>
    <w:p w14:paraId="073BCA9F" w14:textId="5BD8726E" w:rsidR="009B50CA" w:rsidRDefault="009B50CA" w:rsidP="009B50CA">
      <w:pPr>
        <w:pStyle w:val="ListBullet"/>
      </w:pPr>
      <w:r>
        <w:t xml:space="preserve">AIMS and the department will provide more information on how and when to apply for the AGSA scheme. </w:t>
      </w:r>
    </w:p>
    <w:p w14:paraId="6C6CC48C" w14:textId="2B444BA0" w:rsidR="009B50CA" w:rsidRDefault="009B50CA" w:rsidP="009B50CA">
      <w:pPr>
        <w:pStyle w:val="Heading2"/>
      </w:pPr>
      <w:r w:rsidRPr="009B50CA">
        <w:t>Sourcing accredited marine surveyors</w:t>
      </w:r>
    </w:p>
    <w:p w14:paraId="00F01975" w14:textId="70FD0B0A" w:rsidR="009B50CA" w:rsidRDefault="009B50CA" w:rsidP="009B50CA">
      <w:r>
        <w:t>Exporters and shipping companies will be required to source marine surveyors accredited under the AGSA scheme to perform bulk vessel surveys:</w:t>
      </w:r>
    </w:p>
    <w:p w14:paraId="3A522DA7" w14:textId="015F298C" w:rsidR="009B50CA" w:rsidRDefault="009B50CA" w:rsidP="009B50CA">
      <w:pPr>
        <w:pStyle w:val="ListBullet"/>
      </w:pPr>
      <w:r>
        <w:t xml:space="preserve">When inspecting the bulk vessel, bulk vessel inspection authorised officers (BVI AOs) will confirm marine surveyors are accredited. This must be done before the BVI AO approves the vessel for loading with grain. </w:t>
      </w:r>
    </w:p>
    <w:p w14:paraId="1141ABE3" w14:textId="0D39BFFD" w:rsidR="009B50CA" w:rsidRDefault="009B50CA" w:rsidP="009B50CA">
      <w:pPr>
        <w:pStyle w:val="ListBullet"/>
      </w:pPr>
      <w:r>
        <w:t xml:space="preserve">BVI AOs will not accept marine surveyor certificates (Fitness to Load certificates) from non-accredited surveyors. </w:t>
      </w:r>
    </w:p>
    <w:p w14:paraId="4EA11AD7" w14:textId="269A1CE6" w:rsidR="009B50CA" w:rsidRDefault="009B50CA" w:rsidP="009B50CA">
      <w:pPr>
        <w:pStyle w:val="ListBullet"/>
      </w:pPr>
      <w:r>
        <w:t xml:space="preserve">We will provide information and changes to instructional material to support BVI AOs, exporters, marine </w:t>
      </w:r>
      <w:proofErr w:type="gramStart"/>
      <w:r>
        <w:t>surveyors</w:t>
      </w:r>
      <w:proofErr w:type="gramEnd"/>
      <w:r>
        <w:t xml:space="preserve"> and industry to understand the changes closer to commencement. </w:t>
      </w:r>
    </w:p>
    <w:p w14:paraId="7A0CE839" w14:textId="6869B571" w:rsidR="009B50CA" w:rsidRDefault="009B50CA" w:rsidP="009B50CA">
      <w:pPr>
        <w:pStyle w:val="Heading2"/>
      </w:pPr>
      <w:r w:rsidRPr="009B50CA">
        <w:t>Qualification and experience requirements for accreditation</w:t>
      </w:r>
    </w:p>
    <w:p w14:paraId="3411278F" w14:textId="453F6466" w:rsidR="009B50CA" w:rsidRDefault="009B50CA" w:rsidP="009B50CA">
      <w:r>
        <w:t xml:space="preserve">Marine surveyors must hold at least one of a combination of qualification and experience options listed in </w:t>
      </w:r>
      <w:r w:rsidR="00196F09" w:rsidRPr="00196F09">
        <w:rPr>
          <w:b/>
          <w:bCs/>
        </w:rPr>
        <w:fldChar w:fldCharType="begin"/>
      </w:r>
      <w:r w:rsidR="00196F09" w:rsidRPr="00196F09">
        <w:rPr>
          <w:b/>
          <w:bCs/>
        </w:rPr>
        <w:instrText xml:space="preserve"> REF _Ref130206270 \h </w:instrText>
      </w:r>
      <w:r w:rsidR="00196F09">
        <w:rPr>
          <w:b/>
          <w:bCs/>
        </w:rPr>
        <w:instrText xml:space="preserve"> \* MERGEFORMAT </w:instrText>
      </w:r>
      <w:r w:rsidR="00196F09" w:rsidRPr="00196F09">
        <w:rPr>
          <w:b/>
          <w:bCs/>
        </w:rPr>
      </w:r>
      <w:r w:rsidR="00196F09" w:rsidRPr="00196F09">
        <w:rPr>
          <w:b/>
          <w:bCs/>
        </w:rPr>
        <w:fldChar w:fldCharType="separate"/>
      </w:r>
      <w:r w:rsidR="00DC4A9F" w:rsidRPr="00DC4A9F">
        <w:rPr>
          <w:b/>
          <w:bCs/>
        </w:rPr>
        <w:t>Table 1</w:t>
      </w:r>
      <w:r w:rsidR="00DC4A9F" w:rsidRPr="00196F09">
        <w:t xml:space="preserve"> Marine surveyor qualification and experience requirements</w:t>
      </w:r>
      <w:r w:rsidR="00196F09" w:rsidRPr="00196F09">
        <w:rPr>
          <w:b/>
          <w:bCs/>
        </w:rPr>
        <w:fldChar w:fldCharType="end"/>
      </w:r>
      <w:r>
        <w:t xml:space="preserve">. </w:t>
      </w:r>
    </w:p>
    <w:p w14:paraId="0A84570C" w14:textId="37E63172" w:rsidR="00196F09" w:rsidRDefault="00196F09" w:rsidP="00196F09">
      <w:pPr>
        <w:pStyle w:val="Heading3"/>
      </w:pPr>
      <w:bookmarkStart w:id="0" w:name="_Ref130206270"/>
      <w:r w:rsidRPr="00196F09">
        <w:t>Table 1 Marine surveyor qualification and experience requirements</w:t>
      </w:r>
      <w:bookmarkEnd w:id="0"/>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1393"/>
        <w:gridCol w:w="4734"/>
        <w:gridCol w:w="3285"/>
      </w:tblGrid>
      <w:tr w:rsidR="00196F09" w:rsidRPr="00787688" w14:paraId="3269C3C4" w14:textId="77777777" w:rsidTr="00C33346">
        <w:trPr>
          <w:cantSplit/>
          <w:tblHeader/>
        </w:trPr>
        <w:tc>
          <w:tcPr>
            <w:tcW w:w="740" w:type="pct"/>
            <w:tcMar>
              <w:left w:w="108" w:type="dxa"/>
              <w:right w:w="108" w:type="dxa"/>
            </w:tcMar>
          </w:tcPr>
          <w:p w14:paraId="5DA55BAF" w14:textId="77777777" w:rsidR="00196F09" w:rsidRPr="00787688" w:rsidRDefault="00196F09" w:rsidP="00196F09">
            <w:pPr>
              <w:pStyle w:val="TableHeading"/>
            </w:pPr>
            <w:r w:rsidRPr="00787688">
              <w:t>Option</w:t>
            </w:r>
          </w:p>
        </w:tc>
        <w:tc>
          <w:tcPr>
            <w:tcW w:w="2515" w:type="pct"/>
            <w:tcMar>
              <w:left w:w="108" w:type="dxa"/>
              <w:right w:w="108" w:type="dxa"/>
            </w:tcMar>
          </w:tcPr>
          <w:p w14:paraId="2BBB305A" w14:textId="77777777" w:rsidR="00196F09" w:rsidRPr="00787688" w:rsidRDefault="00196F09" w:rsidP="00196F09">
            <w:pPr>
              <w:pStyle w:val="TableHeading"/>
            </w:pPr>
            <w:r w:rsidRPr="00787688">
              <w:t>Qualification</w:t>
            </w:r>
          </w:p>
        </w:tc>
        <w:tc>
          <w:tcPr>
            <w:tcW w:w="1745" w:type="pct"/>
            <w:tcMar>
              <w:left w:w="108" w:type="dxa"/>
              <w:right w:w="108" w:type="dxa"/>
            </w:tcMar>
          </w:tcPr>
          <w:p w14:paraId="473AB620" w14:textId="77777777" w:rsidR="00196F09" w:rsidRPr="00787688" w:rsidRDefault="00196F09" w:rsidP="00196F09">
            <w:pPr>
              <w:pStyle w:val="TableHeading"/>
            </w:pPr>
            <w:r w:rsidRPr="00787688">
              <w:t>Experience</w:t>
            </w:r>
          </w:p>
        </w:tc>
      </w:tr>
      <w:tr w:rsidR="00196F09" w:rsidRPr="00787688" w14:paraId="1E4DB175" w14:textId="77777777" w:rsidTr="00C33346">
        <w:tc>
          <w:tcPr>
            <w:tcW w:w="740" w:type="pct"/>
            <w:tcMar>
              <w:left w:w="108" w:type="dxa"/>
              <w:right w:w="108" w:type="dxa"/>
            </w:tcMar>
          </w:tcPr>
          <w:p w14:paraId="1E87FD63" w14:textId="0FC26D32" w:rsidR="00196F09" w:rsidRPr="00787688" w:rsidRDefault="00196F09" w:rsidP="00196F09">
            <w:pPr>
              <w:pStyle w:val="Tablenumberedlist"/>
              <w:rPr>
                <w:lang w:val="en-GB" w:eastAsia="en-AU"/>
              </w:rPr>
            </w:pPr>
          </w:p>
        </w:tc>
        <w:tc>
          <w:tcPr>
            <w:tcW w:w="2515" w:type="pct"/>
            <w:tcMar>
              <w:left w:w="108" w:type="dxa"/>
              <w:right w:w="108" w:type="dxa"/>
            </w:tcMar>
          </w:tcPr>
          <w:p w14:paraId="621087DE" w14:textId="77777777" w:rsidR="00196F09" w:rsidRPr="00787688" w:rsidRDefault="00196F09" w:rsidP="00196F09">
            <w:pPr>
              <w:pStyle w:val="TableText"/>
            </w:pPr>
            <w:r w:rsidRPr="00787688">
              <w:t>Hold or have held either a:</w:t>
            </w:r>
          </w:p>
          <w:p w14:paraId="2F3945BD" w14:textId="77777777" w:rsidR="00196F09" w:rsidRPr="00787688" w:rsidRDefault="00196F09" w:rsidP="00196F09">
            <w:pPr>
              <w:pStyle w:val="TableBullet1"/>
            </w:pPr>
            <w:r w:rsidRPr="00787688">
              <w:t>Master Class 1 (Unrestricted) Certificate, or</w:t>
            </w:r>
          </w:p>
          <w:p w14:paraId="43352154" w14:textId="77777777" w:rsidR="00196F09" w:rsidRPr="00787688" w:rsidRDefault="00196F09" w:rsidP="00196F09">
            <w:pPr>
              <w:pStyle w:val="TableBullet1"/>
              <w:rPr>
                <w:rFonts w:eastAsia="Times New Roman" w:cs="Arial"/>
                <w:color w:val="000000"/>
                <w:lang w:val="en-GB" w:eastAsia="en-AU"/>
              </w:rPr>
            </w:pPr>
            <w:r w:rsidRPr="00787688">
              <w:rPr>
                <w:rFonts w:eastAsia="Times New Roman" w:cs="Arial"/>
                <w:color w:val="000000"/>
                <w:lang w:val="en-GB" w:eastAsia="en-AU"/>
              </w:rPr>
              <w:t xml:space="preserve">Master grade Certificate of Competency as outlined under </w:t>
            </w:r>
            <w:r w:rsidRPr="00787688">
              <w:rPr>
                <w:rFonts w:eastAsia="Times New Roman" w:cs="Arial"/>
                <w:i/>
                <w:iCs/>
                <w:color w:val="000000"/>
                <w:lang w:val="en-GB" w:eastAsia="en-AU"/>
              </w:rPr>
              <w:t>Schedule 1 of Marine Orders 71 (Masters and deck officers)</w:t>
            </w:r>
            <w:r w:rsidRPr="00787688">
              <w:rPr>
                <w:rFonts w:eastAsia="Times New Roman" w:cs="Arial"/>
                <w:color w:val="000000"/>
                <w:lang w:val="en-GB" w:eastAsia="en-AU"/>
              </w:rPr>
              <w:t xml:space="preserve"> </w:t>
            </w:r>
            <w:r w:rsidRPr="00787688">
              <w:rPr>
                <w:rFonts w:eastAsia="Times New Roman" w:cs="Arial"/>
                <w:i/>
                <w:iCs/>
                <w:color w:val="000000"/>
                <w:lang w:val="en-GB" w:eastAsia="en-AU"/>
              </w:rPr>
              <w:t>2014</w:t>
            </w:r>
            <w:r w:rsidRPr="00787688">
              <w:rPr>
                <w:rFonts w:eastAsia="Times New Roman" w:cs="Arial"/>
                <w:color w:val="000000"/>
                <w:lang w:val="en-GB" w:eastAsia="en-AU"/>
              </w:rPr>
              <w:t xml:space="preserve"> made under the Navigation Act 2021.</w:t>
            </w:r>
          </w:p>
        </w:tc>
        <w:tc>
          <w:tcPr>
            <w:tcW w:w="1745" w:type="pct"/>
            <w:vMerge w:val="restart"/>
            <w:tcMar>
              <w:left w:w="108" w:type="dxa"/>
              <w:right w:w="108" w:type="dxa"/>
            </w:tcMar>
          </w:tcPr>
          <w:p w14:paraId="684C59CC" w14:textId="77777777" w:rsidR="00196F09" w:rsidRPr="00787688" w:rsidRDefault="00196F09" w:rsidP="00196F09">
            <w:pPr>
              <w:pStyle w:val="TableText"/>
            </w:pPr>
            <w:r w:rsidRPr="00787688">
              <w:t>Either:</w:t>
            </w:r>
          </w:p>
          <w:p w14:paraId="541DCF7C" w14:textId="77777777" w:rsidR="00196F09" w:rsidRPr="00787688" w:rsidRDefault="00196F09" w:rsidP="00196F09">
            <w:pPr>
              <w:pStyle w:val="TableBullet1"/>
            </w:pPr>
            <w:r w:rsidRPr="00787688">
              <w:t>12 months served on a bulk carrier with at least 6 months in the capacity of Chief Officer, or</w:t>
            </w:r>
          </w:p>
          <w:p w14:paraId="16ADA2DD" w14:textId="77777777" w:rsidR="00196F09" w:rsidRPr="00787688" w:rsidRDefault="00196F09" w:rsidP="00196F09">
            <w:pPr>
              <w:pStyle w:val="TableBullet1"/>
              <w:rPr>
                <w:sz w:val="20"/>
              </w:rPr>
            </w:pPr>
            <w:r w:rsidRPr="00787688">
              <w:t>3 years’ experience as a marine surveyor of bulk carriers.</w:t>
            </w:r>
          </w:p>
        </w:tc>
      </w:tr>
      <w:tr w:rsidR="00196F09" w:rsidRPr="00787688" w14:paraId="3778EDF1" w14:textId="77777777" w:rsidTr="00C33346">
        <w:tc>
          <w:tcPr>
            <w:tcW w:w="740" w:type="pct"/>
            <w:tcMar>
              <w:left w:w="108" w:type="dxa"/>
              <w:right w:w="108" w:type="dxa"/>
            </w:tcMar>
          </w:tcPr>
          <w:p w14:paraId="259D9FAF" w14:textId="55C60165" w:rsidR="00196F09" w:rsidRPr="00787688" w:rsidRDefault="00196F09" w:rsidP="00196F09">
            <w:pPr>
              <w:pStyle w:val="Tablenumberedlist"/>
              <w:rPr>
                <w:lang w:val="en-GB" w:eastAsia="en-AU"/>
              </w:rPr>
            </w:pPr>
          </w:p>
        </w:tc>
        <w:tc>
          <w:tcPr>
            <w:tcW w:w="2515" w:type="pct"/>
            <w:tcMar>
              <w:left w:w="108" w:type="dxa"/>
              <w:right w:w="108" w:type="dxa"/>
            </w:tcMar>
          </w:tcPr>
          <w:p w14:paraId="2B03CFAC" w14:textId="77777777" w:rsidR="00196F09" w:rsidRPr="00787688" w:rsidRDefault="00196F09" w:rsidP="00196F09">
            <w:pPr>
              <w:pStyle w:val="TableText"/>
            </w:pPr>
            <w:r w:rsidRPr="00787688">
              <w:t>Advanced Diploma of Maritime Operations (Master Unlimited).</w:t>
            </w:r>
          </w:p>
        </w:tc>
        <w:tc>
          <w:tcPr>
            <w:tcW w:w="1745" w:type="pct"/>
            <w:vMerge/>
            <w:tcMar>
              <w:left w:w="108" w:type="dxa"/>
              <w:right w:w="108" w:type="dxa"/>
            </w:tcMar>
          </w:tcPr>
          <w:p w14:paraId="4C42BDD2" w14:textId="77777777" w:rsidR="00196F09" w:rsidRPr="00787688" w:rsidRDefault="00196F09" w:rsidP="00C33346">
            <w:pPr>
              <w:spacing w:before="60" w:after="60" w:line="240" w:lineRule="auto"/>
              <w:rPr>
                <w:rFonts w:eastAsia="Times New Roman" w:cs="Arial"/>
                <w:color w:val="000000"/>
                <w:sz w:val="19"/>
                <w:lang w:val="en-GB" w:eastAsia="en-AU"/>
              </w:rPr>
            </w:pPr>
          </w:p>
        </w:tc>
      </w:tr>
      <w:tr w:rsidR="00196F09" w:rsidRPr="00787688" w14:paraId="152F8AB3" w14:textId="77777777" w:rsidTr="00C33346">
        <w:tc>
          <w:tcPr>
            <w:tcW w:w="740" w:type="pct"/>
            <w:tcBorders>
              <w:bottom w:val="single" w:sz="2" w:space="0" w:color="000000" w:themeColor="text1"/>
            </w:tcBorders>
            <w:tcMar>
              <w:left w:w="108" w:type="dxa"/>
              <w:right w:w="108" w:type="dxa"/>
            </w:tcMar>
          </w:tcPr>
          <w:p w14:paraId="354D096C" w14:textId="66B989FE" w:rsidR="00196F09" w:rsidRPr="00787688" w:rsidRDefault="00196F09" w:rsidP="00196F09">
            <w:pPr>
              <w:pStyle w:val="Tablenumberedlist"/>
            </w:pPr>
          </w:p>
        </w:tc>
        <w:tc>
          <w:tcPr>
            <w:tcW w:w="2515" w:type="pct"/>
            <w:tcBorders>
              <w:bottom w:val="single" w:sz="2" w:space="0" w:color="000000" w:themeColor="text1"/>
            </w:tcBorders>
            <w:tcMar>
              <w:left w:w="108" w:type="dxa"/>
              <w:right w:w="108" w:type="dxa"/>
            </w:tcMar>
          </w:tcPr>
          <w:p w14:paraId="676F4A06" w14:textId="77777777" w:rsidR="00196F09" w:rsidRPr="00787688" w:rsidRDefault="00196F09" w:rsidP="00196F09">
            <w:pPr>
              <w:pStyle w:val="TableText"/>
            </w:pPr>
            <w:r w:rsidRPr="00787688">
              <w:t>Diploma or Advanced Diploma of Marine Surveying with the modules for dry bulk cargo and grain operations.</w:t>
            </w:r>
          </w:p>
        </w:tc>
        <w:tc>
          <w:tcPr>
            <w:tcW w:w="1745" w:type="pct"/>
            <w:vMerge/>
            <w:tcMar>
              <w:left w:w="108" w:type="dxa"/>
              <w:right w:w="108" w:type="dxa"/>
            </w:tcMar>
          </w:tcPr>
          <w:p w14:paraId="3377C78F" w14:textId="77777777" w:rsidR="00196F09" w:rsidRPr="00787688" w:rsidRDefault="00196F09" w:rsidP="00C33346">
            <w:pPr>
              <w:spacing w:before="60" w:after="60" w:line="240" w:lineRule="auto"/>
              <w:rPr>
                <w:rFonts w:eastAsia="Times New Roman" w:cs="Arial"/>
                <w:color w:val="000000"/>
                <w:sz w:val="19"/>
                <w:lang w:val="en-GB" w:eastAsia="en-AU"/>
              </w:rPr>
            </w:pPr>
          </w:p>
        </w:tc>
      </w:tr>
      <w:tr w:rsidR="00196F09" w:rsidRPr="00787688" w14:paraId="729F8FC2" w14:textId="77777777" w:rsidTr="00C33346">
        <w:tc>
          <w:tcPr>
            <w:tcW w:w="740" w:type="pct"/>
            <w:tcBorders>
              <w:top w:val="single" w:sz="2" w:space="0" w:color="000000" w:themeColor="text1"/>
            </w:tcBorders>
            <w:tcMar>
              <w:left w:w="108" w:type="dxa"/>
              <w:right w:w="108" w:type="dxa"/>
            </w:tcMar>
          </w:tcPr>
          <w:p w14:paraId="5BE8AF05" w14:textId="147198B5" w:rsidR="00196F09" w:rsidRPr="00787688" w:rsidRDefault="00196F09" w:rsidP="00196F09">
            <w:pPr>
              <w:pStyle w:val="Tablenumberedlist"/>
              <w:rPr>
                <w:lang w:val="en-GB" w:eastAsia="en-AU"/>
              </w:rPr>
            </w:pPr>
          </w:p>
        </w:tc>
        <w:tc>
          <w:tcPr>
            <w:tcW w:w="2515" w:type="pct"/>
            <w:tcBorders>
              <w:top w:val="single" w:sz="2" w:space="0" w:color="000000" w:themeColor="text1"/>
            </w:tcBorders>
            <w:tcMar>
              <w:left w:w="108" w:type="dxa"/>
              <w:right w:w="108" w:type="dxa"/>
            </w:tcMar>
          </w:tcPr>
          <w:p w14:paraId="088F434A" w14:textId="77777777" w:rsidR="00196F09" w:rsidRPr="00787688" w:rsidRDefault="00196F09" w:rsidP="00196F09">
            <w:pPr>
              <w:pStyle w:val="TableText"/>
            </w:pPr>
            <w:r w:rsidRPr="00787688">
              <w:t>Diploma of Maritime Operations (Watchkeeper Deck) with modules for dry bulk cargo and grain operations.</w:t>
            </w:r>
          </w:p>
        </w:tc>
        <w:tc>
          <w:tcPr>
            <w:tcW w:w="1745" w:type="pct"/>
            <w:vMerge/>
            <w:tcMar>
              <w:left w:w="108" w:type="dxa"/>
              <w:right w:w="108" w:type="dxa"/>
            </w:tcMar>
          </w:tcPr>
          <w:p w14:paraId="7B1513A5" w14:textId="77777777" w:rsidR="00196F09" w:rsidRPr="00787688" w:rsidRDefault="00196F09" w:rsidP="00C33346">
            <w:pPr>
              <w:spacing w:before="60" w:after="60" w:line="240" w:lineRule="auto"/>
              <w:rPr>
                <w:rFonts w:eastAsia="Times New Roman" w:cs="Arial"/>
                <w:color w:val="000000"/>
                <w:sz w:val="19"/>
                <w:lang w:val="en-GB" w:eastAsia="en-AU"/>
              </w:rPr>
            </w:pPr>
          </w:p>
        </w:tc>
      </w:tr>
    </w:tbl>
    <w:p w14:paraId="51CA6B29" w14:textId="1350988E" w:rsidR="00AF2381" w:rsidRDefault="00AF2381" w:rsidP="00AF2381"/>
    <w:p w14:paraId="15F946EC" w14:textId="17227C37" w:rsidR="00AF2381" w:rsidRDefault="00AF2381" w:rsidP="00AF2381"/>
    <w:p w14:paraId="21041177" w14:textId="341EC0A6" w:rsidR="00AF2381" w:rsidRDefault="00AF2381" w:rsidP="00AF2381"/>
    <w:p w14:paraId="1AD15F8C" w14:textId="6D4B3D06" w:rsidR="00AF2381" w:rsidRDefault="00AF2381" w:rsidP="00AF2381"/>
    <w:p w14:paraId="7A70EDBC" w14:textId="77777777" w:rsidR="00AF2381" w:rsidRDefault="00AF2381" w:rsidP="00AF2381"/>
    <w:p w14:paraId="28F5B95A" w14:textId="426FB047" w:rsidR="00196F09" w:rsidRDefault="00196F09" w:rsidP="00196F09">
      <w:pPr>
        <w:pStyle w:val="Heading2"/>
        <w:ind w:left="0" w:firstLine="0"/>
      </w:pPr>
      <w:r>
        <w:lastRenderedPageBreak/>
        <w:t>Evidence</w:t>
      </w:r>
      <w:r w:rsidRPr="00196F09">
        <w:t xml:space="preserve"> required when applying for </w:t>
      </w:r>
      <w:proofErr w:type="gramStart"/>
      <w:r w:rsidRPr="00196F09">
        <w:t>accreditation</w:t>
      </w:r>
      <w:proofErr w:type="gramEnd"/>
    </w:p>
    <w:p w14:paraId="7038326F" w14:textId="0BCD1837" w:rsidR="00715189" w:rsidRDefault="00196F09" w:rsidP="00196F09">
      <w:r w:rsidRPr="00196F09">
        <w:t>When applying to AIMS for the AGSA scheme, applicants must provide the evidence set out in</w:t>
      </w:r>
      <w:r>
        <w:t xml:space="preserve"> </w:t>
      </w:r>
      <w:r w:rsidR="00715189">
        <w:rPr>
          <w:b/>
          <w:bCs/>
        </w:rPr>
        <w:fldChar w:fldCharType="begin"/>
      </w:r>
      <w:r w:rsidR="00715189">
        <w:instrText xml:space="preserve"> REF _Ref130206632 \h </w:instrText>
      </w:r>
      <w:r w:rsidR="00715189">
        <w:rPr>
          <w:b/>
          <w:bCs/>
        </w:rPr>
      </w:r>
      <w:r w:rsidR="00715189">
        <w:rPr>
          <w:b/>
          <w:bCs/>
        </w:rPr>
        <w:fldChar w:fldCharType="separate"/>
      </w:r>
      <w:r w:rsidR="00DC4A9F">
        <w:t>Table 2 Evidence of qualification and experience requirements when applying for accreditation</w:t>
      </w:r>
      <w:r w:rsidR="00715189">
        <w:rPr>
          <w:b/>
          <w:bCs/>
        </w:rPr>
        <w:fldChar w:fldCharType="end"/>
      </w:r>
      <w:r>
        <w:t>.</w:t>
      </w:r>
    </w:p>
    <w:p w14:paraId="36007370" w14:textId="4A59657B" w:rsidR="00715189" w:rsidRDefault="00715189" w:rsidP="00715189">
      <w:pPr>
        <w:pStyle w:val="Heading3"/>
      </w:pPr>
      <w:bookmarkStart w:id="1" w:name="_Ref130206632"/>
      <w:r>
        <w:t xml:space="preserve">Table 2 Evidence of qualification and experience requirements when applying for </w:t>
      </w:r>
      <w:proofErr w:type="gramStart"/>
      <w:r>
        <w:t>accreditation</w:t>
      </w:r>
      <w:bookmarkEnd w:id="1"/>
      <w:proofErr w:type="gramEnd"/>
    </w:p>
    <w:tbl>
      <w:tblPr>
        <w:tblW w:w="5000" w:type="pct"/>
        <w:tblBorders>
          <w:top w:val="single" w:sz="4" w:space="0" w:color="auto"/>
          <w:bottom w:val="single" w:sz="4" w:space="0" w:color="auto"/>
          <w:insideH w:val="single" w:sz="4" w:space="0" w:color="auto"/>
        </w:tblBorders>
        <w:tblCellMar>
          <w:left w:w="40" w:type="dxa"/>
          <w:right w:w="40" w:type="dxa"/>
        </w:tblCellMar>
        <w:tblLook w:val="0000" w:firstRow="0" w:lastRow="0" w:firstColumn="0" w:lastColumn="0" w:noHBand="0" w:noVBand="0"/>
      </w:tblPr>
      <w:tblGrid>
        <w:gridCol w:w="4734"/>
        <w:gridCol w:w="4678"/>
      </w:tblGrid>
      <w:tr w:rsidR="00196F09" w:rsidRPr="00787688" w14:paraId="18980CB4" w14:textId="77777777" w:rsidTr="00C33346">
        <w:trPr>
          <w:cantSplit/>
          <w:tblHeader/>
        </w:trPr>
        <w:tc>
          <w:tcPr>
            <w:tcW w:w="2515" w:type="pct"/>
            <w:tcMar>
              <w:left w:w="108" w:type="dxa"/>
              <w:right w:w="108" w:type="dxa"/>
            </w:tcMar>
          </w:tcPr>
          <w:p w14:paraId="27AA9892" w14:textId="77777777" w:rsidR="00196F09" w:rsidRPr="00787688" w:rsidRDefault="00196F09" w:rsidP="00715189">
            <w:pPr>
              <w:pStyle w:val="TableHeading"/>
            </w:pPr>
            <w:r w:rsidRPr="00787688">
              <w:t>Qualification requirement evidence</w:t>
            </w:r>
          </w:p>
        </w:tc>
        <w:tc>
          <w:tcPr>
            <w:tcW w:w="2485" w:type="pct"/>
            <w:tcMar>
              <w:left w:w="108" w:type="dxa"/>
              <w:right w:w="108" w:type="dxa"/>
            </w:tcMar>
          </w:tcPr>
          <w:p w14:paraId="56ABD1AF" w14:textId="77777777" w:rsidR="00196F09" w:rsidRPr="00787688" w:rsidRDefault="00196F09" w:rsidP="00715189">
            <w:pPr>
              <w:pStyle w:val="TableHeading"/>
            </w:pPr>
            <w:r w:rsidRPr="00787688">
              <w:t>Experience requirement evidence</w:t>
            </w:r>
          </w:p>
        </w:tc>
      </w:tr>
      <w:tr w:rsidR="00196F09" w:rsidRPr="00787688" w14:paraId="259B5C3B" w14:textId="77777777" w:rsidTr="00C33346">
        <w:tc>
          <w:tcPr>
            <w:tcW w:w="2515" w:type="pct"/>
            <w:tcMar>
              <w:left w:w="108" w:type="dxa"/>
              <w:right w:w="108" w:type="dxa"/>
            </w:tcMar>
          </w:tcPr>
          <w:p w14:paraId="1C2C1EF9" w14:textId="77777777" w:rsidR="00196F09" w:rsidRPr="00787688" w:rsidRDefault="00196F09" w:rsidP="00715189">
            <w:pPr>
              <w:pStyle w:val="TableText"/>
              <w:rPr>
                <w:rFonts w:ascii="Cambria" w:eastAsia="Calibri" w:hAnsi="Cambria"/>
              </w:rPr>
            </w:pPr>
            <w:r w:rsidRPr="00787688">
              <w:t>Certified copy of your qualification (see one of the 4 options under qualification and experience requirements in Table 1).</w:t>
            </w:r>
          </w:p>
          <w:p w14:paraId="63ACF82B" w14:textId="77777777" w:rsidR="00196F09" w:rsidRPr="00787688" w:rsidRDefault="00196F09" w:rsidP="00715189">
            <w:pPr>
              <w:pStyle w:val="TableText"/>
            </w:pPr>
            <w:r w:rsidRPr="00787688">
              <w:rPr>
                <w:rFonts w:eastAsia="Calibri"/>
              </w:rPr>
              <w:t>If option requires dry bulk cargo and grain operation modules, also provide a copy of your transcript showing completion of the relevant modules.</w:t>
            </w:r>
          </w:p>
        </w:tc>
        <w:tc>
          <w:tcPr>
            <w:tcW w:w="2485" w:type="pct"/>
            <w:tcMar>
              <w:left w:w="108" w:type="dxa"/>
              <w:right w:w="108" w:type="dxa"/>
            </w:tcMar>
          </w:tcPr>
          <w:p w14:paraId="7DB96EEC" w14:textId="77777777" w:rsidR="00196F09" w:rsidRPr="00787688" w:rsidRDefault="00196F09" w:rsidP="00715189">
            <w:pPr>
              <w:pStyle w:val="TableText"/>
            </w:pPr>
            <w:r w:rsidRPr="00787688">
              <w:t>Provide as applicable to demonstrate the relevant experience requirement:</w:t>
            </w:r>
          </w:p>
          <w:p w14:paraId="4DE143C0" w14:textId="77777777" w:rsidR="00196F09" w:rsidRPr="00CE46B8" w:rsidDel="00B44688" w:rsidRDefault="00196F09" w:rsidP="00715189">
            <w:pPr>
              <w:pStyle w:val="TableBullet1"/>
            </w:pPr>
            <w:r w:rsidRPr="00CE46B8">
              <w:t>sea service record, or</w:t>
            </w:r>
          </w:p>
          <w:p w14:paraId="55F10BDE" w14:textId="77777777" w:rsidR="00196F09" w:rsidRPr="00703FD5" w:rsidDel="00B44688" w:rsidRDefault="00196F09" w:rsidP="00715189">
            <w:pPr>
              <w:pStyle w:val="TableBullet1"/>
              <w:rPr>
                <w:rFonts w:eastAsia="Calibri" w:cstheme="minorHAnsi"/>
                <w:color w:val="000000" w:themeColor="text1"/>
              </w:rPr>
            </w:pPr>
            <w:r w:rsidRPr="00703FD5">
              <w:rPr>
                <w:rFonts w:cstheme="minorHAnsi"/>
              </w:rPr>
              <w:t>the</w:t>
            </w:r>
            <w:r w:rsidRPr="00703FD5">
              <w:rPr>
                <w:rFonts w:cstheme="minorHAnsi"/>
                <w:color w:val="000000" w:themeColor="text1"/>
              </w:rPr>
              <w:t xml:space="preserve"> following evidence supported by an Australian Commonwealth Statutory Declaration:</w:t>
            </w:r>
          </w:p>
          <w:p w14:paraId="1B612BCD" w14:textId="77777777" w:rsidR="00196F09" w:rsidRPr="00703FD5" w:rsidRDefault="00196F09" w:rsidP="00715189">
            <w:pPr>
              <w:pStyle w:val="TableBullet2"/>
              <w:rPr>
                <w:rFonts w:eastAsiaTheme="majorBidi" w:cstheme="minorHAnsi"/>
              </w:rPr>
            </w:pPr>
            <w:r w:rsidRPr="00703FD5">
              <w:rPr>
                <w:rFonts w:cstheme="minorHAnsi"/>
              </w:rPr>
              <w:t>Discharge notices</w:t>
            </w:r>
          </w:p>
          <w:p w14:paraId="79DA1D61" w14:textId="77777777" w:rsidR="00196F09" w:rsidRPr="00703FD5" w:rsidRDefault="00196F09" w:rsidP="00715189">
            <w:pPr>
              <w:pStyle w:val="TableBullet2"/>
              <w:rPr>
                <w:rFonts w:eastAsiaTheme="majorEastAsia" w:cstheme="minorHAnsi"/>
              </w:rPr>
            </w:pPr>
            <w:r w:rsidRPr="00703FD5">
              <w:rPr>
                <w:rFonts w:cstheme="minorHAnsi"/>
              </w:rPr>
              <w:t>Evidence of service</w:t>
            </w:r>
          </w:p>
          <w:p w14:paraId="3FA5FE23" w14:textId="77777777" w:rsidR="00196F09" w:rsidRPr="00703FD5" w:rsidRDefault="00196F09" w:rsidP="00715189">
            <w:pPr>
              <w:pStyle w:val="TableBullet2"/>
              <w:rPr>
                <w:rFonts w:eastAsiaTheme="majorEastAsia" w:cstheme="minorHAnsi"/>
              </w:rPr>
            </w:pPr>
            <w:r w:rsidRPr="00703FD5">
              <w:rPr>
                <w:rFonts w:cstheme="minorHAnsi"/>
              </w:rPr>
              <w:t>Employer reference</w:t>
            </w:r>
          </w:p>
          <w:p w14:paraId="5E134DC5" w14:textId="77777777" w:rsidR="00196F09" w:rsidRPr="00787688" w:rsidRDefault="00196F09" w:rsidP="00715189">
            <w:pPr>
              <w:pStyle w:val="TableBullet2"/>
            </w:pPr>
            <w:r w:rsidRPr="00703FD5">
              <w:rPr>
                <w:rFonts w:cstheme="minorHAnsi"/>
              </w:rPr>
              <w:t>Resume.</w:t>
            </w:r>
          </w:p>
        </w:tc>
      </w:tr>
    </w:tbl>
    <w:p w14:paraId="4FD9163A" w14:textId="2ADBF51E" w:rsidR="00715189" w:rsidRDefault="00715189" w:rsidP="00353259">
      <w:pPr>
        <w:pStyle w:val="Heading2"/>
        <w:ind w:left="0" w:firstLine="0"/>
      </w:pPr>
      <w:r>
        <w:t xml:space="preserve">Additional </w:t>
      </w:r>
      <w:r w:rsidR="002262BA">
        <w:t xml:space="preserve">evidence </w:t>
      </w:r>
      <w:r>
        <w:t>requirements</w:t>
      </w:r>
    </w:p>
    <w:p w14:paraId="421F8709" w14:textId="45D38025" w:rsidR="00715189" w:rsidRDefault="002262BA" w:rsidP="00715189">
      <w:r>
        <w:t>A</w:t>
      </w:r>
      <w:r w:rsidR="00715189">
        <w:t>pplicants must</w:t>
      </w:r>
      <w:r w:rsidR="007C6B30">
        <w:t xml:space="preserve"> also</w:t>
      </w:r>
      <w:r w:rsidR="00715189">
        <w:t xml:space="preserve"> </w:t>
      </w:r>
      <w:r>
        <w:t xml:space="preserve">include with their application, </w:t>
      </w:r>
      <w:r w:rsidR="00715189">
        <w:t xml:space="preserve">evidence </w:t>
      </w:r>
      <w:r>
        <w:t>that they hold</w:t>
      </w:r>
      <w:r w:rsidR="00715189">
        <w:t xml:space="preserve"> Professional Indemnity Insurance to a minimum </w:t>
      </w:r>
      <w:r>
        <w:t xml:space="preserve">amount </w:t>
      </w:r>
      <w:r w:rsidR="00715189">
        <w:t>of</w:t>
      </w:r>
      <w:r w:rsidR="00135E61">
        <w:t xml:space="preserve"> one million dollars</w:t>
      </w:r>
      <w:r w:rsidR="00715189">
        <w:t xml:space="preserve"> </w:t>
      </w:r>
      <w:r w:rsidR="00135E61">
        <w:t>(</w:t>
      </w:r>
      <w:r w:rsidR="00715189">
        <w:t>$1,000,000</w:t>
      </w:r>
      <w:r w:rsidR="00132082">
        <w:t xml:space="preserve"> AUD</w:t>
      </w:r>
      <w:r w:rsidR="00135E61">
        <w:t>)</w:t>
      </w:r>
      <w:r w:rsidR="00715189">
        <w:t>.</w:t>
      </w:r>
    </w:p>
    <w:p w14:paraId="72DEC4DF" w14:textId="17C913CB" w:rsidR="00715189" w:rsidRDefault="00715189" w:rsidP="00715189">
      <w:pPr>
        <w:pStyle w:val="Heading2"/>
      </w:pPr>
      <w:r w:rsidRPr="00715189">
        <w:t>Initial accreditation</w:t>
      </w:r>
    </w:p>
    <w:p w14:paraId="1B1A70DB" w14:textId="77777777" w:rsidR="00715189" w:rsidRDefault="00715189" w:rsidP="00715189">
      <w:r w:rsidRPr="00715189">
        <w:t>To be accredited, marine surveyors must have performed at least 10 bulk vessel surveys in no less than 2 months and no more than 2 years. They must have been accompanied by another accredited marine surveyor (or a person who was a qualified marine surveyor prior to commencement of the</w:t>
      </w:r>
      <w:r>
        <w:t xml:space="preserve"> AGSA scheme). </w:t>
      </w:r>
    </w:p>
    <w:p w14:paraId="78F06547" w14:textId="1D92D4B9" w:rsidR="00715189" w:rsidRDefault="00715189" w:rsidP="00715189">
      <w:r w:rsidRPr="00715189">
        <w:t>If these 10 supervised surveys were completed more than 3 years ago, marine surveyors will also need to provide evidence they performed at least 3 bulk vessel surveys in the most recent 3-year period.</w:t>
      </w:r>
    </w:p>
    <w:p w14:paraId="46610814" w14:textId="03D10AB5" w:rsidR="00715189" w:rsidRDefault="00715189" w:rsidP="00715189">
      <w:pPr>
        <w:pStyle w:val="Heading2"/>
      </w:pPr>
      <w:r>
        <w:t xml:space="preserve">Maintaining accreditation </w:t>
      </w:r>
    </w:p>
    <w:p w14:paraId="5BADA7EF" w14:textId="77777777" w:rsidR="00715189" w:rsidRDefault="00715189" w:rsidP="00715189">
      <w:r w:rsidRPr="00715189">
        <w:t xml:space="preserve">To </w:t>
      </w:r>
      <w:r>
        <w:t xml:space="preserve">maintain accreditation, marine surveyors must continue to perform at least 3 bulk vessel surveys every 3 years. </w:t>
      </w:r>
    </w:p>
    <w:p w14:paraId="0969DA9A" w14:textId="688707E2" w:rsidR="00715189" w:rsidRDefault="00715189" w:rsidP="00715189">
      <w:r w:rsidRPr="00715189">
        <w:t xml:space="preserve">You must provide </w:t>
      </w:r>
      <w:r w:rsidR="007C6B30" w:rsidRPr="00715189">
        <w:t>th</w:t>
      </w:r>
      <w:r w:rsidR="007C6B30">
        <w:t>e following</w:t>
      </w:r>
      <w:r w:rsidR="007C6B30" w:rsidRPr="00715189">
        <w:t xml:space="preserve"> </w:t>
      </w:r>
      <w:r w:rsidRPr="00715189">
        <w:t>evidence of your attendance at these surveys:</w:t>
      </w:r>
    </w:p>
    <w:p w14:paraId="256B051D" w14:textId="77777777" w:rsidR="00715189" w:rsidRDefault="00715189" w:rsidP="00715189">
      <w:pPr>
        <w:pStyle w:val="ListBullet"/>
      </w:pPr>
      <w:r>
        <w:t xml:space="preserve">your name as an attending surveyor listed on the Fitness to Load certificate (FTL) that is provided to the authorised officer at the completion of the survey, or </w:t>
      </w:r>
    </w:p>
    <w:p w14:paraId="5DC96016" w14:textId="77777777" w:rsidR="00715189" w:rsidRDefault="00715189" w:rsidP="00715189">
      <w:pPr>
        <w:pStyle w:val="ListBullet"/>
      </w:pPr>
      <w:r>
        <w:t>submission of a separate listing of your ship surveys, which must include:</w:t>
      </w:r>
    </w:p>
    <w:p w14:paraId="254CAD08" w14:textId="5AF4FB48" w:rsidR="00715189" w:rsidRDefault="00715189" w:rsidP="00715189">
      <w:pPr>
        <w:pStyle w:val="ListBullet2"/>
      </w:pPr>
      <w:r>
        <w:t>date</w:t>
      </w:r>
    </w:p>
    <w:p w14:paraId="7279A51B" w14:textId="77777777" w:rsidR="00715189" w:rsidRDefault="00715189" w:rsidP="00715189">
      <w:pPr>
        <w:pStyle w:val="ListBullet2"/>
      </w:pPr>
      <w:r>
        <w:t>ship’s name</w:t>
      </w:r>
    </w:p>
    <w:p w14:paraId="3FBFE9FB" w14:textId="77777777" w:rsidR="00715189" w:rsidRDefault="00715189" w:rsidP="00715189">
      <w:pPr>
        <w:pStyle w:val="ListBullet2"/>
      </w:pPr>
      <w:r>
        <w:t>grain type</w:t>
      </w:r>
    </w:p>
    <w:p w14:paraId="40800EB0" w14:textId="77777777" w:rsidR="00715189" w:rsidRDefault="00715189" w:rsidP="00715189">
      <w:pPr>
        <w:pStyle w:val="ListBullet2"/>
      </w:pPr>
      <w:r>
        <w:t>port of survey</w:t>
      </w:r>
    </w:p>
    <w:p w14:paraId="0BC03AE0" w14:textId="77777777" w:rsidR="00715189" w:rsidRDefault="00715189" w:rsidP="00715189">
      <w:pPr>
        <w:pStyle w:val="ListBullet2"/>
      </w:pPr>
      <w:r>
        <w:t>attending FTL Surveyors name and signature</w:t>
      </w:r>
    </w:p>
    <w:p w14:paraId="0358D46C" w14:textId="628445AC" w:rsidR="00715189" w:rsidRDefault="00715189" w:rsidP="00715189">
      <w:pPr>
        <w:pStyle w:val="ListBullet2"/>
      </w:pPr>
      <w:r>
        <w:t>Master’s signature and ship’s stamp.</w:t>
      </w:r>
    </w:p>
    <w:p w14:paraId="0771C974" w14:textId="6FD17AD8" w:rsidR="00A00632" w:rsidRDefault="00033B17" w:rsidP="00033B17">
      <w:r w:rsidRPr="00033B17">
        <w:t>To maintain accreditation, marine surveyors must</w:t>
      </w:r>
      <w:r w:rsidR="007C6B30">
        <w:t xml:space="preserve"> also</w:t>
      </w:r>
      <w:r w:rsidRPr="00033B17">
        <w:t xml:space="preserve"> provide evidence of currency of their Professional</w:t>
      </w:r>
      <w:r>
        <w:t xml:space="preserve"> </w:t>
      </w:r>
      <w:r w:rsidRPr="00033B17">
        <w:t>Indemnity Insurance to a minimum limit of $1,000,000.</w:t>
      </w:r>
    </w:p>
    <w:p w14:paraId="7FB871E4" w14:textId="4EE70389" w:rsidR="00715189" w:rsidRDefault="00715189" w:rsidP="00715189">
      <w:pPr>
        <w:pStyle w:val="Heading2"/>
      </w:pPr>
      <w:r>
        <w:lastRenderedPageBreak/>
        <w:t>Background</w:t>
      </w:r>
    </w:p>
    <w:p w14:paraId="24F77541" w14:textId="706C4C44" w:rsidR="00715189" w:rsidRPr="00715189" w:rsidRDefault="00715189" w:rsidP="00715189">
      <w:r w:rsidRPr="00715189">
        <w:t>T</w:t>
      </w:r>
      <w:r>
        <w:t>he Plant Rules commenced 28 March 2021 and, along with the Export Control Act 2020, set the requirements for the export of plants and plant products. We have been tracking areas for improvement where the new legislation may not align with current business practice and regulatory expectations. We will continue to review the Plant Rules annually and amend them as needed.</w:t>
      </w:r>
    </w:p>
    <w:p w14:paraId="44019DF8" w14:textId="5A0DBB28" w:rsidR="00B82095" w:rsidRPr="0080517C" w:rsidRDefault="000913B5" w:rsidP="0080517C">
      <w:pPr>
        <w:pStyle w:val="Heading2"/>
      </w:pPr>
      <w:r>
        <w:t>More</w:t>
      </w:r>
      <w:r w:rsidR="00B82095" w:rsidRPr="0080517C">
        <w:t xml:space="preserve"> information</w:t>
      </w:r>
    </w:p>
    <w:p w14:paraId="3068AAAC" w14:textId="77777777" w:rsidR="00BA35F1" w:rsidRDefault="000E7803" w:rsidP="000E7803">
      <w:r w:rsidRPr="00017ACB">
        <w:rPr>
          <w:lang w:eastAsia="ja-JP"/>
        </w:rPr>
        <w:t xml:space="preserve">Web </w:t>
      </w:r>
      <w:hyperlink r:id="rId11" w:history="1">
        <w:r w:rsidR="00BA35F1" w:rsidRPr="00C818CB">
          <w:rPr>
            <w:rStyle w:val="Hyperlink"/>
          </w:rPr>
          <w:t>agriculture.gov.au/biosecurity-trade/export/controlled-goods/plants-plant-products/plant-export-legislation</w:t>
        </w:r>
      </w:hyperlink>
    </w:p>
    <w:p w14:paraId="23AFEAD7" w14:textId="39E30395" w:rsidR="000E7803" w:rsidRDefault="00BA35F1" w:rsidP="000E7803">
      <w:r>
        <w:t xml:space="preserve">Web </w:t>
      </w:r>
      <w:hyperlink r:id="rId12" w:history="1">
        <w:r w:rsidRPr="00C818CB">
          <w:rPr>
            <w:rStyle w:val="Hyperlink"/>
          </w:rPr>
          <w:t>agriculture.gov.au/biosecurity-trade/market-access-trade/improved-export-legislation</w:t>
        </w:r>
      </w:hyperlink>
      <w:r>
        <w:t xml:space="preserve">  </w:t>
      </w:r>
    </w:p>
    <w:p w14:paraId="550D4258" w14:textId="28507EF1" w:rsidR="00BA35F1" w:rsidRPr="00017ACB" w:rsidRDefault="00BA35F1" w:rsidP="000E7803">
      <w:pPr>
        <w:rPr>
          <w:rStyle w:val="Hyperlink"/>
          <w:lang w:eastAsia="ja-JP"/>
        </w:rPr>
      </w:pPr>
      <w:r>
        <w:t xml:space="preserve">Web </w:t>
      </w:r>
      <w:hyperlink r:id="rId13" w:history="1">
        <w:r w:rsidRPr="00C818CB">
          <w:rPr>
            <w:rStyle w:val="Hyperlink"/>
          </w:rPr>
          <w:t>https://www.aimsurveyors.com.au/Sys/Login</w:t>
        </w:r>
      </w:hyperlink>
      <w:r>
        <w:t xml:space="preserve"> </w:t>
      </w:r>
    </w:p>
    <w:p w14:paraId="2ED106E9" w14:textId="372A4092" w:rsidR="00B82095" w:rsidRDefault="00B82095" w:rsidP="000E7803">
      <w:pPr>
        <w:spacing w:after="360"/>
        <w:rPr>
          <w:lang w:eastAsia="ja-JP"/>
        </w:rPr>
      </w:pPr>
      <w:r w:rsidRPr="00017ACB">
        <w:rPr>
          <w:lang w:eastAsia="ja-JP"/>
        </w:rPr>
        <w:t>Email</w:t>
      </w:r>
      <w:r w:rsidR="00BA35F1">
        <w:rPr>
          <w:lang w:eastAsia="ja-JP"/>
        </w:rPr>
        <w:t xml:space="preserve"> </w:t>
      </w:r>
      <w:hyperlink r:id="rId14" w:history="1">
        <w:r w:rsidR="00566A93" w:rsidRPr="00C818CB">
          <w:rPr>
            <w:rStyle w:val="Hyperlink"/>
          </w:rPr>
          <w:t>plantexportreform@agriculture.gov.au</w:t>
        </w:r>
      </w:hyperlink>
    </w:p>
    <w:p w14:paraId="2402D317" w14:textId="77777777" w:rsidR="000A5BA0" w:rsidRDefault="000A5BA0" w:rsidP="000A5BA0">
      <w:pPr>
        <w:pStyle w:val="Normalsmall"/>
      </w:pPr>
      <w:r>
        <w:rPr>
          <w:rStyle w:val="Strong"/>
        </w:rPr>
        <w:t>Acknowledgement of Country</w:t>
      </w:r>
    </w:p>
    <w:p w14:paraId="1B68E6E9" w14:textId="77777777" w:rsidR="000A5BA0" w:rsidRPr="000A5BA0" w:rsidRDefault="000A5BA0" w:rsidP="000A5BA0">
      <w:pPr>
        <w:pStyle w:val="Normalsmall"/>
        <w:rPr>
          <w:rStyle w:val="Hyperlink"/>
          <w:color w:val="auto"/>
          <w:u w:val="none"/>
        </w:rPr>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226F2C0C" w14:textId="77777777" w:rsidR="00E9781D" w:rsidRDefault="00E9781D" w:rsidP="00E9781D">
      <w:pPr>
        <w:pStyle w:val="Normalsmall"/>
        <w:spacing w:before="360"/>
      </w:pPr>
      <w:r>
        <w:t>© Commonwealth of Australia 202</w:t>
      </w:r>
      <w:r w:rsidR="00A0018B">
        <w:t>3</w:t>
      </w:r>
    </w:p>
    <w:p w14:paraId="1DF99311"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0A8BAA54" w14:textId="77777777" w:rsidR="00E9781D" w:rsidRDefault="00E9781D" w:rsidP="00E9781D">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2B120001"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5B656B" w:rsidSect="0013173D">
      <w:headerReference w:type="default" r:id="rId16"/>
      <w:footerReference w:type="default" r:id="rId17"/>
      <w:headerReference w:type="first" r:id="rId18"/>
      <w:footerReference w:type="first" r:id="rId19"/>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60F9F" w14:textId="77777777" w:rsidR="007525DD" w:rsidRDefault="007525DD">
      <w:r>
        <w:separator/>
      </w:r>
    </w:p>
    <w:p w14:paraId="03C21417" w14:textId="77777777" w:rsidR="007525DD" w:rsidRDefault="007525DD"/>
    <w:p w14:paraId="47897B37" w14:textId="77777777" w:rsidR="007525DD" w:rsidRDefault="007525DD"/>
  </w:endnote>
  <w:endnote w:type="continuationSeparator" w:id="0">
    <w:p w14:paraId="0295DCC0" w14:textId="77777777" w:rsidR="007525DD" w:rsidRDefault="007525DD">
      <w:r>
        <w:continuationSeparator/>
      </w:r>
    </w:p>
    <w:p w14:paraId="4A4263CE" w14:textId="77777777" w:rsidR="007525DD" w:rsidRDefault="007525DD"/>
    <w:p w14:paraId="6FFBA492" w14:textId="77777777" w:rsidR="007525DD" w:rsidRDefault="007525DD"/>
  </w:endnote>
  <w:endnote w:type="continuationNotice" w:id="1">
    <w:p w14:paraId="3445A37B" w14:textId="77777777" w:rsidR="007525DD" w:rsidRDefault="007525DD">
      <w:pPr>
        <w:pStyle w:val="Footer"/>
      </w:pPr>
    </w:p>
    <w:p w14:paraId="6E9D65AB" w14:textId="77777777" w:rsidR="007525DD" w:rsidRDefault="007525DD"/>
    <w:p w14:paraId="275255F9" w14:textId="77777777" w:rsidR="007525DD" w:rsidRDefault="00752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919E" w14:textId="77777777" w:rsidR="00863E83" w:rsidRDefault="00863E83" w:rsidP="00863E83">
    <w:pPr>
      <w:pStyle w:val="Footer"/>
    </w:pPr>
    <w:r w:rsidRPr="007B1F92">
      <w:t>Department of Agriculture, Fisheries and Forestry</w:t>
    </w:r>
  </w:p>
  <w:p w14:paraId="211C1E49" w14:textId="77777777" w:rsidR="000542B4" w:rsidRDefault="00DC4A9F"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49690062"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FCA6" w14:textId="77777777" w:rsidR="007525DD" w:rsidRDefault="007525DD">
      <w:r>
        <w:separator/>
      </w:r>
    </w:p>
    <w:p w14:paraId="2A8220D5" w14:textId="77777777" w:rsidR="007525DD" w:rsidRDefault="007525DD"/>
    <w:p w14:paraId="5D324B84" w14:textId="77777777" w:rsidR="007525DD" w:rsidRDefault="007525DD"/>
  </w:footnote>
  <w:footnote w:type="continuationSeparator" w:id="0">
    <w:p w14:paraId="13907D59" w14:textId="77777777" w:rsidR="007525DD" w:rsidRDefault="007525DD">
      <w:r>
        <w:continuationSeparator/>
      </w:r>
    </w:p>
    <w:p w14:paraId="2925804C" w14:textId="77777777" w:rsidR="007525DD" w:rsidRDefault="007525DD"/>
    <w:p w14:paraId="1EB7A998" w14:textId="77777777" w:rsidR="007525DD" w:rsidRDefault="007525DD"/>
  </w:footnote>
  <w:footnote w:type="continuationNotice" w:id="1">
    <w:p w14:paraId="0BDF9625" w14:textId="77777777" w:rsidR="007525DD" w:rsidRDefault="007525DD">
      <w:pPr>
        <w:pStyle w:val="Footer"/>
      </w:pPr>
    </w:p>
    <w:p w14:paraId="1B8FC11E" w14:textId="77777777" w:rsidR="007525DD" w:rsidRDefault="007525DD"/>
    <w:p w14:paraId="74F04DCC" w14:textId="77777777" w:rsidR="007525DD" w:rsidRDefault="007525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E3321" w14:textId="77777777" w:rsidR="000542B4" w:rsidRDefault="00863E83">
    <w:pPr>
      <w:pStyle w:val="Header"/>
    </w:pPr>
    <w:r>
      <w:t>[insert title of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67CE" w14:textId="77777777" w:rsidR="000E455C" w:rsidRDefault="00144601" w:rsidP="00A8157A">
    <w:pPr>
      <w:pStyle w:val="Footer"/>
      <w:spacing w:after="0"/>
      <w:jc w:val="left"/>
    </w:pPr>
    <w:r>
      <w:rPr>
        <w:noProof/>
      </w:rPr>
      <w:drawing>
        <wp:anchor distT="0" distB="0" distL="114300" distR="114300" simplePos="0" relativeHeight="251659264" behindDoc="1" locked="0" layoutInCell="1" allowOverlap="1" wp14:anchorId="3FEE5EF1" wp14:editId="36BD1406">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2AD2D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B0BE3"/>
    <w:multiLevelType w:val="hybridMultilevel"/>
    <w:tmpl w:val="39AE3FDE"/>
    <w:lvl w:ilvl="0" w:tplc="CC1CFCCC">
      <w:start w:val="1"/>
      <w:numFmt w:val="bullet"/>
      <w:lvlText w:val="­"/>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7E03472"/>
    <w:multiLevelType w:val="hybridMultilevel"/>
    <w:tmpl w:val="93DAB0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47D33B7C"/>
    <w:multiLevelType w:val="hybridMultilevel"/>
    <w:tmpl w:val="91CE0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0744521"/>
    <w:multiLevelType w:val="hybridMultilevel"/>
    <w:tmpl w:val="6E24EF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700088148">
    <w:abstractNumId w:val="7"/>
  </w:num>
  <w:num w:numId="2" w16cid:durableId="1209954464">
    <w:abstractNumId w:val="5"/>
  </w:num>
  <w:num w:numId="3" w16cid:durableId="211696695">
    <w:abstractNumId w:val="11"/>
  </w:num>
  <w:num w:numId="4" w16cid:durableId="1550148830">
    <w:abstractNumId w:val="12"/>
  </w:num>
  <w:num w:numId="5" w16cid:durableId="1460108156">
    <w:abstractNumId w:val="2"/>
  </w:num>
  <w:num w:numId="6" w16cid:durableId="1934704985">
    <w:abstractNumId w:val="8"/>
  </w:num>
  <w:num w:numId="7" w16cid:durableId="1013073201">
    <w:abstractNumId w:val="10"/>
  </w:num>
  <w:num w:numId="8" w16cid:durableId="524289160">
    <w:abstractNumId w:val="4"/>
  </w:num>
  <w:num w:numId="9" w16cid:durableId="531310015">
    <w:abstractNumId w:val="0"/>
  </w:num>
  <w:num w:numId="10" w16cid:durableId="689645044">
    <w:abstractNumId w:val="9"/>
  </w:num>
  <w:num w:numId="11" w16cid:durableId="846864367">
    <w:abstractNumId w:val="3"/>
  </w:num>
  <w:num w:numId="12" w16cid:durableId="1935822176">
    <w:abstractNumId w:val="6"/>
  </w:num>
  <w:num w:numId="13" w16cid:durableId="86405481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5DD"/>
    <w:rsid w:val="0000059E"/>
    <w:rsid w:val="0000066F"/>
    <w:rsid w:val="00001B53"/>
    <w:rsid w:val="00017ACB"/>
    <w:rsid w:val="00021590"/>
    <w:rsid w:val="00025D1B"/>
    <w:rsid w:val="000266C4"/>
    <w:rsid w:val="00033B17"/>
    <w:rsid w:val="000542B4"/>
    <w:rsid w:val="000618F3"/>
    <w:rsid w:val="00066D0B"/>
    <w:rsid w:val="000717D2"/>
    <w:rsid w:val="00074A56"/>
    <w:rsid w:val="00080827"/>
    <w:rsid w:val="0008277A"/>
    <w:rsid w:val="000904C1"/>
    <w:rsid w:val="000913B5"/>
    <w:rsid w:val="000A5BA0"/>
    <w:rsid w:val="000B3924"/>
    <w:rsid w:val="000B3C44"/>
    <w:rsid w:val="000C0412"/>
    <w:rsid w:val="000C4558"/>
    <w:rsid w:val="000E455C"/>
    <w:rsid w:val="000E4D74"/>
    <w:rsid w:val="000E7803"/>
    <w:rsid w:val="000F0491"/>
    <w:rsid w:val="001165A4"/>
    <w:rsid w:val="001233A8"/>
    <w:rsid w:val="0013173D"/>
    <w:rsid w:val="00132082"/>
    <w:rsid w:val="00135E61"/>
    <w:rsid w:val="00144601"/>
    <w:rsid w:val="00190D7E"/>
    <w:rsid w:val="001929D2"/>
    <w:rsid w:val="00196F09"/>
    <w:rsid w:val="001A6968"/>
    <w:rsid w:val="001D0EF3"/>
    <w:rsid w:val="00201BFB"/>
    <w:rsid w:val="00203DE1"/>
    <w:rsid w:val="00220618"/>
    <w:rsid w:val="002262BA"/>
    <w:rsid w:val="00237A69"/>
    <w:rsid w:val="00275B58"/>
    <w:rsid w:val="00284B53"/>
    <w:rsid w:val="002B1FAF"/>
    <w:rsid w:val="002E3FD4"/>
    <w:rsid w:val="002F4595"/>
    <w:rsid w:val="00300AFD"/>
    <w:rsid w:val="003032C0"/>
    <w:rsid w:val="00336B60"/>
    <w:rsid w:val="0035108D"/>
    <w:rsid w:val="00353259"/>
    <w:rsid w:val="003569F9"/>
    <w:rsid w:val="00366721"/>
    <w:rsid w:val="00370990"/>
    <w:rsid w:val="0037698A"/>
    <w:rsid w:val="00392124"/>
    <w:rsid w:val="003937B8"/>
    <w:rsid w:val="003F73D7"/>
    <w:rsid w:val="00411260"/>
    <w:rsid w:val="00442630"/>
    <w:rsid w:val="0044304D"/>
    <w:rsid w:val="00445B77"/>
    <w:rsid w:val="00446CB3"/>
    <w:rsid w:val="00474BB1"/>
    <w:rsid w:val="00477888"/>
    <w:rsid w:val="00495068"/>
    <w:rsid w:val="004B55EE"/>
    <w:rsid w:val="004C2DA2"/>
    <w:rsid w:val="004D0888"/>
    <w:rsid w:val="004E6316"/>
    <w:rsid w:val="005019C1"/>
    <w:rsid w:val="005070C8"/>
    <w:rsid w:val="00514CEE"/>
    <w:rsid w:val="00515287"/>
    <w:rsid w:val="005157CF"/>
    <w:rsid w:val="0052032C"/>
    <w:rsid w:val="00531B5A"/>
    <w:rsid w:val="00553E9D"/>
    <w:rsid w:val="0055447F"/>
    <w:rsid w:val="00566A93"/>
    <w:rsid w:val="00567DFC"/>
    <w:rsid w:val="00577F29"/>
    <w:rsid w:val="00586007"/>
    <w:rsid w:val="005A48A6"/>
    <w:rsid w:val="005B613F"/>
    <w:rsid w:val="005B656B"/>
    <w:rsid w:val="005C2BFD"/>
    <w:rsid w:val="00607A21"/>
    <w:rsid w:val="00607A36"/>
    <w:rsid w:val="0061282E"/>
    <w:rsid w:val="006156DF"/>
    <w:rsid w:val="00625D8D"/>
    <w:rsid w:val="006360F9"/>
    <w:rsid w:val="00642F36"/>
    <w:rsid w:val="00646917"/>
    <w:rsid w:val="00656587"/>
    <w:rsid w:val="00696682"/>
    <w:rsid w:val="006B0030"/>
    <w:rsid w:val="006B49DE"/>
    <w:rsid w:val="006D413F"/>
    <w:rsid w:val="006E353E"/>
    <w:rsid w:val="006F6FE8"/>
    <w:rsid w:val="00700A80"/>
    <w:rsid w:val="00703FD5"/>
    <w:rsid w:val="0070464B"/>
    <w:rsid w:val="00715189"/>
    <w:rsid w:val="00721291"/>
    <w:rsid w:val="007258B1"/>
    <w:rsid w:val="00725C8B"/>
    <w:rsid w:val="007525DD"/>
    <w:rsid w:val="00754CA3"/>
    <w:rsid w:val="0076549B"/>
    <w:rsid w:val="00793E18"/>
    <w:rsid w:val="007B4C63"/>
    <w:rsid w:val="007C0010"/>
    <w:rsid w:val="007C6B30"/>
    <w:rsid w:val="007E69AF"/>
    <w:rsid w:val="007F4986"/>
    <w:rsid w:val="0080517C"/>
    <w:rsid w:val="00832638"/>
    <w:rsid w:val="00863E83"/>
    <w:rsid w:val="00865130"/>
    <w:rsid w:val="00892F53"/>
    <w:rsid w:val="00895341"/>
    <w:rsid w:val="008D627D"/>
    <w:rsid w:val="008E3B54"/>
    <w:rsid w:val="008F1712"/>
    <w:rsid w:val="008F382A"/>
    <w:rsid w:val="00902E92"/>
    <w:rsid w:val="0090743D"/>
    <w:rsid w:val="00911F4A"/>
    <w:rsid w:val="00916FC3"/>
    <w:rsid w:val="00943779"/>
    <w:rsid w:val="00974CD6"/>
    <w:rsid w:val="009844EA"/>
    <w:rsid w:val="009B50CA"/>
    <w:rsid w:val="009C206F"/>
    <w:rsid w:val="009C37F9"/>
    <w:rsid w:val="009C3FA3"/>
    <w:rsid w:val="009C5CE4"/>
    <w:rsid w:val="009D7044"/>
    <w:rsid w:val="00A0018B"/>
    <w:rsid w:val="00A00632"/>
    <w:rsid w:val="00A04AFD"/>
    <w:rsid w:val="00A130F7"/>
    <w:rsid w:val="00A32860"/>
    <w:rsid w:val="00A62CD6"/>
    <w:rsid w:val="00A62F99"/>
    <w:rsid w:val="00A65D84"/>
    <w:rsid w:val="00A77E8E"/>
    <w:rsid w:val="00A8157A"/>
    <w:rsid w:val="00A818BB"/>
    <w:rsid w:val="00AA1D89"/>
    <w:rsid w:val="00AE1E6E"/>
    <w:rsid w:val="00AE40DE"/>
    <w:rsid w:val="00AE4763"/>
    <w:rsid w:val="00AF2381"/>
    <w:rsid w:val="00B0121B"/>
    <w:rsid w:val="00B0455B"/>
    <w:rsid w:val="00B11E02"/>
    <w:rsid w:val="00B3476F"/>
    <w:rsid w:val="00B404AB"/>
    <w:rsid w:val="00B43568"/>
    <w:rsid w:val="00B82095"/>
    <w:rsid w:val="00B90975"/>
    <w:rsid w:val="00B93571"/>
    <w:rsid w:val="00B94CBD"/>
    <w:rsid w:val="00BA2806"/>
    <w:rsid w:val="00BA35F1"/>
    <w:rsid w:val="00BC321A"/>
    <w:rsid w:val="00BC5948"/>
    <w:rsid w:val="00BD4F8E"/>
    <w:rsid w:val="00BE345B"/>
    <w:rsid w:val="00C6128D"/>
    <w:rsid w:val="00C73278"/>
    <w:rsid w:val="00C765C8"/>
    <w:rsid w:val="00C82029"/>
    <w:rsid w:val="00C9283A"/>
    <w:rsid w:val="00C95039"/>
    <w:rsid w:val="00CA4615"/>
    <w:rsid w:val="00CA7C6F"/>
    <w:rsid w:val="00CD3A6F"/>
    <w:rsid w:val="00CD6263"/>
    <w:rsid w:val="00CE7F36"/>
    <w:rsid w:val="00CF7D08"/>
    <w:rsid w:val="00D04A3C"/>
    <w:rsid w:val="00D22097"/>
    <w:rsid w:val="00D36C41"/>
    <w:rsid w:val="00D4039B"/>
    <w:rsid w:val="00D55A85"/>
    <w:rsid w:val="00D750D0"/>
    <w:rsid w:val="00D87480"/>
    <w:rsid w:val="00DB71FD"/>
    <w:rsid w:val="00DC453F"/>
    <w:rsid w:val="00DC4A9F"/>
    <w:rsid w:val="00DC57F0"/>
    <w:rsid w:val="00DE546F"/>
    <w:rsid w:val="00DF241E"/>
    <w:rsid w:val="00E25A07"/>
    <w:rsid w:val="00E333DF"/>
    <w:rsid w:val="00E44E91"/>
    <w:rsid w:val="00E83C41"/>
    <w:rsid w:val="00E87842"/>
    <w:rsid w:val="00E9781D"/>
    <w:rsid w:val="00EA5D76"/>
    <w:rsid w:val="00EC2925"/>
    <w:rsid w:val="00EC5579"/>
    <w:rsid w:val="00EC5C40"/>
    <w:rsid w:val="00ED774B"/>
    <w:rsid w:val="00EE0118"/>
    <w:rsid w:val="00EE49CE"/>
    <w:rsid w:val="00EE7C8D"/>
    <w:rsid w:val="00EF24B1"/>
    <w:rsid w:val="00EF3918"/>
    <w:rsid w:val="00F23AF2"/>
    <w:rsid w:val="00F30857"/>
    <w:rsid w:val="00F330C3"/>
    <w:rsid w:val="00F3602D"/>
    <w:rsid w:val="00F4184E"/>
    <w:rsid w:val="00F75F33"/>
    <w:rsid w:val="00F84236"/>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DC00E"/>
  <w15:docId w15:val="{FB28CC50-5044-4BBD-B2F0-27F936688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196F09"/>
    <w:pPr>
      <w:keepNext/>
      <w:keepLines/>
      <w:ind w:left="964" w:hanging="964"/>
      <w:outlineLvl w:val="2"/>
    </w:pPr>
    <w:rPr>
      <w:rFonts w:ascii="Calibri" w:eastAsia="Times New Roman" w:hAnsi="Calibri"/>
      <w:b/>
      <w:bCs/>
      <w:sz w:val="22"/>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196F09"/>
    <w:rPr>
      <w:rFonts w:ascii="Calibri" w:eastAsia="Times New Roman" w:hAnsi="Calibri"/>
      <w:b/>
      <w:bCs/>
      <w:sz w:val="22"/>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customStyle="1" w:styleId="Default">
    <w:name w:val="Default"/>
    <w:rsid w:val="0061282E"/>
    <w:pPr>
      <w:autoSpaceDE w:val="0"/>
      <w:autoSpaceDN w:val="0"/>
      <w:adjustRightInd w:val="0"/>
    </w:pPr>
    <w:rPr>
      <w:rFonts w:cs="Cambria"/>
      <w:color w:val="000000"/>
      <w:sz w:val="24"/>
      <w:szCs w:val="24"/>
    </w:rPr>
  </w:style>
  <w:style w:type="paragraph" w:styleId="ListParagraph">
    <w:name w:val="List Paragraph"/>
    <w:basedOn w:val="Normal"/>
    <w:uiPriority w:val="99"/>
    <w:qFormat/>
    <w:rsid w:val="00196F09"/>
    <w:pPr>
      <w:ind w:left="720"/>
      <w:contextualSpacing/>
    </w:pPr>
    <w:rPr>
      <w:rFonts w:asciiTheme="majorHAnsi" w:hAnsiTheme="maj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imsurveyors.com.au/Sys/Logi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griculture.gov.au/biosecurity-trade/market-access-trade/improved-export-legisla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biosecurity-trade/export/controlled-goods/plants-plant-products/plant-export-legislation"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texportreform@agricultur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8C4C06B7-A937-40BD-BDB3-DC3CD2655145}"/>
</file>

<file path=docProps/app.xml><?xml version="1.0" encoding="utf-8"?>
<Properties xmlns="http://schemas.openxmlformats.org/officeDocument/2006/extended-properties" xmlns:vt="http://schemas.openxmlformats.org/officeDocument/2006/docPropsVTypes">
  <Template>Fact_sheet_template.dotx</Template>
  <TotalTime>29</TotalTime>
  <Pages>4</Pages>
  <Words>1330</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Plant rules: Changes affecting export bulk vessels (commencing 1 July 2023)</vt:lpstr>
    </vt:vector>
  </TitlesOfParts>
  <Company/>
  <LinksUpToDate>false</LinksUpToDate>
  <CharactersWithSpaces>8894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rules: Changes affecting export bulk vessels (commencing 1 July 2023)</dc:title>
  <dc:creator>Department of Agriculture, Fisheries and Forestry</dc:creator>
  <cp:lastModifiedBy>Tran, Ai-Van</cp:lastModifiedBy>
  <cp:revision>9</cp:revision>
  <cp:lastPrinted>2023-05-02T03:43:00Z</cp:lastPrinted>
  <dcterms:created xsi:type="dcterms:W3CDTF">2023-03-23T02:49:00Z</dcterms:created>
  <dcterms:modified xsi:type="dcterms:W3CDTF">2023-05-02T03:43:00Z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ies>
</file>