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AA49F89" w14:textId="77777777" w:rsidR="0004359D" w:rsidRDefault="0004359D" w:rsidP="0004359D">
      <w:pPr>
        <w:pStyle w:val="Heading1"/>
      </w:pPr>
      <w:r>
        <w:t>GRAIN STORAGE ASSETS AND MANAGEMENT STANDARD – a shared goal</w:t>
      </w:r>
    </w:p>
    <w:p w14:paraId="288930D3" w14:textId="77777777" w:rsidR="0004359D" w:rsidRDefault="0004359D" w:rsidP="0004359D">
      <w:pPr>
        <w:rPr>
          <w:lang w:eastAsia="ja-JP"/>
        </w:rPr>
      </w:pPr>
    </w:p>
    <w:p w14:paraId="3222D144" w14:textId="03661CAE" w:rsidR="0004359D" w:rsidRDefault="0004359D" w:rsidP="0004359D">
      <w:pPr>
        <w:rPr>
          <w:lang w:eastAsia="ja-JP"/>
        </w:rPr>
      </w:pPr>
      <w:r>
        <w:rPr>
          <w:lang w:eastAsia="ja-JP"/>
        </w:rPr>
        <w:t xml:space="preserve">Grain Trade Australia (GTA) and the Department of Agriculture, </w:t>
      </w:r>
      <w:r w:rsidR="00F96EAC">
        <w:rPr>
          <w:lang w:eastAsia="ja-JP"/>
        </w:rPr>
        <w:t xml:space="preserve">Fisheries and Forestry </w:t>
      </w:r>
      <w:r>
        <w:rPr>
          <w:lang w:eastAsia="ja-JP"/>
        </w:rPr>
        <w:t>(</w:t>
      </w:r>
      <w:r w:rsidR="00F96EAC">
        <w:rPr>
          <w:lang w:eastAsia="ja-JP"/>
        </w:rPr>
        <w:t xml:space="preserve">the </w:t>
      </w:r>
      <w:r>
        <w:rPr>
          <w:lang w:eastAsia="ja-JP"/>
        </w:rPr>
        <w:t xml:space="preserve">department) are developing a Standard to help maintain Australia’s reputation as a reliable supplier of safe and high-quality grain. </w:t>
      </w:r>
    </w:p>
    <w:p w14:paraId="7CC2E388" w14:textId="77777777" w:rsidR="0004359D" w:rsidRDefault="0004359D" w:rsidP="0004359D">
      <w:pPr>
        <w:pStyle w:val="Heading2"/>
        <w:pageBreakBefore w:val="0"/>
      </w:pPr>
      <w:r>
        <w:t>An industry-led Standard</w:t>
      </w:r>
    </w:p>
    <w:p w14:paraId="5B9FE3B2" w14:textId="77777777" w:rsidR="0004359D" w:rsidRDefault="0004359D" w:rsidP="0004359D">
      <w:pPr>
        <w:rPr>
          <w:lang w:eastAsia="ja-JP"/>
        </w:rPr>
      </w:pPr>
      <w:r>
        <w:rPr>
          <w:lang w:eastAsia="ja-JP"/>
        </w:rPr>
        <w:t xml:space="preserve">GTA has a comprehensive strategy to make the Australian grain industry more competitive through to 2030.  A key part is to develop a Grain Storage Assets and Management Standard (Standard) for Australian grain industry participants. The Standard recognises that specifications for storage facilities are needed by both the domestic and export grain market. This will meet expectations in terms of grain quality, food safety and phytosanitary reputation.  </w:t>
      </w:r>
    </w:p>
    <w:p w14:paraId="1FEF1748" w14:textId="77777777" w:rsidR="0004359D" w:rsidRDefault="0004359D" w:rsidP="0004359D">
      <w:pPr>
        <w:pStyle w:val="Heading2"/>
        <w:pageBreakBefore w:val="0"/>
      </w:pPr>
      <w:r>
        <w:t>Role of the department</w:t>
      </w:r>
    </w:p>
    <w:p w14:paraId="325CE30C" w14:textId="77777777" w:rsidR="0004359D" w:rsidRDefault="0004359D" w:rsidP="0004359D">
      <w:pPr>
        <w:rPr>
          <w:lang w:eastAsia="ja-JP"/>
        </w:rPr>
      </w:pPr>
      <w:r>
        <w:rPr>
          <w:lang w:eastAsia="ja-JP"/>
        </w:rPr>
        <w:t>The department regulates grain exported from Australia. The department’s role is to ensure that Australian grain exports are:</w:t>
      </w:r>
    </w:p>
    <w:p w14:paraId="307F1E8C" w14:textId="1F04C55D" w:rsidR="0004359D" w:rsidRDefault="0004359D" w:rsidP="0004359D">
      <w:pPr>
        <w:pStyle w:val="ListBullet"/>
        <w:rPr>
          <w:lang w:eastAsia="ja-JP"/>
        </w:rPr>
      </w:pPr>
      <w:r>
        <w:rPr>
          <w:lang w:eastAsia="ja-JP"/>
        </w:rPr>
        <w:t xml:space="preserve">fit for </w:t>
      </w:r>
      <w:proofErr w:type="gramStart"/>
      <w:r>
        <w:rPr>
          <w:lang w:eastAsia="ja-JP"/>
        </w:rPr>
        <w:t>purpose</w:t>
      </w:r>
      <w:proofErr w:type="gramEnd"/>
    </w:p>
    <w:p w14:paraId="17C3BCE0" w14:textId="15143A55" w:rsidR="0004359D" w:rsidRDefault="0004359D" w:rsidP="0004359D">
      <w:pPr>
        <w:pStyle w:val="ListBullet"/>
        <w:rPr>
          <w:lang w:eastAsia="ja-JP"/>
        </w:rPr>
      </w:pPr>
      <w:r>
        <w:rPr>
          <w:lang w:eastAsia="ja-JP"/>
        </w:rPr>
        <w:t xml:space="preserve">accurately </w:t>
      </w:r>
      <w:proofErr w:type="gramStart"/>
      <w:r>
        <w:rPr>
          <w:lang w:eastAsia="ja-JP"/>
        </w:rPr>
        <w:t>described</w:t>
      </w:r>
      <w:proofErr w:type="gramEnd"/>
    </w:p>
    <w:p w14:paraId="4B3192F3" w14:textId="440E9589" w:rsidR="0004359D" w:rsidRDefault="0004359D" w:rsidP="0004359D">
      <w:pPr>
        <w:pStyle w:val="ListBullet"/>
        <w:rPr>
          <w:lang w:eastAsia="ja-JP"/>
        </w:rPr>
      </w:pPr>
      <w:r>
        <w:rPr>
          <w:lang w:eastAsia="ja-JP"/>
        </w:rPr>
        <w:t xml:space="preserve">free of live stored grain insects </w:t>
      </w:r>
    </w:p>
    <w:p w14:paraId="47DF493F" w14:textId="7E8B8D9F" w:rsidR="0004359D" w:rsidRDefault="0004359D" w:rsidP="0004359D">
      <w:pPr>
        <w:pStyle w:val="ListBullet"/>
        <w:rPr>
          <w:lang w:eastAsia="ja-JP"/>
        </w:rPr>
      </w:pPr>
      <w:r>
        <w:rPr>
          <w:lang w:eastAsia="ja-JP"/>
        </w:rPr>
        <w:t xml:space="preserve">free of any other pests or contaminants of quarantine concern to importing countries.  </w:t>
      </w:r>
    </w:p>
    <w:p w14:paraId="7F562588" w14:textId="77777777" w:rsidR="0004359D" w:rsidRDefault="0004359D" w:rsidP="0004359D">
      <w:pPr>
        <w:rPr>
          <w:lang w:eastAsia="ja-JP"/>
        </w:rPr>
      </w:pPr>
      <w:r>
        <w:rPr>
          <w:lang w:eastAsia="ja-JP"/>
        </w:rPr>
        <w:t>The department has released a Plant Export Operations Strategic Plan for 2030. Both GTA’s and the department’s strategies aim to modernise and increase efficiencies in the grain industry supply chain. We can achieve that by working together.</w:t>
      </w:r>
    </w:p>
    <w:p w14:paraId="19FA7848" w14:textId="77777777" w:rsidR="0004359D" w:rsidRDefault="0004359D" w:rsidP="0004359D">
      <w:pPr>
        <w:pStyle w:val="Heading2"/>
        <w:pageBreakBefore w:val="0"/>
      </w:pPr>
      <w:r>
        <w:t>How the Standard will work</w:t>
      </w:r>
    </w:p>
    <w:p w14:paraId="38E531BB" w14:textId="77777777" w:rsidR="0004359D" w:rsidRDefault="0004359D" w:rsidP="0004359D">
      <w:pPr>
        <w:rPr>
          <w:lang w:eastAsia="ja-JP"/>
        </w:rPr>
      </w:pPr>
      <w:r>
        <w:rPr>
          <w:lang w:eastAsia="ja-JP"/>
        </w:rPr>
        <w:t xml:space="preserve">Both GTA and the department are pursuing a shared goal to deliver efficiencies to Australian grain industry participants through recognition of the Standard to meet the department’s regulatory requirements. We both believe this will deliver efficiencies to Australian grain industry participants. </w:t>
      </w:r>
    </w:p>
    <w:p w14:paraId="4BB1A907" w14:textId="77777777" w:rsidR="0004359D" w:rsidRDefault="0004359D" w:rsidP="0004359D">
      <w:pPr>
        <w:rPr>
          <w:lang w:eastAsia="ja-JP"/>
        </w:rPr>
      </w:pPr>
      <w:r>
        <w:rPr>
          <w:lang w:eastAsia="ja-JP"/>
        </w:rPr>
        <w:t xml:space="preserve">The Standard will set out how industry will meet the department’s regulatory goals. The department must be able to assess the Standard against the Commonwealth’s legislative export requirements for entities involved in the grain export supply chain. This will provide increased clarity, simplicity, and confidence in the export grain supply chain, from both a commercial and a regulatory perspective. </w:t>
      </w:r>
    </w:p>
    <w:p w14:paraId="79AE4011" w14:textId="77777777" w:rsidR="0004359D" w:rsidRDefault="0004359D" w:rsidP="0004359D">
      <w:pPr>
        <w:rPr>
          <w:lang w:eastAsia="ja-JP"/>
        </w:rPr>
      </w:pPr>
      <w:r>
        <w:rPr>
          <w:lang w:eastAsia="ja-JP"/>
        </w:rPr>
        <w:lastRenderedPageBreak/>
        <w:t xml:space="preserve">While the Standard will be voluntary, through defining the requirements for compliance via different levels of operation, the Standard will also be able to be adopted by the domestic industry. In those instances, the requirements of the department will not be applicable. </w:t>
      </w:r>
    </w:p>
    <w:p w14:paraId="2CDCB3CE" w14:textId="77777777" w:rsidR="0004359D" w:rsidRDefault="0004359D" w:rsidP="0004359D">
      <w:pPr>
        <w:pStyle w:val="Heading2"/>
        <w:pageBreakBefore w:val="0"/>
      </w:pPr>
      <w:r>
        <w:t xml:space="preserve">Using new technology for better outcomes </w:t>
      </w:r>
    </w:p>
    <w:p w14:paraId="29EAA168" w14:textId="77777777" w:rsidR="0004359D" w:rsidRDefault="0004359D" w:rsidP="0004359D">
      <w:pPr>
        <w:rPr>
          <w:lang w:eastAsia="ja-JP"/>
        </w:rPr>
      </w:pPr>
      <w:r>
        <w:rPr>
          <w:lang w:eastAsia="ja-JP"/>
        </w:rPr>
        <w:t xml:space="preserve">Additionally, as part of other government initiatives, the project to develop the Standard has highlighted opportunities for industry to adopt new technology to sample and test grain for quality and phytosanitary purposes. This will help make assessment more accurate, improve confidence in the inspection process and could also reduce costs to industry and the department. This Standard will include elements of that technology adoption that may be realised during the project timeline by industry and the department, or alternatively after the project. </w:t>
      </w:r>
    </w:p>
    <w:p w14:paraId="6A9BA8E0" w14:textId="77777777" w:rsidR="0004359D" w:rsidRDefault="0004359D" w:rsidP="0004359D">
      <w:pPr>
        <w:rPr>
          <w:lang w:eastAsia="ja-JP"/>
        </w:rPr>
      </w:pPr>
      <w:r>
        <w:rPr>
          <w:lang w:eastAsia="ja-JP"/>
        </w:rPr>
        <w:t>Longer term the Standard will be the basis for an alternative assurance arrangement, in which the department recognises the GTA Standard and the proposed auditing and assurance framework in meeting the regulatory requirements.  The department will consider intervening less as the level of assurance increases. Industry will show higher levels of assurance through:</w:t>
      </w:r>
    </w:p>
    <w:p w14:paraId="70AA900F" w14:textId="1CEF1EC8" w:rsidR="0004359D" w:rsidRDefault="0004359D" w:rsidP="0004359D">
      <w:pPr>
        <w:pStyle w:val="ListBullet"/>
        <w:rPr>
          <w:lang w:eastAsia="ja-JP"/>
        </w:rPr>
      </w:pPr>
      <w:r>
        <w:rPr>
          <w:lang w:eastAsia="ja-JP"/>
        </w:rPr>
        <w:t>meeting the standards</w:t>
      </w:r>
    </w:p>
    <w:p w14:paraId="5A6584DC" w14:textId="6393173B" w:rsidR="0004359D" w:rsidRDefault="0004359D" w:rsidP="0004359D">
      <w:pPr>
        <w:pStyle w:val="ListBullet"/>
        <w:rPr>
          <w:lang w:eastAsia="ja-JP"/>
        </w:rPr>
      </w:pPr>
      <w:r>
        <w:rPr>
          <w:lang w:eastAsia="ja-JP"/>
        </w:rPr>
        <w:t>using nationally recognized technology</w:t>
      </w:r>
    </w:p>
    <w:p w14:paraId="03A6DE0B" w14:textId="12AF2109" w:rsidR="0004359D" w:rsidRDefault="0004359D" w:rsidP="0004359D">
      <w:pPr>
        <w:pStyle w:val="ListBullet"/>
        <w:rPr>
          <w:lang w:eastAsia="ja-JP"/>
        </w:rPr>
      </w:pPr>
      <w:r>
        <w:rPr>
          <w:lang w:eastAsia="ja-JP"/>
        </w:rPr>
        <w:t xml:space="preserve">the compliance history of establishments </w:t>
      </w:r>
    </w:p>
    <w:p w14:paraId="33A0F19C" w14:textId="3D2D6CAE" w:rsidR="0004359D" w:rsidRDefault="0004359D" w:rsidP="0004359D">
      <w:pPr>
        <w:pStyle w:val="ListBullet"/>
        <w:rPr>
          <w:lang w:eastAsia="ja-JP"/>
        </w:rPr>
      </w:pPr>
      <w:r>
        <w:rPr>
          <w:lang w:eastAsia="ja-JP"/>
        </w:rPr>
        <w:t>industry quality management systems.</w:t>
      </w:r>
    </w:p>
    <w:p w14:paraId="033DF21C" w14:textId="77777777" w:rsidR="0004359D" w:rsidRDefault="0004359D" w:rsidP="0004359D">
      <w:pPr>
        <w:pStyle w:val="Heading2"/>
        <w:pageBreakBefore w:val="0"/>
      </w:pPr>
      <w:r>
        <w:t xml:space="preserve">Benefits </w:t>
      </w:r>
    </w:p>
    <w:p w14:paraId="7A7DCB73" w14:textId="77777777" w:rsidR="0004359D" w:rsidRDefault="0004359D" w:rsidP="0004359D">
      <w:pPr>
        <w:rPr>
          <w:lang w:eastAsia="ja-JP"/>
        </w:rPr>
      </w:pPr>
      <w:r>
        <w:rPr>
          <w:lang w:eastAsia="ja-JP"/>
        </w:rPr>
        <w:t>Industry assured grain storages with improved processes and procedures for grain management as outlined in the Standard will provide benefits for industry and the department, including:</w:t>
      </w:r>
    </w:p>
    <w:p w14:paraId="705D1168" w14:textId="6B7DD58A" w:rsidR="0004359D" w:rsidRDefault="0004359D" w:rsidP="0004359D">
      <w:pPr>
        <w:pStyle w:val="ListBullet"/>
        <w:rPr>
          <w:lang w:eastAsia="ja-JP"/>
        </w:rPr>
      </w:pPr>
      <w:r>
        <w:rPr>
          <w:lang w:eastAsia="ja-JP"/>
        </w:rPr>
        <w:t xml:space="preserve">Strengthen the confidence of overseas and domestic consumers in the quality of Australian grain. </w:t>
      </w:r>
    </w:p>
    <w:p w14:paraId="3D71C6A8" w14:textId="6A10F32C" w:rsidR="0004359D" w:rsidRDefault="0004359D" w:rsidP="0004359D">
      <w:pPr>
        <w:pStyle w:val="ListBullet"/>
        <w:rPr>
          <w:lang w:eastAsia="ja-JP"/>
        </w:rPr>
      </w:pPr>
      <w:r>
        <w:rPr>
          <w:lang w:eastAsia="ja-JP"/>
        </w:rPr>
        <w:t>A greater level of assurance and confidence for the department in Export Registered Establishments (EREs) and their storage, management, and quality systems in the export grain supply chain.</w:t>
      </w:r>
    </w:p>
    <w:p w14:paraId="50DEE8E2" w14:textId="4C4D352B" w:rsidR="0004359D" w:rsidRDefault="0004359D" w:rsidP="0004359D">
      <w:pPr>
        <w:pStyle w:val="ListBullet"/>
        <w:rPr>
          <w:lang w:eastAsia="ja-JP"/>
        </w:rPr>
      </w:pPr>
      <w:r>
        <w:rPr>
          <w:lang w:eastAsia="ja-JP"/>
        </w:rPr>
        <w:t xml:space="preserve">A tool for demonstrating greater assurance to the department on industry compliance, which can lead to a reduction in the department’s level of regulatory intervention. </w:t>
      </w:r>
    </w:p>
    <w:p w14:paraId="1298F561" w14:textId="0A78B8CE" w:rsidR="0004359D" w:rsidRDefault="0004359D" w:rsidP="0004359D">
      <w:pPr>
        <w:pStyle w:val="ListBullet"/>
        <w:rPr>
          <w:lang w:eastAsia="ja-JP"/>
        </w:rPr>
      </w:pPr>
      <w:r>
        <w:rPr>
          <w:lang w:eastAsia="ja-JP"/>
        </w:rPr>
        <w:t xml:space="preserve">Greater confidence for the financial services industry leading to improved access to finance and insurance. </w:t>
      </w:r>
    </w:p>
    <w:p w14:paraId="110A4476" w14:textId="7A873262" w:rsidR="0004359D" w:rsidRDefault="0004359D" w:rsidP="0004359D">
      <w:pPr>
        <w:pStyle w:val="ListBullet"/>
        <w:rPr>
          <w:lang w:eastAsia="ja-JP"/>
        </w:rPr>
      </w:pPr>
      <w:r>
        <w:rPr>
          <w:lang w:eastAsia="ja-JP"/>
        </w:rPr>
        <w:t>Better interface with the logistics supply chain and reduced remediation cost for out of specification grain.</w:t>
      </w:r>
    </w:p>
    <w:p w14:paraId="51F11B83" w14:textId="344B14D8" w:rsidR="0004359D" w:rsidRDefault="0004359D" w:rsidP="0004359D">
      <w:pPr>
        <w:pStyle w:val="ListBullet"/>
        <w:rPr>
          <w:lang w:eastAsia="ja-JP"/>
        </w:rPr>
      </w:pPr>
      <w:r>
        <w:rPr>
          <w:lang w:eastAsia="ja-JP"/>
        </w:rPr>
        <w:t xml:space="preserve">Decreased exposure to inventory loss and contractual risk. </w:t>
      </w:r>
    </w:p>
    <w:p w14:paraId="29B956B8" w14:textId="6965FEB0" w:rsidR="0004359D" w:rsidRDefault="0004359D" w:rsidP="0004359D">
      <w:pPr>
        <w:pStyle w:val="ListBullet"/>
        <w:rPr>
          <w:lang w:eastAsia="ja-JP"/>
        </w:rPr>
      </w:pPr>
      <w:r>
        <w:rPr>
          <w:lang w:eastAsia="ja-JP"/>
        </w:rPr>
        <w:t xml:space="preserve">Providing [evidentiary] records that will support quality control and niche marketing opportunities.  </w:t>
      </w:r>
    </w:p>
    <w:p w14:paraId="46409A6C" w14:textId="286FF81C" w:rsidR="0004359D" w:rsidRDefault="0004359D" w:rsidP="0004359D">
      <w:pPr>
        <w:pStyle w:val="ListBullet"/>
        <w:rPr>
          <w:lang w:eastAsia="ja-JP"/>
        </w:rPr>
      </w:pPr>
      <w:r>
        <w:rPr>
          <w:lang w:eastAsia="ja-JP"/>
        </w:rPr>
        <w:t>Demonstrated compliance with WH&amp;S and other regulatory requirements.</w:t>
      </w:r>
    </w:p>
    <w:p w14:paraId="37710950" w14:textId="77777777" w:rsidR="0004359D" w:rsidRDefault="0004359D" w:rsidP="0004359D">
      <w:pPr>
        <w:rPr>
          <w:lang w:eastAsia="ja-JP"/>
        </w:rPr>
      </w:pPr>
    </w:p>
    <w:p w14:paraId="067F0102" w14:textId="5A875072" w:rsidR="0004359D" w:rsidRDefault="00FD73BF" w:rsidP="0004359D">
      <w:pPr>
        <w:pStyle w:val="Heading2"/>
        <w:pageBreakBefore w:val="0"/>
      </w:pPr>
      <w:r>
        <w:lastRenderedPageBreak/>
        <w:t>Piloting the</w:t>
      </w:r>
      <w:r w:rsidR="0004359D">
        <w:t xml:space="preserve"> Standard</w:t>
      </w:r>
    </w:p>
    <w:p w14:paraId="1633465C" w14:textId="605BFB79" w:rsidR="00905F94" w:rsidRDefault="00FD73BF" w:rsidP="0004359D">
      <w:pPr>
        <w:rPr>
          <w:lang w:eastAsia="ja-JP"/>
        </w:rPr>
      </w:pPr>
      <w:r w:rsidRPr="00FD73BF">
        <w:rPr>
          <w:lang w:eastAsia="ja-JP"/>
        </w:rPr>
        <w:t xml:space="preserve">To evaluate that the standard meets our regulatory requirements, in collaboration with industry, the department initiated a pilot program in November 2022. The pilot program ran through to the end of April 2023. We conducted onsite visits and virtual meetings to assess the suitability of the standard. The results of the pilot are helping to finalise the draft standard. </w:t>
      </w:r>
    </w:p>
    <w:p w14:paraId="43CB4B51" w14:textId="5B465CEF" w:rsidR="008538E8" w:rsidRDefault="008538E8" w:rsidP="008538E8">
      <w:pPr>
        <w:pStyle w:val="Heading2"/>
        <w:rPr>
          <w:lang w:val="en-US"/>
        </w:rPr>
      </w:pPr>
      <w:r>
        <w:rPr>
          <w:lang w:val="en-US"/>
        </w:rPr>
        <w:lastRenderedPageBreak/>
        <w:t xml:space="preserve">Contact </w:t>
      </w:r>
      <w:proofErr w:type="gramStart"/>
      <w:r>
        <w:rPr>
          <w:lang w:val="en-US"/>
        </w:rPr>
        <w:t>us</w:t>
      </w:r>
      <w:proofErr w:type="gramEnd"/>
      <w:r>
        <w:rPr>
          <w:lang w:val="en-US"/>
        </w:rPr>
        <w:t xml:space="preserve"> </w:t>
      </w:r>
    </w:p>
    <w:p w14:paraId="356831F0" w14:textId="1FC576B5" w:rsidR="008538E8" w:rsidRPr="008538E8" w:rsidRDefault="008538E8" w:rsidP="008538E8">
      <w:pPr>
        <w:rPr>
          <w:lang w:val="en-US" w:eastAsia="ja-JP"/>
        </w:rPr>
      </w:pPr>
      <w:r>
        <w:rPr>
          <w:lang w:val="en-US" w:eastAsia="ja-JP"/>
        </w:rPr>
        <w:t xml:space="preserve">For enquiries please contact: </w:t>
      </w:r>
      <w:bookmarkStart w:id="0" w:name="_Hlk133583684"/>
      <w:r>
        <w:fldChar w:fldCharType="begin"/>
      </w:r>
      <w:r>
        <w:instrText>HYPERLINK "file:///C:\\Users\\la0014\\Downloads\\congestionbustingplant@agriculture.gov.au"</w:instrText>
      </w:r>
      <w:r>
        <w:fldChar w:fldCharType="separate"/>
      </w:r>
      <w:r w:rsidRPr="00CF7F89">
        <w:rPr>
          <w:rStyle w:val="Hyperlink"/>
          <w:lang w:eastAsia="ja-JP"/>
        </w:rPr>
        <w:t>congestionbustingplant@agriculture.gov.au</w:t>
      </w:r>
      <w:r>
        <w:rPr>
          <w:rStyle w:val="Hyperlink"/>
          <w:lang w:eastAsia="ja-JP"/>
        </w:rPr>
        <w:fldChar w:fldCharType="end"/>
      </w:r>
      <w:bookmarkEnd w:id="0"/>
    </w:p>
    <w:p w14:paraId="2CEDFCCB" w14:textId="142608C6" w:rsidR="0004359D" w:rsidRDefault="0004359D" w:rsidP="0004359D">
      <w:pPr>
        <w:rPr>
          <w:lang w:eastAsia="ja-JP"/>
        </w:rPr>
      </w:pPr>
    </w:p>
    <w:p w14:paraId="2860C918" w14:textId="50853F2F" w:rsidR="00CF7F89" w:rsidRDefault="00FD73BF" w:rsidP="00CF7F89">
      <w:pPr>
        <w:pStyle w:val="Heading2"/>
        <w:pageBreakBefore w:val="0"/>
      </w:pPr>
      <w:r>
        <w:t>Reforms in agricultural export trade</w:t>
      </w:r>
    </w:p>
    <w:p w14:paraId="240F57F1" w14:textId="0650FDA4" w:rsidR="00CF7F89" w:rsidRDefault="00FD73BF" w:rsidP="00CF7F89">
      <w:pPr>
        <w:rPr>
          <w:lang w:eastAsia="ja-JP"/>
        </w:rPr>
      </w:pPr>
      <w:r w:rsidRPr="00FD73BF">
        <w:rPr>
          <w:lang w:eastAsia="ja-JP"/>
        </w:rPr>
        <w:t>The department is pursuing a range of reform projects to modernise and streamline our agricultural export sector. This will enable our exporters to experience faster and more cost-effective services. We are streamlining existing assurance measures by recognising where our requirements overlap with industry systems and by making more of our agricultural export services available online. These changes will deliver substantial time and cost benefits to industry and the government, while helping exporters get their goods to market faster.</w:t>
      </w:r>
    </w:p>
    <w:p w14:paraId="58E9975E" w14:textId="77777777" w:rsidR="008538E8" w:rsidRDefault="008538E8" w:rsidP="008538E8">
      <w:pPr>
        <w:rPr>
          <w:lang w:eastAsia="ja-JP"/>
        </w:rPr>
      </w:pPr>
      <w:r>
        <w:rPr>
          <w:lang w:eastAsia="ja-JP"/>
        </w:rPr>
        <w:t xml:space="preserve">Visit our website to learn more: </w:t>
      </w:r>
      <w:hyperlink r:id="rId11" w:history="1">
        <w:r w:rsidRPr="008B2EF8">
          <w:rPr>
            <w:rStyle w:val="Hyperlink"/>
            <w:lang w:eastAsia="ja-JP"/>
          </w:rPr>
          <w:t>awe.gov.au/transforming-export-services</w:t>
        </w:r>
      </w:hyperlink>
    </w:p>
    <w:p w14:paraId="62D5B284" w14:textId="7567BA4B" w:rsidR="00CF7F89" w:rsidRDefault="00CF7F89" w:rsidP="00CF7F89">
      <w:pPr>
        <w:rPr>
          <w:lang w:eastAsia="ja-JP"/>
        </w:rPr>
      </w:pPr>
    </w:p>
    <w:sectPr w:rsidR="00CF7F89" w:rsidSect="00EB552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489A" w14:textId="77777777" w:rsidR="005B099F" w:rsidRDefault="005B099F">
      <w:r>
        <w:separator/>
      </w:r>
    </w:p>
  </w:endnote>
  <w:endnote w:type="continuationSeparator" w:id="0">
    <w:p w14:paraId="42F19D04" w14:textId="77777777" w:rsidR="005B099F" w:rsidRDefault="005B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402C7EA2" w14:textId="1DAF7CA9" w:rsidR="00C6669A" w:rsidRDefault="000A7C1A" w:rsidP="00C6669A">
        <w:pPr>
          <w:pStyle w:val="Footer"/>
          <w:jc w:val="right"/>
        </w:pPr>
        <w:r>
          <w:t>Department of Agricultur</w:t>
        </w:r>
        <w:r w:rsidR="00FD73BF">
          <w:t>e, Fisheries and Forestry</w:t>
        </w:r>
        <w:r w:rsidR="00C6669A">
          <w:tab/>
        </w:r>
        <w:r w:rsidR="00EB5521">
          <w:fldChar w:fldCharType="begin"/>
        </w:r>
        <w:r w:rsidR="00C6669A">
          <w:instrText xml:space="preserve"> PAGE   \* MERGEFORMAT </w:instrText>
        </w:r>
        <w:r w:rsidR="00EB5521">
          <w:fldChar w:fldCharType="separate"/>
        </w:r>
        <w:r w:rsidR="00387658">
          <w:rPr>
            <w:noProof/>
          </w:rPr>
          <w:t>1</w:t>
        </w:r>
        <w:r w:rsidR="00EB552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118F" w14:textId="77777777" w:rsidR="005B099F" w:rsidRDefault="005B099F">
      <w:r>
        <w:separator/>
      </w:r>
    </w:p>
  </w:footnote>
  <w:footnote w:type="continuationSeparator" w:id="0">
    <w:p w14:paraId="082DBBC8" w14:textId="77777777" w:rsidR="005B099F" w:rsidRDefault="005B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9C79" w14:textId="0185A33E" w:rsidR="00626E31" w:rsidRPr="005B099F" w:rsidRDefault="005B099F" w:rsidP="005B099F">
    <w:pPr>
      <w:pStyle w:val="Header"/>
    </w:pPr>
    <w:r w:rsidRPr="005B099F">
      <w:t>Factsheet - Industry Systems Recognition Grain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5E07D5"/>
    <w:multiLevelType w:val="hybridMultilevel"/>
    <w:tmpl w:val="590A62AC"/>
    <w:lvl w:ilvl="0" w:tplc="13E222E0">
      <w:start w:val="1"/>
      <w:numFmt w:val="bullet"/>
      <w:lvlText w:val="•"/>
      <w:lvlJc w:val="left"/>
      <w:pPr>
        <w:ind w:left="732" w:hanging="171"/>
      </w:pPr>
      <w:rPr>
        <w:rFonts w:ascii="Calibri" w:eastAsia="Calibri" w:hAnsi="Calibri" w:hint="default"/>
        <w:color w:val="0079A3"/>
        <w:w w:val="72"/>
        <w:position w:val="1"/>
        <w:sz w:val="17"/>
        <w:szCs w:val="17"/>
      </w:rPr>
    </w:lvl>
    <w:lvl w:ilvl="1" w:tplc="347E4534">
      <w:start w:val="1"/>
      <w:numFmt w:val="bullet"/>
      <w:lvlText w:val="•"/>
      <w:lvlJc w:val="left"/>
      <w:pPr>
        <w:ind w:left="1180" w:hanging="160"/>
      </w:pPr>
      <w:rPr>
        <w:rFonts w:ascii="Calibri" w:eastAsia="Calibri" w:hAnsi="Calibri" w:hint="default"/>
        <w:color w:val="0079A3"/>
        <w:w w:val="66"/>
        <w:sz w:val="16"/>
        <w:szCs w:val="16"/>
      </w:rPr>
    </w:lvl>
    <w:lvl w:ilvl="2" w:tplc="2FF66956">
      <w:start w:val="1"/>
      <w:numFmt w:val="bullet"/>
      <w:lvlText w:val="•"/>
      <w:lvlJc w:val="left"/>
      <w:pPr>
        <w:ind w:left="651" w:hanging="160"/>
      </w:pPr>
      <w:rPr>
        <w:rFonts w:hint="default"/>
      </w:rPr>
    </w:lvl>
    <w:lvl w:ilvl="3" w:tplc="6024C2CC">
      <w:start w:val="1"/>
      <w:numFmt w:val="bullet"/>
      <w:lvlText w:val="•"/>
      <w:lvlJc w:val="left"/>
      <w:pPr>
        <w:ind w:left="123" w:hanging="160"/>
      </w:pPr>
      <w:rPr>
        <w:rFonts w:hint="default"/>
      </w:rPr>
    </w:lvl>
    <w:lvl w:ilvl="4" w:tplc="A978CD9C">
      <w:start w:val="1"/>
      <w:numFmt w:val="bullet"/>
      <w:lvlText w:val="•"/>
      <w:lvlJc w:val="left"/>
      <w:pPr>
        <w:ind w:left="-406" w:hanging="160"/>
      </w:pPr>
      <w:rPr>
        <w:rFonts w:hint="default"/>
      </w:rPr>
    </w:lvl>
    <w:lvl w:ilvl="5" w:tplc="8E26D41E">
      <w:start w:val="1"/>
      <w:numFmt w:val="bullet"/>
      <w:lvlText w:val="•"/>
      <w:lvlJc w:val="left"/>
      <w:pPr>
        <w:ind w:left="-934" w:hanging="160"/>
      </w:pPr>
      <w:rPr>
        <w:rFonts w:hint="default"/>
      </w:rPr>
    </w:lvl>
    <w:lvl w:ilvl="6" w:tplc="2A0451C6">
      <w:start w:val="1"/>
      <w:numFmt w:val="bullet"/>
      <w:lvlText w:val="•"/>
      <w:lvlJc w:val="left"/>
      <w:pPr>
        <w:ind w:left="-1462" w:hanging="160"/>
      </w:pPr>
      <w:rPr>
        <w:rFonts w:hint="default"/>
      </w:rPr>
    </w:lvl>
    <w:lvl w:ilvl="7" w:tplc="A8C87328">
      <w:start w:val="1"/>
      <w:numFmt w:val="bullet"/>
      <w:lvlText w:val="•"/>
      <w:lvlJc w:val="left"/>
      <w:pPr>
        <w:ind w:left="-1991" w:hanging="160"/>
      </w:pPr>
      <w:rPr>
        <w:rFonts w:hint="default"/>
      </w:rPr>
    </w:lvl>
    <w:lvl w:ilvl="8" w:tplc="49E08A74">
      <w:start w:val="1"/>
      <w:numFmt w:val="bullet"/>
      <w:lvlText w:val="•"/>
      <w:lvlJc w:val="left"/>
      <w:pPr>
        <w:ind w:left="-2519" w:hanging="160"/>
      </w:pPr>
      <w:rPr>
        <w:rFont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84334092">
    <w:abstractNumId w:val="13"/>
  </w:num>
  <w:num w:numId="2" w16cid:durableId="607470188">
    <w:abstractNumId w:val="12"/>
  </w:num>
  <w:num w:numId="3" w16cid:durableId="2124110196">
    <w:abstractNumId w:val="6"/>
  </w:num>
  <w:num w:numId="4" w16cid:durableId="1363362141">
    <w:abstractNumId w:val="7"/>
  </w:num>
  <w:num w:numId="5" w16cid:durableId="18362837">
    <w:abstractNumId w:val="3"/>
  </w:num>
  <w:num w:numId="6" w16cid:durableId="1280185980">
    <w:abstractNumId w:val="9"/>
  </w:num>
  <w:num w:numId="7" w16cid:durableId="8722352">
    <w:abstractNumId w:val="16"/>
  </w:num>
  <w:num w:numId="8" w16cid:durableId="2001352251">
    <w:abstractNumId w:val="10"/>
  </w:num>
  <w:num w:numId="9" w16cid:durableId="818770924">
    <w:abstractNumId w:val="14"/>
  </w:num>
  <w:num w:numId="10" w16cid:durableId="1350791081">
    <w:abstractNumId w:val="8"/>
  </w:num>
  <w:num w:numId="11" w16cid:durableId="689574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8846921">
    <w:abstractNumId w:val="11"/>
  </w:num>
  <w:num w:numId="13" w16cid:durableId="1160001106">
    <w:abstractNumId w:val="15"/>
  </w:num>
  <w:num w:numId="14" w16cid:durableId="108361448">
    <w:abstractNumId w:val="2"/>
  </w:num>
  <w:num w:numId="15" w16cid:durableId="511720565">
    <w:abstractNumId w:val="1"/>
  </w:num>
  <w:num w:numId="16" w16cid:durableId="1460610748">
    <w:abstractNumId w:val="0"/>
  </w:num>
  <w:num w:numId="17" w16cid:durableId="1365325123">
    <w:abstractNumId w:val="4"/>
  </w:num>
  <w:num w:numId="18" w16cid:durableId="1444812423">
    <w:abstractNumId w:val="14"/>
  </w:num>
  <w:num w:numId="19" w16cid:durableId="569388801">
    <w:abstractNumId w:val="14"/>
  </w:num>
  <w:num w:numId="20" w16cid:durableId="541478615">
    <w:abstractNumId w:val="14"/>
  </w:num>
  <w:num w:numId="21" w16cid:durableId="1872641848">
    <w:abstractNumId w:val="14"/>
  </w:num>
  <w:num w:numId="22" w16cid:durableId="998269273">
    <w:abstractNumId w:val="14"/>
  </w:num>
  <w:num w:numId="23" w16cid:durableId="512232052">
    <w:abstractNumId w:val="14"/>
  </w:num>
  <w:num w:numId="24" w16cid:durableId="5054878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9F"/>
    <w:rsid w:val="0004359D"/>
    <w:rsid w:val="000A7C1A"/>
    <w:rsid w:val="00387658"/>
    <w:rsid w:val="00487B13"/>
    <w:rsid w:val="00596111"/>
    <w:rsid w:val="005B099F"/>
    <w:rsid w:val="005F0A16"/>
    <w:rsid w:val="00612229"/>
    <w:rsid w:val="00626E31"/>
    <w:rsid w:val="006D6E8A"/>
    <w:rsid w:val="0080251A"/>
    <w:rsid w:val="008538E8"/>
    <w:rsid w:val="008D0708"/>
    <w:rsid w:val="00905F94"/>
    <w:rsid w:val="00AA4B88"/>
    <w:rsid w:val="00B230FF"/>
    <w:rsid w:val="00B57188"/>
    <w:rsid w:val="00B75616"/>
    <w:rsid w:val="00C6669A"/>
    <w:rsid w:val="00CD65D7"/>
    <w:rsid w:val="00CF7F89"/>
    <w:rsid w:val="00DE402A"/>
    <w:rsid w:val="00E3214D"/>
    <w:rsid w:val="00EB5521"/>
    <w:rsid w:val="00F870C3"/>
    <w:rsid w:val="00F96EAC"/>
    <w:rsid w:val="00FD73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1E50B"/>
  <w15:docId w15:val="{A63685A1-CB74-4037-B707-E28B2FF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7F89"/>
    <w:rPr>
      <w:color w:val="605E5C"/>
      <w:shd w:val="clear" w:color="auto" w:fill="E1DFDD"/>
    </w:rPr>
  </w:style>
  <w:style w:type="paragraph" w:styleId="BodyText">
    <w:name w:val="Body Text"/>
    <w:basedOn w:val="Normal"/>
    <w:link w:val="BodyTextChar"/>
    <w:uiPriority w:val="99"/>
    <w:semiHidden/>
    <w:unhideWhenUsed/>
    <w:rsid w:val="00FD73BF"/>
    <w:pPr>
      <w:spacing w:after="120"/>
    </w:pPr>
  </w:style>
  <w:style w:type="character" w:customStyle="1" w:styleId="BodyTextChar">
    <w:name w:val="Body Text Char"/>
    <w:basedOn w:val="DefaultParagraphFont"/>
    <w:link w:val="BodyText"/>
    <w:uiPriority w:val="99"/>
    <w:semiHidden/>
    <w:rsid w:val="00FD73BF"/>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we.gov.au/transforming-export-servi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C2663-4D88-40E8-A678-F76FE90CDC62}">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81c01dc6-2c49-4730-b140-874c95cac377"/>
    <ds:schemaRef ds:uri="http://purl.org/dc/terms/"/>
    <ds:schemaRef ds:uri="c95b51c2-b2ac-4224-a5b5-069909057829"/>
    <ds:schemaRef ds:uri="2b53c995-2120-4bc0-8922-c25044d37f65"/>
    <ds:schemaRef ds:uri="http://purl.org/dc/elements/1.1/"/>
  </ds:schemaRefs>
</ds:datastoreItem>
</file>

<file path=customXml/itemProps2.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3.xml><?xml version="1.0" encoding="utf-8"?>
<ds:datastoreItem xmlns:ds="http://schemas.openxmlformats.org/officeDocument/2006/customXml" ds:itemID="{C358CAEB-F017-483D-9B20-5FAC42CCC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0B0A1-B588-43A6-95C6-EDA54CEB7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Grain storage assets and management standard – a shared goal</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Grain storage assets and management standard – a shared goal</dc:title>
  <dc:creator>Department of Agriculture, Fisheries and Forestry</dc:creator>
  <cp:lastModifiedBy>Goggins, Fiona</cp:lastModifiedBy>
  <cp:revision>4</cp:revision>
  <cp:lastPrinted>2015-08-14T05:36:00Z</cp:lastPrinted>
  <dcterms:created xsi:type="dcterms:W3CDTF">2023-04-26T05:29:00Z</dcterms:created>
  <dcterms:modified xsi:type="dcterms:W3CDTF">2023-05-16T02:11:00Z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0x0101006C6F0405BB69FD4BBA3FA7D130FDA38B</vt:lpwstr>
  </property>
  <property fmtid="{D5CDD505-2E9C-101B-9397-08002B2CF9AE}" pid="3" name="Display as">
    <vt:lpwstr>;#Template;#</vt:lpwstr>
  </property>
  <property fmtid="{D5CDD505-2E9C-101B-9397-08002B2CF9AE}" pid="4" name="MediaServiceImageTags">
    <vt:lpwstr/>
  </property>
</Properties>
</file>