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7D4E" w14:textId="2B2E4390" w:rsidR="000E455C" w:rsidRDefault="002631F2" w:rsidP="00E005FB">
      <w:pPr>
        <w:pStyle w:val="Date"/>
        <w:spacing w:before="1440"/>
      </w:pPr>
      <w:r>
        <w:t>Dec</w:t>
      </w:r>
      <w:r w:rsidR="00011196">
        <w:t>ember</w:t>
      </w:r>
      <w:r w:rsidR="0044304D">
        <w:t xml:space="preserve"> </w:t>
      </w:r>
      <w:r w:rsidR="00B82095">
        <w:t>20</w:t>
      </w:r>
      <w:r w:rsidR="0044304D">
        <w:t>2</w:t>
      </w:r>
      <w:r w:rsidR="001233A8">
        <w:t>2</w:t>
      </w:r>
      <w:r w:rsidR="00E005FB">
        <w:tab/>
      </w:r>
      <w:r w:rsidR="00E005FB">
        <w:tab/>
      </w:r>
      <w:r w:rsidR="00E005FB">
        <w:tab/>
      </w:r>
      <w:r w:rsidR="00E005FB">
        <w:tab/>
      </w:r>
      <w:r w:rsidR="00E005FB">
        <w:tab/>
      </w:r>
      <w:r w:rsidR="00E005FB">
        <w:tab/>
      </w:r>
      <w:r w:rsidR="00E005FB">
        <w:tab/>
      </w:r>
      <w:r w:rsidR="00E005FB">
        <w:tab/>
      </w:r>
      <w:r w:rsidR="00E005FB">
        <w:tab/>
      </w:r>
    </w:p>
    <w:p w14:paraId="1F50DECC" w14:textId="3A632C2F" w:rsidR="00D04A3C" w:rsidRDefault="00934B0E" w:rsidP="00D04A3C">
      <w:pPr>
        <w:pStyle w:val="Series"/>
      </w:pPr>
      <w:r>
        <w:t>Factsheet</w:t>
      </w:r>
    </w:p>
    <w:p w14:paraId="15523607" w14:textId="77777777" w:rsidR="00934B0E" w:rsidRPr="00934B0E" w:rsidRDefault="00934B0E" w:rsidP="00934B0E">
      <w:pPr>
        <w:pStyle w:val="Heading1"/>
        <w:jc w:val="center"/>
      </w:pPr>
      <w:r w:rsidRPr="00934B0E">
        <w:t>Importation of live infectious agents</w:t>
      </w:r>
    </w:p>
    <w:p w14:paraId="0EB033E1" w14:textId="4D361324" w:rsidR="00934B0E" w:rsidRPr="00934B0E" w:rsidRDefault="00934B0E" w:rsidP="00934B0E">
      <w:pPr>
        <w:pStyle w:val="Heading1"/>
        <w:jc w:val="center"/>
      </w:pPr>
      <w:r w:rsidRPr="00934B0E">
        <w:t xml:space="preserve">Animal Division </w:t>
      </w:r>
      <w:r w:rsidR="00E02AAB">
        <w:t>–</w:t>
      </w:r>
      <w:r w:rsidRPr="00934B0E">
        <w:t xml:space="preserve"> </w:t>
      </w:r>
      <w:r w:rsidR="00E02AAB">
        <w:t>s</w:t>
      </w:r>
      <w:r w:rsidRPr="00934B0E">
        <w:t>tandard process for risk assessment</w:t>
      </w:r>
    </w:p>
    <w:p w14:paraId="620C8AEE" w14:textId="77777777" w:rsidR="00934B0E" w:rsidRPr="0055744B" w:rsidRDefault="00934B0E" w:rsidP="00934B0E">
      <w:pPr>
        <w:spacing w:line="240" w:lineRule="auto"/>
      </w:pPr>
      <w:r>
        <w:t xml:space="preserve">As defined in the ‘Biosecurity (Conditionally Non-prohibited Goods) Determination 2021’; </w:t>
      </w:r>
      <w:r w:rsidRPr="007B0304">
        <w:t>infectious agent</w:t>
      </w:r>
      <w:r>
        <w:t xml:space="preserve"> includes any of the following (whether naturally occurring or synthetically created): a virus, a prion, a plasmid, a viroid, or a thing that is a part of an infectious agent.</w:t>
      </w:r>
    </w:p>
    <w:p w14:paraId="163AACD2" w14:textId="67C7B01D" w:rsidR="00934B0E" w:rsidRDefault="00934B0E" w:rsidP="00934B0E">
      <w:pPr>
        <w:spacing w:line="240" w:lineRule="auto"/>
      </w:pPr>
      <w:r>
        <w:t xml:space="preserve">Importation of infectious agents into Australia may be permitted under specific circumstances. Before the import of any infectious agent is permitted, a risk assessment must be carried out. This assessment will determine the potential consequences and the appropriate risk management to prevent the establishment of the agent in Australia, in accordance with our </w:t>
      </w:r>
      <w:r w:rsidRPr="007B0304">
        <w:t xml:space="preserve">appropriate level of protection </w:t>
      </w:r>
      <w:r>
        <w:t>(ALOP).</w:t>
      </w:r>
    </w:p>
    <w:p w14:paraId="6404BE64" w14:textId="77777777" w:rsidR="00934B0E" w:rsidRDefault="00934B0E" w:rsidP="00934B0E">
      <w:pPr>
        <w:spacing w:line="240" w:lineRule="auto"/>
      </w:pPr>
      <w:r>
        <w:t>When undertaking these risk assessments, it is important to note that when an infectious agent is imported as a commodity (as opposed to a potential contamination risk for other commodities) there is a 100% likelihood of entry of the agent into Australia.</w:t>
      </w:r>
    </w:p>
    <w:p w14:paraId="2508F4D2" w14:textId="2F7CF4CA" w:rsidR="00934B0E" w:rsidRDefault="00934B0E" w:rsidP="00934B0E">
      <w:pPr>
        <w:spacing w:line="240" w:lineRule="auto"/>
      </w:pPr>
      <w:r>
        <w:t>Import applications for non-live (or inactivated) infectious agents, or a part of an infectious agent also require a risk assessment to be undertaken to determine whether the inactivation technique will be sufficient to manage biosecurity risks.</w:t>
      </w:r>
    </w:p>
    <w:p w14:paraId="1B308117" w14:textId="0A8E562F" w:rsidR="00934B0E" w:rsidRDefault="00934B0E" w:rsidP="00934B0E">
      <w:pPr>
        <w:spacing w:line="240" w:lineRule="auto"/>
      </w:pPr>
      <w:r>
        <w:t xml:space="preserve">The level of biosecurity risk associated with importing a live infectious agent will vary depending on the nature of the agent. </w:t>
      </w:r>
      <w:r w:rsidRPr="00BB23B4">
        <w:t xml:space="preserve">These risks are classified from minimal risk </w:t>
      </w:r>
      <w:r w:rsidR="00014ECA" w:rsidRPr="00BB23B4">
        <w:t>e.g.,</w:t>
      </w:r>
      <w:r w:rsidRPr="00BB23B4">
        <w:t xml:space="preserve"> microorganisms for use in </w:t>
      </w:r>
      <w:r>
        <w:t xml:space="preserve">food preparation </w:t>
      </w:r>
      <w:r w:rsidRPr="00BB23B4">
        <w:t xml:space="preserve">starter cultures, to </w:t>
      </w:r>
      <w:r>
        <w:t xml:space="preserve">infectious </w:t>
      </w:r>
      <w:r w:rsidRPr="00BB23B4">
        <w:t xml:space="preserve">agents assessed as high risk </w:t>
      </w:r>
      <w:r w:rsidR="00014ECA" w:rsidRPr="00BB23B4">
        <w:t>e.g</w:t>
      </w:r>
      <w:r w:rsidR="00014ECA">
        <w:t>.,</w:t>
      </w:r>
      <w:r w:rsidRPr="00BB23B4">
        <w:t xml:space="preserve"> African swine fever virus</w:t>
      </w:r>
      <w:r>
        <w:t>.</w:t>
      </w:r>
    </w:p>
    <w:p w14:paraId="3EBF2FAA" w14:textId="62CADA95" w:rsidR="00754CA3" w:rsidRPr="00A8157A" w:rsidRDefault="00934B0E" w:rsidP="00934B0E">
      <w:pPr>
        <w:spacing w:line="240" w:lineRule="auto"/>
      </w:pPr>
      <w:r>
        <w:t>There are several steps that must be completed before a live infectious agent is permitted import into Australia. Generally, the following steps are triggered when an importer applies for a biosecurity import permit to import an infectious agent (note, the process may, in some instances, be completed before an import application is received).</w:t>
      </w:r>
    </w:p>
    <w:p w14:paraId="47945883" w14:textId="55655F37" w:rsidR="00943779" w:rsidRDefault="00934B0E" w:rsidP="00A8157A">
      <w:pPr>
        <w:pStyle w:val="Heading2"/>
      </w:pPr>
      <w:r>
        <w:t>Risk assessment process</w:t>
      </w:r>
    </w:p>
    <w:p w14:paraId="6E651E5C" w14:textId="77777777" w:rsidR="00934B0E" w:rsidRPr="0038711F" w:rsidRDefault="00934B0E" w:rsidP="00934B0E">
      <w:pPr>
        <w:pStyle w:val="ListParagraph"/>
        <w:numPr>
          <w:ilvl w:val="0"/>
          <w:numId w:val="44"/>
        </w:numPr>
        <w:spacing w:after="120" w:line="240" w:lineRule="auto"/>
        <w:ind w:left="357" w:hanging="357"/>
        <w:contextualSpacing w:val="0"/>
        <w:rPr>
          <w:rFonts w:asciiTheme="majorHAnsi" w:hAnsiTheme="majorHAnsi"/>
        </w:rPr>
      </w:pPr>
      <w:r w:rsidRPr="0038711F">
        <w:rPr>
          <w:rFonts w:asciiTheme="majorHAnsi" w:hAnsiTheme="majorHAnsi"/>
        </w:rPr>
        <w:t>For live infectious agents which have not been previously assessed by the department, the application</w:t>
      </w:r>
      <w:r w:rsidRPr="0038711F" w:rsidDel="00A23E54">
        <w:rPr>
          <w:rFonts w:asciiTheme="majorHAnsi" w:hAnsiTheme="majorHAnsi"/>
        </w:rPr>
        <w:t xml:space="preserve"> </w:t>
      </w:r>
      <w:r w:rsidRPr="0038711F">
        <w:rPr>
          <w:rFonts w:asciiTheme="majorHAnsi" w:hAnsiTheme="majorHAnsi"/>
        </w:rPr>
        <w:t>is considered on a case-by-case basis, following established procedures.</w:t>
      </w:r>
    </w:p>
    <w:p w14:paraId="384AAD4D" w14:textId="77777777" w:rsidR="00934B0E" w:rsidRPr="0038711F" w:rsidRDefault="00934B0E" w:rsidP="00934B0E">
      <w:pPr>
        <w:pStyle w:val="ListParagraph"/>
        <w:numPr>
          <w:ilvl w:val="1"/>
          <w:numId w:val="44"/>
        </w:numPr>
        <w:spacing w:after="120" w:line="240" w:lineRule="auto"/>
        <w:ind w:left="714" w:hanging="357"/>
        <w:contextualSpacing w:val="0"/>
        <w:rPr>
          <w:rFonts w:asciiTheme="majorHAnsi" w:hAnsiTheme="majorHAnsi"/>
        </w:rPr>
      </w:pPr>
      <w:r w:rsidRPr="0038711F">
        <w:rPr>
          <w:rFonts w:asciiTheme="majorHAnsi" w:hAnsiTheme="majorHAnsi"/>
        </w:rPr>
        <w:t>Infectious agents are routinely assessed at the genus level; however, for infectious agents considered to be potentially significant pathogens, assessment is done at the species, strain, or serotype level, depending on the potential consequences and level of risk assessment and management required.</w:t>
      </w:r>
    </w:p>
    <w:p w14:paraId="23E742CF" w14:textId="77777777" w:rsidR="00934B0E" w:rsidRPr="0038711F" w:rsidRDefault="00934B0E" w:rsidP="00934B0E">
      <w:pPr>
        <w:pStyle w:val="ListParagraph"/>
        <w:numPr>
          <w:ilvl w:val="1"/>
          <w:numId w:val="44"/>
        </w:numPr>
        <w:spacing w:after="120" w:line="240" w:lineRule="auto"/>
        <w:contextualSpacing w:val="0"/>
        <w:rPr>
          <w:rFonts w:asciiTheme="majorHAnsi" w:hAnsiTheme="majorHAnsi"/>
        </w:rPr>
      </w:pPr>
      <w:r w:rsidRPr="0038711F">
        <w:rPr>
          <w:rFonts w:asciiTheme="majorHAnsi" w:hAnsiTheme="majorHAnsi"/>
        </w:rPr>
        <w:t>Considerations include:</w:t>
      </w:r>
    </w:p>
    <w:p w14:paraId="79FABEE3" w14:textId="77777777" w:rsidR="00934B0E" w:rsidRPr="0038711F" w:rsidRDefault="00934B0E" w:rsidP="00934B0E">
      <w:pPr>
        <w:pStyle w:val="ListParagraph"/>
        <w:numPr>
          <w:ilvl w:val="2"/>
          <w:numId w:val="44"/>
        </w:numPr>
        <w:spacing w:after="120" w:line="240" w:lineRule="auto"/>
        <w:ind w:left="1077" w:hanging="357"/>
        <w:contextualSpacing w:val="0"/>
        <w:rPr>
          <w:rFonts w:asciiTheme="majorHAnsi" w:hAnsiTheme="majorHAnsi"/>
        </w:rPr>
      </w:pPr>
      <w:r w:rsidRPr="0038711F">
        <w:rPr>
          <w:rFonts w:asciiTheme="majorHAnsi" w:hAnsiTheme="majorHAnsi"/>
        </w:rPr>
        <w:t>Whether the infectious agent has been isolated in Australia or is endemic to Australia or parts of Australia</w:t>
      </w:r>
    </w:p>
    <w:p w14:paraId="2379F371" w14:textId="77777777" w:rsidR="00934B0E" w:rsidRPr="0038711F" w:rsidRDefault="00934B0E" w:rsidP="00934B0E">
      <w:pPr>
        <w:pStyle w:val="ListParagraph"/>
        <w:numPr>
          <w:ilvl w:val="2"/>
          <w:numId w:val="44"/>
        </w:numPr>
        <w:spacing w:after="120" w:line="240" w:lineRule="auto"/>
        <w:contextualSpacing w:val="0"/>
        <w:rPr>
          <w:rFonts w:asciiTheme="majorHAnsi" w:hAnsiTheme="majorHAnsi"/>
        </w:rPr>
      </w:pPr>
      <w:r w:rsidRPr="0038711F">
        <w:rPr>
          <w:rFonts w:asciiTheme="majorHAnsi" w:hAnsiTheme="majorHAnsi"/>
        </w:rPr>
        <w:t xml:space="preserve">biological factors </w:t>
      </w:r>
    </w:p>
    <w:p w14:paraId="187CFBF6" w14:textId="77777777" w:rsidR="00934B0E" w:rsidRPr="0038711F" w:rsidRDefault="00934B0E" w:rsidP="00934B0E">
      <w:pPr>
        <w:pStyle w:val="ListParagraph"/>
        <w:numPr>
          <w:ilvl w:val="2"/>
          <w:numId w:val="44"/>
        </w:numPr>
        <w:spacing w:after="120" w:line="240" w:lineRule="auto"/>
        <w:contextualSpacing w:val="0"/>
        <w:rPr>
          <w:rFonts w:asciiTheme="majorHAnsi" w:hAnsiTheme="majorHAnsi"/>
        </w:rPr>
      </w:pPr>
      <w:r w:rsidRPr="0038711F">
        <w:rPr>
          <w:rFonts w:asciiTheme="majorHAnsi" w:hAnsiTheme="majorHAnsi"/>
        </w:rPr>
        <w:t>epidemiology; including vectors and survival in the environment</w:t>
      </w:r>
    </w:p>
    <w:p w14:paraId="0DDAD1E7" w14:textId="77777777" w:rsidR="00934B0E" w:rsidRPr="0038711F" w:rsidRDefault="00934B0E" w:rsidP="00934B0E">
      <w:pPr>
        <w:pStyle w:val="ListParagraph"/>
        <w:numPr>
          <w:ilvl w:val="2"/>
          <w:numId w:val="44"/>
        </w:numPr>
        <w:spacing w:after="120" w:line="240" w:lineRule="auto"/>
        <w:contextualSpacing w:val="0"/>
        <w:rPr>
          <w:rFonts w:asciiTheme="majorHAnsi" w:hAnsiTheme="majorHAnsi"/>
        </w:rPr>
      </w:pPr>
      <w:r w:rsidRPr="0038711F">
        <w:rPr>
          <w:rFonts w:asciiTheme="majorHAnsi" w:hAnsiTheme="majorHAnsi"/>
        </w:rPr>
        <w:lastRenderedPageBreak/>
        <w:t xml:space="preserve">pathogenicity </w:t>
      </w:r>
    </w:p>
    <w:p w14:paraId="1EB353FA" w14:textId="77777777" w:rsidR="00934B0E" w:rsidRPr="0038711F" w:rsidRDefault="00934B0E" w:rsidP="00934B0E">
      <w:pPr>
        <w:pStyle w:val="ListParagraph"/>
        <w:numPr>
          <w:ilvl w:val="2"/>
          <w:numId w:val="44"/>
        </w:numPr>
        <w:spacing w:after="120" w:line="240" w:lineRule="auto"/>
        <w:contextualSpacing w:val="0"/>
        <w:rPr>
          <w:rFonts w:asciiTheme="majorHAnsi" w:hAnsiTheme="majorHAnsi"/>
        </w:rPr>
      </w:pPr>
      <w:r w:rsidRPr="0038711F">
        <w:rPr>
          <w:rFonts w:asciiTheme="majorHAnsi" w:hAnsiTheme="majorHAnsi"/>
        </w:rPr>
        <w:t xml:space="preserve">any modifications either through genetic manipulation or otherwise </w:t>
      </w:r>
    </w:p>
    <w:p w14:paraId="60A9551E" w14:textId="3A54892D" w:rsidR="00934B0E" w:rsidRPr="0038711F" w:rsidRDefault="00934B0E" w:rsidP="00934B0E">
      <w:pPr>
        <w:pStyle w:val="ListParagraph"/>
        <w:numPr>
          <w:ilvl w:val="2"/>
          <w:numId w:val="44"/>
        </w:numPr>
        <w:spacing w:after="120" w:line="240" w:lineRule="auto"/>
        <w:ind w:left="1077" w:hanging="357"/>
        <w:contextualSpacing w:val="0"/>
        <w:rPr>
          <w:rFonts w:asciiTheme="majorHAnsi" w:hAnsiTheme="majorHAnsi"/>
        </w:rPr>
      </w:pPr>
      <w:r w:rsidRPr="0038711F">
        <w:rPr>
          <w:rFonts w:asciiTheme="majorHAnsi" w:hAnsiTheme="majorHAnsi"/>
        </w:rPr>
        <w:t xml:space="preserve">classification (where available) by other agencies, </w:t>
      </w:r>
      <w:r w:rsidR="00014ECA" w:rsidRPr="0038711F">
        <w:rPr>
          <w:rFonts w:asciiTheme="majorHAnsi" w:hAnsiTheme="majorHAnsi"/>
        </w:rPr>
        <w:t>groups,</w:t>
      </w:r>
      <w:r w:rsidRPr="0038711F">
        <w:rPr>
          <w:rFonts w:asciiTheme="majorHAnsi" w:hAnsiTheme="majorHAnsi"/>
        </w:rPr>
        <w:t xml:space="preserve"> and standards. </w:t>
      </w:r>
    </w:p>
    <w:p w14:paraId="5B333BAF" w14:textId="77777777" w:rsidR="00934B0E" w:rsidRPr="0038711F" w:rsidRDefault="00934B0E" w:rsidP="00934B0E">
      <w:pPr>
        <w:pStyle w:val="ListParagraph"/>
        <w:numPr>
          <w:ilvl w:val="1"/>
          <w:numId w:val="44"/>
        </w:numPr>
        <w:spacing w:after="120" w:line="240" w:lineRule="auto"/>
        <w:ind w:left="714" w:hanging="357"/>
        <w:contextualSpacing w:val="0"/>
        <w:rPr>
          <w:rFonts w:asciiTheme="majorHAnsi" w:hAnsiTheme="majorHAnsi"/>
        </w:rPr>
      </w:pPr>
      <w:r w:rsidRPr="0038711F">
        <w:rPr>
          <w:rFonts w:asciiTheme="majorHAnsi" w:hAnsiTheme="majorHAnsi"/>
        </w:rPr>
        <w:t xml:space="preserve">The assessment will determine the risk management measures required to ensure mitigation of the risk of the imported infectious agents being introduced into species or the environment where they may be either opportunist or significant pathogens or pests. </w:t>
      </w:r>
    </w:p>
    <w:p w14:paraId="578595F8" w14:textId="77777777" w:rsidR="00934B0E" w:rsidRPr="0038711F" w:rsidRDefault="00934B0E" w:rsidP="00934B0E">
      <w:pPr>
        <w:pStyle w:val="ListParagraph"/>
        <w:numPr>
          <w:ilvl w:val="1"/>
          <w:numId w:val="44"/>
        </w:numPr>
        <w:spacing w:after="120" w:line="240" w:lineRule="auto"/>
        <w:ind w:left="709"/>
        <w:contextualSpacing w:val="0"/>
        <w:rPr>
          <w:rFonts w:asciiTheme="majorHAnsi" w:hAnsiTheme="majorHAnsi"/>
        </w:rPr>
      </w:pPr>
      <w:r w:rsidRPr="0038711F">
        <w:rPr>
          <w:rFonts w:asciiTheme="majorHAnsi" w:hAnsiTheme="majorHAnsi"/>
        </w:rPr>
        <w:t>Risk management measures that may be applied include:</w:t>
      </w:r>
    </w:p>
    <w:p w14:paraId="3AD72C6D" w14:textId="157692A8" w:rsidR="00934B0E" w:rsidRPr="0038711F" w:rsidRDefault="00934B0E" w:rsidP="00934B0E">
      <w:pPr>
        <w:pStyle w:val="ListParagraph"/>
        <w:numPr>
          <w:ilvl w:val="2"/>
          <w:numId w:val="44"/>
        </w:numPr>
        <w:spacing w:after="120" w:line="240" w:lineRule="auto"/>
        <w:ind w:left="1077" w:hanging="357"/>
        <w:contextualSpacing w:val="0"/>
        <w:rPr>
          <w:rFonts w:asciiTheme="majorHAnsi" w:hAnsiTheme="majorHAnsi"/>
        </w:rPr>
      </w:pPr>
      <w:r w:rsidRPr="0038711F">
        <w:rPr>
          <w:rFonts w:asciiTheme="majorHAnsi" w:hAnsiTheme="majorHAnsi"/>
          <w:b/>
          <w:bCs/>
        </w:rPr>
        <w:t>End</w:t>
      </w:r>
      <w:r w:rsidR="00C60447">
        <w:rPr>
          <w:rFonts w:asciiTheme="majorHAnsi" w:hAnsiTheme="majorHAnsi"/>
          <w:b/>
          <w:bCs/>
        </w:rPr>
        <w:t xml:space="preserve"> </w:t>
      </w:r>
      <w:r w:rsidRPr="0038711F">
        <w:rPr>
          <w:rFonts w:asciiTheme="majorHAnsi" w:hAnsiTheme="majorHAnsi"/>
          <w:b/>
          <w:bCs/>
        </w:rPr>
        <w:t>use restriction</w:t>
      </w:r>
      <w:r w:rsidRPr="0038711F">
        <w:rPr>
          <w:rFonts w:asciiTheme="majorHAnsi" w:hAnsiTheme="majorHAnsi"/>
        </w:rPr>
        <w:t xml:space="preserve"> – all infectious agents have end use restrictions applied to them to limit the inadvertent use in the environment or in susceptible species. Commonly, this limits the use of infectious agents only for use: </w:t>
      </w:r>
    </w:p>
    <w:p w14:paraId="6BD02990" w14:textId="10F64074" w:rsidR="00934B0E" w:rsidRPr="0038711F" w:rsidRDefault="00934B0E" w:rsidP="00934B0E">
      <w:pPr>
        <w:pStyle w:val="ListParagraph"/>
        <w:numPr>
          <w:ilvl w:val="3"/>
          <w:numId w:val="44"/>
        </w:numPr>
        <w:spacing w:after="120" w:line="240" w:lineRule="auto"/>
        <w:contextualSpacing w:val="0"/>
        <w:rPr>
          <w:rFonts w:asciiTheme="majorHAnsi" w:hAnsiTheme="majorHAnsi"/>
        </w:rPr>
      </w:pPr>
      <w:r w:rsidRPr="0038711F">
        <w:rPr>
          <w:rFonts w:asciiTheme="majorHAnsi" w:hAnsiTheme="majorHAnsi"/>
          <w:i/>
          <w:iCs/>
        </w:rPr>
        <w:t>in vitro</w:t>
      </w:r>
      <w:r w:rsidRPr="0038711F">
        <w:rPr>
          <w:rFonts w:asciiTheme="majorHAnsi" w:hAnsiTheme="majorHAnsi"/>
        </w:rPr>
        <w:t xml:space="preserve"> – use in a laboratory without exposure to animals, </w:t>
      </w:r>
      <w:r w:rsidR="00014ECA" w:rsidRPr="0038711F">
        <w:rPr>
          <w:rFonts w:asciiTheme="majorHAnsi" w:hAnsiTheme="majorHAnsi"/>
        </w:rPr>
        <w:t>plants,</w:t>
      </w:r>
      <w:r w:rsidRPr="0038711F">
        <w:rPr>
          <w:rFonts w:asciiTheme="majorHAnsi" w:hAnsiTheme="majorHAnsi"/>
        </w:rPr>
        <w:t xml:space="preserve"> or the environment </w:t>
      </w:r>
    </w:p>
    <w:p w14:paraId="2BD75C98" w14:textId="138FC6A8" w:rsidR="00934B0E" w:rsidRPr="0038711F" w:rsidRDefault="00934B0E" w:rsidP="00934B0E">
      <w:pPr>
        <w:pStyle w:val="ListParagraph"/>
        <w:numPr>
          <w:ilvl w:val="3"/>
          <w:numId w:val="44"/>
        </w:numPr>
        <w:spacing w:after="120" w:line="240" w:lineRule="auto"/>
        <w:contextualSpacing w:val="0"/>
        <w:rPr>
          <w:rFonts w:asciiTheme="majorHAnsi" w:eastAsiaTheme="minorEastAsia" w:hAnsiTheme="majorHAnsi"/>
        </w:rPr>
      </w:pPr>
      <w:r w:rsidRPr="0038711F">
        <w:rPr>
          <w:rFonts w:asciiTheme="majorHAnsi" w:hAnsiTheme="majorHAnsi"/>
          <w:i/>
          <w:iCs/>
        </w:rPr>
        <w:t xml:space="preserve">in vivo </w:t>
      </w:r>
      <w:r w:rsidRPr="0038711F">
        <w:rPr>
          <w:rFonts w:asciiTheme="majorHAnsi" w:hAnsiTheme="majorHAnsi"/>
        </w:rPr>
        <w:t xml:space="preserve">– use in a laboratory, allowing use in specified laboratory animals (or humans) in a controlled setting, without exposure to other animals, </w:t>
      </w:r>
      <w:r w:rsidR="00014ECA" w:rsidRPr="0038711F">
        <w:rPr>
          <w:rFonts w:asciiTheme="majorHAnsi" w:hAnsiTheme="majorHAnsi"/>
        </w:rPr>
        <w:t>plants,</w:t>
      </w:r>
      <w:r w:rsidRPr="0038711F">
        <w:rPr>
          <w:rFonts w:asciiTheme="majorHAnsi" w:hAnsiTheme="majorHAnsi"/>
        </w:rPr>
        <w:t xml:space="preserve"> or the environment. Use in non-laboratory animals is not permitted outside biosecurity containment.</w:t>
      </w:r>
    </w:p>
    <w:p w14:paraId="000800A0" w14:textId="77777777" w:rsidR="00934B0E" w:rsidRDefault="00934B0E" w:rsidP="00934B0E">
      <w:pPr>
        <w:pStyle w:val="ListParagraph"/>
        <w:numPr>
          <w:ilvl w:val="2"/>
          <w:numId w:val="44"/>
        </w:numPr>
        <w:spacing w:after="120" w:line="240" w:lineRule="auto"/>
        <w:ind w:left="1077" w:hanging="357"/>
        <w:contextualSpacing w:val="0"/>
        <w:rPr>
          <w:rFonts w:asciiTheme="majorHAnsi" w:hAnsiTheme="majorHAnsi"/>
        </w:rPr>
      </w:pPr>
      <w:r w:rsidRPr="0038711F">
        <w:rPr>
          <w:rFonts w:asciiTheme="majorHAnsi" w:hAnsiTheme="majorHAnsi"/>
          <w:b/>
          <w:bCs/>
        </w:rPr>
        <w:t>Biosecurity/Biosafety Containment</w:t>
      </w:r>
      <w:r w:rsidRPr="0038711F">
        <w:rPr>
          <w:rFonts w:asciiTheme="majorHAnsi" w:hAnsiTheme="majorHAnsi"/>
        </w:rPr>
        <w:t xml:space="preserve"> – Containment of infectious agents involves a combination of buildings, engineering function, equipment, and worker practices to handle microorganisms safely (AS/NZS 2243.3:2019, Safety in laboratories, Part 3: Microbiological safety and containment). </w:t>
      </w:r>
    </w:p>
    <w:p w14:paraId="4E0C9F97" w14:textId="48E3CEDB" w:rsidR="00934B0E" w:rsidRPr="0038711F" w:rsidRDefault="00934B0E" w:rsidP="00934B0E">
      <w:pPr>
        <w:pStyle w:val="ListParagraph"/>
        <w:spacing w:after="120" w:line="240" w:lineRule="auto"/>
        <w:ind w:left="1077"/>
        <w:contextualSpacing w:val="0"/>
        <w:rPr>
          <w:rFonts w:asciiTheme="majorHAnsi" w:hAnsiTheme="majorHAnsi"/>
        </w:rPr>
      </w:pPr>
      <w:r w:rsidRPr="0038711F">
        <w:rPr>
          <w:rFonts w:asciiTheme="majorHAnsi" w:hAnsiTheme="majorHAnsi"/>
        </w:rPr>
        <w:t>Where containment is required for risk management, the considerations around the level of containment are directly related to the biological characteristics of the infectious agent and the consequences of escape. Where the risk of an infectious agent is significant, the department utilises approved arrangements (</w:t>
      </w:r>
      <w:hyperlink r:id="rId11" w:history="1">
        <w:r w:rsidR="00EC7E65" w:rsidRPr="004E0D2C">
          <w:rPr>
            <w:rStyle w:val="Hyperlink"/>
            <w:rFonts w:asciiTheme="majorHAnsi" w:hAnsiTheme="majorHAnsi"/>
          </w:rPr>
          <w:t>www.agriculture.gov.au/biosecurity-trade/import/arrival/arrangements</w:t>
        </w:r>
      </w:hyperlink>
      <w:r w:rsidRPr="0038711F">
        <w:rPr>
          <w:rFonts w:asciiTheme="majorHAnsi" w:hAnsiTheme="majorHAnsi"/>
        </w:rPr>
        <w:t xml:space="preserve">) to ensure the laboratories have adequate measures in place and that they comply with the required containment standards. </w:t>
      </w:r>
    </w:p>
    <w:p w14:paraId="746A40DE" w14:textId="2BF927FB" w:rsidR="00934B0E" w:rsidRPr="00E96177" w:rsidRDefault="00934B0E" w:rsidP="002A49F4">
      <w:pPr>
        <w:pStyle w:val="ListParagraph"/>
        <w:numPr>
          <w:ilvl w:val="2"/>
          <w:numId w:val="44"/>
        </w:numPr>
        <w:spacing w:after="120" w:line="240" w:lineRule="auto"/>
        <w:contextualSpacing w:val="0"/>
        <w:rPr>
          <w:rFonts w:asciiTheme="majorHAnsi" w:hAnsiTheme="majorHAnsi"/>
          <w:strike/>
        </w:rPr>
      </w:pPr>
      <w:r w:rsidRPr="0038711F">
        <w:rPr>
          <w:rFonts w:asciiTheme="majorHAnsi" w:hAnsiTheme="majorHAnsi"/>
          <w:b/>
          <w:bCs/>
        </w:rPr>
        <w:t>Restriction of the organism to a specific institution</w:t>
      </w:r>
      <w:r w:rsidRPr="0038711F">
        <w:rPr>
          <w:rFonts w:asciiTheme="majorHAnsi" w:hAnsiTheme="majorHAnsi"/>
        </w:rPr>
        <w:t xml:space="preserve"> with specific types of containment or expertise – </w:t>
      </w:r>
      <w:r w:rsidR="00DC34E8">
        <w:rPr>
          <w:rFonts w:asciiTheme="majorHAnsi" w:hAnsiTheme="majorHAnsi"/>
        </w:rPr>
        <w:t xml:space="preserve">official </w:t>
      </w:r>
      <w:r w:rsidRPr="0038711F">
        <w:rPr>
          <w:rFonts w:asciiTheme="majorHAnsi" w:hAnsiTheme="majorHAnsi"/>
        </w:rPr>
        <w:t xml:space="preserve">laboratories such as </w:t>
      </w:r>
      <w:r w:rsidR="008C131E">
        <w:rPr>
          <w:rFonts w:asciiTheme="majorHAnsi" w:hAnsiTheme="majorHAnsi"/>
        </w:rPr>
        <w:t xml:space="preserve">reference laboratories and </w:t>
      </w:r>
      <w:r w:rsidRPr="0038711F">
        <w:rPr>
          <w:rFonts w:asciiTheme="majorHAnsi" w:hAnsiTheme="majorHAnsi"/>
        </w:rPr>
        <w:t>th</w:t>
      </w:r>
      <w:r w:rsidR="008C131E">
        <w:rPr>
          <w:rFonts w:asciiTheme="majorHAnsi" w:hAnsiTheme="majorHAnsi"/>
        </w:rPr>
        <w:t>ose belonging to state and territory governments,</w:t>
      </w:r>
      <w:r w:rsidRPr="0038711F">
        <w:rPr>
          <w:rFonts w:asciiTheme="majorHAnsi" w:hAnsiTheme="majorHAnsi"/>
        </w:rPr>
        <w:t xml:space="preserve"> </w:t>
      </w:r>
      <w:r w:rsidR="00DC34E8">
        <w:rPr>
          <w:rFonts w:asciiTheme="majorHAnsi" w:hAnsiTheme="majorHAnsi"/>
        </w:rPr>
        <w:t xml:space="preserve">may </w:t>
      </w:r>
      <w:r w:rsidRPr="0038711F">
        <w:rPr>
          <w:rFonts w:asciiTheme="majorHAnsi" w:hAnsiTheme="majorHAnsi"/>
        </w:rPr>
        <w:t xml:space="preserve">provide additional risk management assurance through their governance processes, operating procedures, enhanced </w:t>
      </w:r>
      <w:r w:rsidR="00014ECA" w:rsidRPr="0038711F">
        <w:rPr>
          <w:rFonts w:asciiTheme="majorHAnsi" w:hAnsiTheme="majorHAnsi"/>
        </w:rPr>
        <w:t>facilities,</w:t>
      </w:r>
      <w:r w:rsidRPr="0038711F">
        <w:rPr>
          <w:rFonts w:asciiTheme="majorHAnsi" w:hAnsiTheme="majorHAnsi"/>
        </w:rPr>
        <w:t xml:space="preserve"> and availability of specific scientific expertise, over and above the established physical containment standards. </w:t>
      </w:r>
    </w:p>
    <w:p w14:paraId="2B478228" w14:textId="4BB4C0D9" w:rsidR="00934B0E" w:rsidRPr="0038711F" w:rsidRDefault="00934B0E" w:rsidP="00934B0E">
      <w:pPr>
        <w:pStyle w:val="ListParagraph"/>
        <w:numPr>
          <w:ilvl w:val="0"/>
          <w:numId w:val="44"/>
        </w:numPr>
        <w:spacing w:after="120" w:line="240" w:lineRule="auto"/>
        <w:ind w:left="357" w:hanging="357"/>
        <w:contextualSpacing w:val="0"/>
        <w:rPr>
          <w:rFonts w:asciiTheme="majorHAnsi" w:eastAsiaTheme="minorEastAsia" w:hAnsiTheme="majorHAnsi"/>
        </w:rPr>
      </w:pPr>
      <w:r w:rsidRPr="0038711F">
        <w:rPr>
          <w:rFonts w:asciiTheme="majorHAnsi" w:hAnsiTheme="majorHAnsi"/>
        </w:rPr>
        <w:t>Where additional risk management (over and above standard containment) is determined to be required to manage potentially significant infectious agents (</w:t>
      </w:r>
      <w:r w:rsidR="00014ECA" w:rsidRPr="0038711F">
        <w:rPr>
          <w:rFonts w:asciiTheme="majorHAnsi" w:hAnsiTheme="majorHAnsi"/>
        </w:rPr>
        <w:t>e.g.,</w:t>
      </w:r>
      <w:r w:rsidRPr="0038711F">
        <w:rPr>
          <w:rFonts w:asciiTheme="majorHAnsi" w:hAnsiTheme="majorHAnsi"/>
        </w:rPr>
        <w:t xml:space="preserve"> lumpy skin disease virus), the department conducts a specific risk assessment of the laboratory facility to obtain adequate assurance that the biosecurity risks can be managed. This risk assessment is based upon the World Health Organisation Laboratory Biosafety Manual guidelines.</w:t>
      </w:r>
    </w:p>
    <w:p w14:paraId="3D964699" w14:textId="0B88955B" w:rsidR="00934B0E" w:rsidRPr="0038711F" w:rsidRDefault="00934B0E" w:rsidP="00934B0E">
      <w:pPr>
        <w:pStyle w:val="ListParagraph"/>
        <w:spacing w:after="120" w:line="240" w:lineRule="auto"/>
        <w:ind w:left="360"/>
        <w:contextualSpacing w:val="0"/>
        <w:rPr>
          <w:rFonts w:asciiTheme="majorHAnsi" w:hAnsiTheme="majorHAnsi"/>
        </w:rPr>
      </w:pPr>
      <w:r w:rsidRPr="0038711F">
        <w:rPr>
          <w:rFonts w:asciiTheme="majorHAnsi" w:hAnsiTheme="majorHAnsi"/>
        </w:rPr>
        <w:t xml:space="preserve">This includes a detailed assessment of: </w:t>
      </w:r>
    </w:p>
    <w:p w14:paraId="491F4169" w14:textId="20440FE6" w:rsidR="00934B0E" w:rsidRPr="0038711F" w:rsidRDefault="002A49F4" w:rsidP="00934B0E">
      <w:pPr>
        <w:pStyle w:val="ListParagraph"/>
        <w:numPr>
          <w:ilvl w:val="2"/>
          <w:numId w:val="44"/>
        </w:numPr>
        <w:spacing w:after="120" w:line="240" w:lineRule="auto"/>
        <w:contextualSpacing w:val="0"/>
        <w:rPr>
          <w:rFonts w:asciiTheme="majorHAnsi" w:hAnsiTheme="majorHAnsi"/>
        </w:rPr>
      </w:pPr>
      <w:r>
        <w:rPr>
          <w:rFonts w:asciiTheme="majorHAnsi" w:hAnsiTheme="majorHAnsi"/>
        </w:rPr>
        <w:t>P</w:t>
      </w:r>
      <w:r w:rsidR="00934B0E" w:rsidRPr="0038711F">
        <w:rPr>
          <w:rFonts w:asciiTheme="majorHAnsi" w:hAnsiTheme="majorHAnsi"/>
        </w:rPr>
        <w:t>otential pathways of escape by an infectious agent</w:t>
      </w:r>
      <w:r>
        <w:rPr>
          <w:rFonts w:asciiTheme="majorHAnsi" w:hAnsiTheme="majorHAnsi"/>
        </w:rPr>
        <w:t>.</w:t>
      </w:r>
    </w:p>
    <w:p w14:paraId="4F1D2D37" w14:textId="6B2AF2E5" w:rsidR="00934B0E" w:rsidRPr="0038711F" w:rsidRDefault="002A49F4" w:rsidP="00934B0E">
      <w:pPr>
        <w:pStyle w:val="ListParagraph"/>
        <w:numPr>
          <w:ilvl w:val="2"/>
          <w:numId w:val="44"/>
        </w:numPr>
        <w:spacing w:after="120" w:line="240" w:lineRule="auto"/>
        <w:contextualSpacing w:val="0"/>
        <w:rPr>
          <w:rFonts w:asciiTheme="majorHAnsi" w:hAnsiTheme="majorHAnsi"/>
        </w:rPr>
      </w:pPr>
      <w:r>
        <w:rPr>
          <w:rFonts w:asciiTheme="majorHAnsi" w:hAnsiTheme="majorHAnsi"/>
        </w:rPr>
        <w:t>T</w:t>
      </w:r>
      <w:r w:rsidR="00934B0E" w:rsidRPr="0038711F">
        <w:rPr>
          <w:rFonts w:asciiTheme="majorHAnsi" w:hAnsiTheme="majorHAnsi"/>
        </w:rPr>
        <w:t>he physical containment facility features</w:t>
      </w:r>
      <w:r>
        <w:rPr>
          <w:rFonts w:asciiTheme="majorHAnsi" w:hAnsiTheme="majorHAnsi"/>
        </w:rPr>
        <w:t>.</w:t>
      </w:r>
    </w:p>
    <w:p w14:paraId="2D5C692E" w14:textId="4FEDC548" w:rsidR="00934B0E" w:rsidRPr="0038711F" w:rsidRDefault="002A49F4" w:rsidP="00934B0E">
      <w:pPr>
        <w:pStyle w:val="ListParagraph"/>
        <w:numPr>
          <w:ilvl w:val="2"/>
          <w:numId w:val="44"/>
        </w:numPr>
        <w:spacing w:after="120" w:line="240" w:lineRule="auto"/>
        <w:contextualSpacing w:val="0"/>
        <w:rPr>
          <w:rFonts w:asciiTheme="majorHAnsi" w:hAnsiTheme="majorHAnsi"/>
        </w:rPr>
      </w:pPr>
      <w:r>
        <w:rPr>
          <w:rFonts w:asciiTheme="majorHAnsi" w:hAnsiTheme="majorHAnsi"/>
        </w:rPr>
        <w:t>T</w:t>
      </w:r>
      <w:r w:rsidR="00934B0E" w:rsidRPr="0038711F">
        <w:rPr>
          <w:rFonts w:asciiTheme="majorHAnsi" w:hAnsiTheme="majorHAnsi"/>
        </w:rPr>
        <w:t xml:space="preserve">he institution’s standard operating procedures and established risk management policies (such as for transport, internal </w:t>
      </w:r>
      <w:r w:rsidR="00014ECA" w:rsidRPr="0038711F">
        <w:rPr>
          <w:rFonts w:asciiTheme="majorHAnsi" w:hAnsiTheme="majorHAnsi"/>
        </w:rPr>
        <w:t>movement,</w:t>
      </w:r>
      <w:r w:rsidR="00934B0E" w:rsidRPr="0038711F">
        <w:rPr>
          <w:rFonts w:asciiTheme="majorHAnsi" w:hAnsiTheme="majorHAnsi"/>
        </w:rPr>
        <w:t xml:space="preserve"> and disposal of infectious agents) as well as training standards and record keeping</w:t>
      </w:r>
      <w:r>
        <w:rPr>
          <w:rFonts w:asciiTheme="majorHAnsi" w:hAnsiTheme="majorHAnsi"/>
        </w:rPr>
        <w:t>.</w:t>
      </w:r>
    </w:p>
    <w:p w14:paraId="4D3BC727" w14:textId="62CDF46D" w:rsidR="00934B0E" w:rsidRPr="0038711F" w:rsidRDefault="002A49F4" w:rsidP="00934B0E">
      <w:pPr>
        <w:pStyle w:val="ListParagraph"/>
        <w:numPr>
          <w:ilvl w:val="2"/>
          <w:numId w:val="44"/>
        </w:numPr>
        <w:spacing w:after="120" w:line="240" w:lineRule="auto"/>
        <w:contextualSpacing w:val="0"/>
        <w:rPr>
          <w:rFonts w:asciiTheme="majorHAnsi" w:hAnsiTheme="majorHAnsi"/>
        </w:rPr>
      </w:pPr>
      <w:r>
        <w:rPr>
          <w:rFonts w:asciiTheme="majorHAnsi" w:hAnsiTheme="majorHAnsi"/>
        </w:rPr>
        <w:t>I</w:t>
      </w:r>
      <w:r w:rsidR="00934B0E" w:rsidRPr="0038711F">
        <w:rPr>
          <w:rFonts w:asciiTheme="majorHAnsi" w:hAnsiTheme="majorHAnsi"/>
        </w:rPr>
        <w:t>nternal governance and oversight of operations, such as institutional biosafety committee findings</w:t>
      </w:r>
      <w:r>
        <w:rPr>
          <w:rFonts w:asciiTheme="majorHAnsi" w:hAnsiTheme="majorHAnsi"/>
        </w:rPr>
        <w:t>.</w:t>
      </w:r>
    </w:p>
    <w:p w14:paraId="0953FAEA" w14:textId="5C9DCDA9" w:rsidR="00934B0E" w:rsidRPr="0038711F" w:rsidRDefault="002A49F4" w:rsidP="00934B0E">
      <w:pPr>
        <w:pStyle w:val="ListParagraph"/>
        <w:numPr>
          <w:ilvl w:val="2"/>
          <w:numId w:val="44"/>
        </w:numPr>
        <w:spacing w:after="120" w:line="240" w:lineRule="auto"/>
        <w:ind w:left="1077" w:hanging="357"/>
        <w:contextualSpacing w:val="0"/>
        <w:rPr>
          <w:rFonts w:asciiTheme="majorHAnsi" w:hAnsiTheme="majorHAnsi"/>
        </w:rPr>
      </w:pPr>
      <w:r>
        <w:rPr>
          <w:rFonts w:asciiTheme="majorHAnsi" w:hAnsiTheme="majorHAnsi"/>
        </w:rPr>
        <w:lastRenderedPageBreak/>
        <w:t>C</w:t>
      </w:r>
      <w:r w:rsidR="00934B0E" w:rsidRPr="0038711F">
        <w:rPr>
          <w:rFonts w:asciiTheme="majorHAnsi" w:hAnsiTheme="majorHAnsi"/>
        </w:rPr>
        <w:t>ontrols put in place by other regulatory agencies such as the Office of the Gene Technology Regulator and Department of Health (Security Sensitive Biological Agents).</w:t>
      </w:r>
    </w:p>
    <w:p w14:paraId="75CD8B04" w14:textId="614FD8CE" w:rsidR="00934B0E" w:rsidRPr="005F128D" w:rsidRDefault="00934B0E" w:rsidP="00934B0E">
      <w:pPr>
        <w:pStyle w:val="ListParagraph"/>
        <w:numPr>
          <w:ilvl w:val="0"/>
          <w:numId w:val="44"/>
        </w:numPr>
        <w:spacing w:after="120" w:line="240" w:lineRule="auto"/>
        <w:ind w:left="357" w:hanging="357"/>
        <w:contextualSpacing w:val="0"/>
      </w:pPr>
      <w:r w:rsidRPr="0038711F">
        <w:rPr>
          <w:rFonts w:asciiTheme="majorHAnsi" w:hAnsiTheme="majorHAnsi"/>
        </w:rPr>
        <w:t xml:space="preserve">For infectious agents the department considers significant </w:t>
      </w:r>
      <w:r w:rsidR="00E96177">
        <w:rPr>
          <w:rFonts w:asciiTheme="majorHAnsi" w:hAnsiTheme="majorHAnsi"/>
        </w:rPr>
        <w:t xml:space="preserve">or emerging </w:t>
      </w:r>
      <w:r w:rsidRPr="0038711F">
        <w:rPr>
          <w:rFonts w:asciiTheme="majorHAnsi" w:hAnsiTheme="majorHAnsi"/>
        </w:rPr>
        <w:t xml:space="preserve">exotic animal pathogens or pests, the department consults with states and territories through the </w:t>
      </w:r>
      <w:r w:rsidRPr="005F128D">
        <w:rPr>
          <w:rFonts w:asciiTheme="majorHAnsi" w:hAnsiTheme="majorHAnsi"/>
        </w:rPr>
        <w:t xml:space="preserve">Animal Health Committee (AHC) </w:t>
      </w:r>
      <w:r w:rsidRPr="0038711F">
        <w:rPr>
          <w:rFonts w:asciiTheme="majorHAnsi" w:hAnsiTheme="majorHAnsi"/>
        </w:rPr>
        <w:t>as well as environmental experts within the department. Where required, the department also consults with industry and appropriate scientific experts on the risk classification of the organism and the effectiveness of the proposed risk management.</w:t>
      </w:r>
    </w:p>
    <w:p w14:paraId="0D934941" w14:textId="5101A68E" w:rsidR="005F128D" w:rsidRPr="003F008B" w:rsidRDefault="005F128D" w:rsidP="005F128D">
      <w:pPr>
        <w:pStyle w:val="ListParagraph"/>
        <w:numPr>
          <w:ilvl w:val="0"/>
          <w:numId w:val="44"/>
        </w:numPr>
        <w:spacing w:after="120" w:line="240" w:lineRule="auto"/>
        <w:ind w:left="357" w:hanging="357"/>
        <w:contextualSpacing w:val="0"/>
        <w:rPr>
          <w:rFonts w:asciiTheme="majorHAnsi" w:hAnsiTheme="majorHAnsi"/>
          <w:strike/>
        </w:rPr>
      </w:pPr>
      <w:r w:rsidRPr="003F008B">
        <w:rPr>
          <w:rFonts w:asciiTheme="majorHAnsi" w:hAnsiTheme="majorHAnsi"/>
        </w:rPr>
        <w:t xml:space="preserve">All exotic animal disease agents previously restricted to ACDP will be assessed using a standardised, risk-based approach. It is expected that only laboratories with a high level of external </w:t>
      </w:r>
      <w:r w:rsidR="00E96177" w:rsidRPr="003F008B">
        <w:rPr>
          <w:rFonts w:asciiTheme="majorHAnsi" w:hAnsiTheme="majorHAnsi"/>
        </w:rPr>
        <w:t xml:space="preserve">regulatory </w:t>
      </w:r>
      <w:r w:rsidRPr="003F008B">
        <w:rPr>
          <w:rFonts w:asciiTheme="majorHAnsi" w:hAnsiTheme="majorHAnsi"/>
        </w:rPr>
        <w:t xml:space="preserve">oversight will have the necessary biosecurity systems in place to receive permission to import exotic animal disease agents currently restricted to ACDP. </w:t>
      </w:r>
    </w:p>
    <w:p w14:paraId="695B1881" w14:textId="77777777" w:rsidR="00934B0E" w:rsidRPr="007B0304" w:rsidRDefault="00934B0E" w:rsidP="00934B0E">
      <w:pPr>
        <w:pStyle w:val="Heading2"/>
        <w:spacing w:before="240"/>
      </w:pPr>
      <w:r>
        <w:t>Permit a</w:t>
      </w:r>
      <w:r w:rsidRPr="00FC02D7">
        <w:t xml:space="preserve">pplication assessment and </w:t>
      </w:r>
      <w:r>
        <w:t>assurance</w:t>
      </w:r>
      <w:r w:rsidRPr="00FC02D7">
        <w:t xml:space="preserve"> </w:t>
      </w:r>
    </w:p>
    <w:p w14:paraId="66C7F709" w14:textId="77777777" w:rsidR="00934B0E" w:rsidRPr="0038711F" w:rsidRDefault="00934B0E" w:rsidP="00934B0E">
      <w:pPr>
        <w:pStyle w:val="ListParagraph"/>
        <w:numPr>
          <w:ilvl w:val="0"/>
          <w:numId w:val="44"/>
        </w:numPr>
        <w:spacing w:after="120" w:line="240" w:lineRule="auto"/>
        <w:ind w:left="357" w:hanging="357"/>
        <w:contextualSpacing w:val="0"/>
        <w:rPr>
          <w:rFonts w:asciiTheme="majorHAnsi" w:hAnsiTheme="majorHAnsi"/>
        </w:rPr>
      </w:pPr>
      <w:r w:rsidRPr="0038711F">
        <w:rPr>
          <w:rFonts w:asciiTheme="majorHAnsi" w:hAnsiTheme="majorHAnsi"/>
        </w:rPr>
        <w:t>Once effective biosecurity risk management measures (protocols and recommended guidelines) are determined, an import permit application can be assessed. Assessment of an import permit application involves consideration of a range of factors that demonstrate a prospective importer’s ability and capacity to safely manage the specific agent to be imported.</w:t>
      </w:r>
    </w:p>
    <w:p w14:paraId="205CFCDF" w14:textId="77777777" w:rsidR="00934B0E" w:rsidRPr="0038711F" w:rsidRDefault="00934B0E" w:rsidP="00934B0E">
      <w:pPr>
        <w:pStyle w:val="ListParagraph"/>
        <w:numPr>
          <w:ilvl w:val="0"/>
          <w:numId w:val="44"/>
        </w:numPr>
        <w:spacing w:after="120" w:line="240" w:lineRule="auto"/>
        <w:ind w:left="357" w:hanging="357"/>
        <w:contextualSpacing w:val="0"/>
        <w:rPr>
          <w:rFonts w:asciiTheme="majorHAnsi" w:hAnsiTheme="majorHAnsi"/>
        </w:rPr>
      </w:pPr>
      <w:r w:rsidRPr="0038711F">
        <w:rPr>
          <w:rFonts w:asciiTheme="majorHAnsi" w:hAnsiTheme="majorHAnsi"/>
        </w:rPr>
        <w:t xml:space="preserve">An import permit may be granted if the applicant is able to satisfy the delegate that they can meet all import requirements and conditions that may be applied. </w:t>
      </w:r>
    </w:p>
    <w:p w14:paraId="2A5DC05E" w14:textId="77777777" w:rsidR="00934B0E" w:rsidRPr="0038711F" w:rsidRDefault="00934B0E" w:rsidP="00934B0E">
      <w:pPr>
        <w:pStyle w:val="ListParagraph"/>
        <w:spacing w:after="120" w:line="240" w:lineRule="auto"/>
        <w:ind w:left="360"/>
        <w:contextualSpacing w:val="0"/>
        <w:rPr>
          <w:rFonts w:asciiTheme="majorHAnsi" w:hAnsiTheme="majorHAnsi"/>
        </w:rPr>
      </w:pPr>
      <w:r w:rsidRPr="0038711F">
        <w:rPr>
          <w:rFonts w:asciiTheme="majorHAnsi" w:hAnsiTheme="majorHAnsi"/>
        </w:rPr>
        <w:t>The importer may be required to provide:</w:t>
      </w:r>
    </w:p>
    <w:p w14:paraId="69A9A951" w14:textId="77777777" w:rsidR="00934B0E" w:rsidRPr="0038711F" w:rsidRDefault="00934B0E" w:rsidP="00934B0E">
      <w:pPr>
        <w:pStyle w:val="ListParagraph"/>
        <w:numPr>
          <w:ilvl w:val="2"/>
          <w:numId w:val="44"/>
        </w:numPr>
        <w:spacing w:after="120" w:line="240" w:lineRule="auto"/>
        <w:contextualSpacing w:val="0"/>
        <w:rPr>
          <w:rFonts w:asciiTheme="majorHAnsi" w:hAnsiTheme="majorHAnsi"/>
        </w:rPr>
      </w:pPr>
      <w:r w:rsidRPr="0038711F">
        <w:rPr>
          <w:rFonts w:asciiTheme="majorHAnsi" w:hAnsiTheme="majorHAnsi"/>
        </w:rPr>
        <w:t>Information about the infectious agent for import – genus/species/strain or serovar and any genetic modifications to the organism that alter the risk profile.</w:t>
      </w:r>
    </w:p>
    <w:p w14:paraId="2CD17A18" w14:textId="77777777" w:rsidR="00934B0E" w:rsidRPr="0038711F" w:rsidRDefault="00934B0E" w:rsidP="00934B0E">
      <w:pPr>
        <w:pStyle w:val="ListParagraph"/>
        <w:numPr>
          <w:ilvl w:val="2"/>
          <w:numId w:val="44"/>
        </w:numPr>
        <w:spacing w:after="120" w:line="240" w:lineRule="auto"/>
        <w:contextualSpacing w:val="0"/>
        <w:rPr>
          <w:rFonts w:asciiTheme="majorHAnsi" w:hAnsiTheme="majorHAnsi"/>
        </w:rPr>
      </w:pPr>
      <w:r w:rsidRPr="0038711F">
        <w:rPr>
          <w:rFonts w:asciiTheme="majorHAnsi" w:hAnsiTheme="majorHAnsi"/>
        </w:rPr>
        <w:t>Purpose of import and the proposed end use of the agent.</w:t>
      </w:r>
    </w:p>
    <w:p w14:paraId="7B45B33F" w14:textId="3627A536" w:rsidR="00934B0E" w:rsidRPr="0038711F" w:rsidRDefault="00934B0E" w:rsidP="00934B0E">
      <w:pPr>
        <w:pStyle w:val="ListParagraph"/>
        <w:numPr>
          <w:ilvl w:val="2"/>
          <w:numId w:val="44"/>
        </w:numPr>
        <w:spacing w:after="120" w:line="240" w:lineRule="auto"/>
        <w:contextualSpacing w:val="0"/>
        <w:rPr>
          <w:rFonts w:asciiTheme="majorHAnsi" w:hAnsiTheme="majorHAnsi"/>
        </w:rPr>
      </w:pPr>
      <w:r w:rsidRPr="0038711F">
        <w:rPr>
          <w:rFonts w:asciiTheme="majorHAnsi" w:hAnsiTheme="majorHAnsi"/>
        </w:rPr>
        <w:t>Evidence that the facility and its staff have the appropriate containment and expertise to assure the department that biosecurity risks are understood and can be managed appropriately by the permit holder (</w:t>
      </w:r>
      <w:r w:rsidR="00014ECA" w:rsidRPr="0038711F">
        <w:rPr>
          <w:rFonts w:asciiTheme="majorHAnsi" w:hAnsiTheme="majorHAnsi"/>
        </w:rPr>
        <w:t>e.g.,</w:t>
      </w:r>
      <w:r w:rsidRPr="0038711F">
        <w:rPr>
          <w:rFonts w:asciiTheme="majorHAnsi" w:hAnsiTheme="majorHAnsi"/>
        </w:rPr>
        <w:t xml:space="preserve"> standard operating procedures (SOPs), training material, follow-up site audits).</w:t>
      </w:r>
    </w:p>
    <w:p w14:paraId="3BFA717F" w14:textId="77777777" w:rsidR="00934B0E" w:rsidRPr="0038711F" w:rsidRDefault="00934B0E" w:rsidP="00934B0E">
      <w:pPr>
        <w:pStyle w:val="ListParagraph"/>
        <w:numPr>
          <w:ilvl w:val="2"/>
          <w:numId w:val="44"/>
        </w:numPr>
        <w:spacing w:after="120" w:line="240" w:lineRule="auto"/>
        <w:contextualSpacing w:val="0"/>
        <w:rPr>
          <w:rFonts w:asciiTheme="majorHAnsi" w:hAnsiTheme="majorHAnsi"/>
        </w:rPr>
      </w:pPr>
      <w:r w:rsidRPr="0038711F">
        <w:rPr>
          <w:rFonts w:asciiTheme="majorHAnsi" w:hAnsiTheme="majorHAnsi"/>
        </w:rPr>
        <w:t>Details of their approved arrangement facilities.</w:t>
      </w:r>
    </w:p>
    <w:p w14:paraId="11E0E77C" w14:textId="77777777" w:rsidR="00934B0E" w:rsidRPr="0038711F" w:rsidRDefault="00934B0E" w:rsidP="00934B0E">
      <w:pPr>
        <w:pStyle w:val="ListParagraph"/>
        <w:numPr>
          <w:ilvl w:val="2"/>
          <w:numId w:val="44"/>
        </w:numPr>
        <w:spacing w:after="120" w:line="240" w:lineRule="auto"/>
        <w:contextualSpacing w:val="0"/>
        <w:rPr>
          <w:rFonts w:asciiTheme="majorHAnsi" w:hAnsiTheme="majorHAnsi"/>
        </w:rPr>
      </w:pPr>
      <w:r w:rsidRPr="0038711F">
        <w:rPr>
          <w:rFonts w:asciiTheme="majorHAnsi" w:hAnsiTheme="majorHAnsi"/>
        </w:rPr>
        <w:t>Evidence of appropriate record keeping and reporting procedures for handling of the organism in the facility and ensuring adherence to conditions of import.</w:t>
      </w:r>
    </w:p>
    <w:p w14:paraId="7C1D4B6C" w14:textId="77777777" w:rsidR="00934B0E" w:rsidRPr="0038711F" w:rsidRDefault="00934B0E" w:rsidP="00934B0E">
      <w:pPr>
        <w:spacing w:line="240" w:lineRule="auto"/>
        <w:ind w:left="357"/>
      </w:pPr>
      <w:r w:rsidRPr="0038711F">
        <w:t>All information may be subject to verification prior to a decision as to whether the permit is issued or refused.</w:t>
      </w:r>
    </w:p>
    <w:p w14:paraId="0AE3641A" w14:textId="77777777" w:rsidR="00934B0E" w:rsidRPr="0038711F" w:rsidRDefault="00934B0E" w:rsidP="00934B0E">
      <w:pPr>
        <w:pStyle w:val="ListParagraph"/>
        <w:numPr>
          <w:ilvl w:val="0"/>
          <w:numId w:val="44"/>
        </w:numPr>
        <w:spacing w:after="120" w:line="240" w:lineRule="auto"/>
        <w:ind w:left="357" w:hanging="357"/>
        <w:contextualSpacing w:val="0"/>
        <w:rPr>
          <w:rFonts w:asciiTheme="majorHAnsi" w:hAnsiTheme="majorHAnsi"/>
        </w:rPr>
      </w:pPr>
      <w:r w:rsidRPr="0038711F">
        <w:rPr>
          <w:rFonts w:asciiTheme="majorHAnsi" w:hAnsiTheme="majorHAnsi"/>
        </w:rPr>
        <w:t xml:space="preserve">The importer must be able to provide ongoing assurance that they continue to adhere to the appropriate risk management set in permit conditions and any conditions of the relevant approved arrangement. </w:t>
      </w:r>
    </w:p>
    <w:p w14:paraId="5083E248" w14:textId="77777777" w:rsidR="00934B0E" w:rsidRPr="0038711F" w:rsidRDefault="00934B0E" w:rsidP="00934B0E">
      <w:pPr>
        <w:pStyle w:val="ListParagraph"/>
        <w:spacing w:after="120" w:line="240" w:lineRule="auto"/>
        <w:ind w:left="360"/>
        <w:contextualSpacing w:val="0"/>
        <w:rPr>
          <w:rFonts w:asciiTheme="majorHAnsi" w:hAnsiTheme="majorHAnsi"/>
        </w:rPr>
      </w:pPr>
      <w:r w:rsidRPr="0038711F">
        <w:rPr>
          <w:rFonts w:asciiTheme="majorHAnsi" w:hAnsiTheme="majorHAnsi"/>
        </w:rPr>
        <w:t>The department applies various import permit conditions, to obtain this assurance:</w:t>
      </w:r>
    </w:p>
    <w:p w14:paraId="6E8CBDC5" w14:textId="30B09552" w:rsidR="00934B0E" w:rsidRPr="0038711F" w:rsidRDefault="00934B0E" w:rsidP="00934B0E">
      <w:pPr>
        <w:pStyle w:val="ListParagraph"/>
        <w:numPr>
          <w:ilvl w:val="2"/>
          <w:numId w:val="44"/>
        </w:numPr>
        <w:spacing w:after="120" w:line="240" w:lineRule="auto"/>
        <w:contextualSpacing w:val="0"/>
        <w:rPr>
          <w:rFonts w:asciiTheme="majorHAnsi" w:hAnsiTheme="majorHAnsi"/>
        </w:rPr>
      </w:pPr>
      <w:r w:rsidRPr="0038711F">
        <w:rPr>
          <w:rFonts w:asciiTheme="majorHAnsi" w:hAnsiTheme="majorHAnsi"/>
        </w:rPr>
        <w:t>Manufacturer/supplier declarations and/or certification from the competent authority of the country of export of the commodity – to ensure each consignment is exactly as assessed at the time of application (</w:t>
      </w:r>
      <w:r w:rsidR="00014ECA" w:rsidRPr="0038711F">
        <w:rPr>
          <w:rFonts w:asciiTheme="majorHAnsi" w:hAnsiTheme="majorHAnsi"/>
        </w:rPr>
        <w:t>e.g.,</w:t>
      </w:r>
      <w:r w:rsidRPr="0038711F">
        <w:rPr>
          <w:rFonts w:asciiTheme="majorHAnsi" w:hAnsiTheme="majorHAnsi"/>
        </w:rPr>
        <w:t xml:space="preserve"> sourcing, manufacturing, exclusion of modification)</w:t>
      </w:r>
      <w:r w:rsidR="005342B1">
        <w:rPr>
          <w:rFonts w:asciiTheme="majorHAnsi" w:hAnsiTheme="majorHAnsi"/>
        </w:rPr>
        <w:t>.</w:t>
      </w:r>
    </w:p>
    <w:p w14:paraId="285911B3" w14:textId="77777777" w:rsidR="00934B0E" w:rsidRPr="0038711F" w:rsidRDefault="00934B0E" w:rsidP="00934B0E">
      <w:pPr>
        <w:pStyle w:val="ListParagraph"/>
        <w:numPr>
          <w:ilvl w:val="2"/>
          <w:numId w:val="44"/>
        </w:numPr>
        <w:spacing w:after="120" w:line="240" w:lineRule="auto"/>
        <w:contextualSpacing w:val="0"/>
        <w:rPr>
          <w:rFonts w:asciiTheme="majorHAnsi" w:hAnsiTheme="majorHAnsi"/>
        </w:rPr>
      </w:pPr>
      <w:r w:rsidRPr="0038711F">
        <w:rPr>
          <w:rFonts w:asciiTheme="majorHAnsi" w:hAnsiTheme="majorHAnsi"/>
        </w:rPr>
        <w:t>End use restrictions (e.g., not permitted for use in animals or humans).</w:t>
      </w:r>
    </w:p>
    <w:p w14:paraId="7C08BF7D" w14:textId="00E4FB72" w:rsidR="00934B0E" w:rsidRPr="0038711F" w:rsidRDefault="00934B0E" w:rsidP="00934B0E">
      <w:pPr>
        <w:pStyle w:val="ListParagraph"/>
        <w:numPr>
          <w:ilvl w:val="2"/>
          <w:numId w:val="44"/>
        </w:numPr>
        <w:spacing w:after="120" w:line="240" w:lineRule="auto"/>
        <w:contextualSpacing w:val="0"/>
        <w:rPr>
          <w:rFonts w:asciiTheme="majorHAnsi" w:hAnsiTheme="majorHAnsi"/>
        </w:rPr>
      </w:pPr>
      <w:r w:rsidRPr="0038711F">
        <w:rPr>
          <w:rFonts w:asciiTheme="majorHAnsi" w:hAnsiTheme="majorHAnsi"/>
        </w:rPr>
        <w:t xml:space="preserve">Restriction to a particular approved arrangement or specified institution assessed in accordance with </w:t>
      </w:r>
      <w:r w:rsidR="005342B1" w:rsidRPr="005342B1">
        <w:rPr>
          <w:rFonts w:asciiTheme="majorHAnsi" w:hAnsiTheme="majorHAnsi"/>
        </w:rPr>
        <w:t>1</w:t>
      </w:r>
      <w:r w:rsidRPr="005342B1">
        <w:rPr>
          <w:rFonts w:asciiTheme="majorHAnsi" w:hAnsiTheme="majorHAnsi"/>
        </w:rPr>
        <w:t>.d above.</w:t>
      </w:r>
    </w:p>
    <w:p w14:paraId="76A718D7" w14:textId="77777777" w:rsidR="00934B0E" w:rsidRPr="0038711F" w:rsidRDefault="00934B0E" w:rsidP="00934B0E">
      <w:pPr>
        <w:pStyle w:val="ListParagraph"/>
        <w:numPr>
          <w:ilvl w:val="2"/>
          <w:numId w:val="44"/>
        </w:numPr>
        <w:spacing w:after="120" w:line="240" w:lineRule="auto"/>
        <w:contextualSpacing w:val="0"/>
        <w:rPr>
          <w:rFonts w:asciiTheme="majorHAnsi" w:hAnsiTheme="majorHAnsi"/>
        </w:rPr>
      </w:pPr>
      <w:r w:rsidRPr="0038711F">
        <w:rPr>
          <w:rFonts w:asciiTheme="majorHAnsi" w:hAnsiTheme="majorHAnsi"/>
        </w:rPr>
        <w:t>Protocols for goods determined on arrival to not meet conditions or be as described in import documentation.</w:t>
      </w:r>
    </w:p>
    <w:p w14:paraId="0370E8D2" w14:textId="77777777" w:rsidR="00934B0E" w:rsidRPr="0038711F" w:rsidRDefault="00934B0E" w:rsidP="00934B0E">
      <w:pPr>
        <w:pStyle w:val="ListParagraph"/>
        <w:numPr>
          <w:ilvl w:val="2"/>
          <w:numId w:val="44"/>
        </w:numPr>
        <w:spacing w:after="120" w:line="240" w:lineRule="auto"/>
        <w:ind w:left="1077" w:hanging="357"/>
        <w:contextualSpacing w:val="0"/>
        <w:rPr>
          <w:rFonts w:asciiTheme="majorHAnsi" w:hAnsiTheme="majorHAnsi"/>
        </w:rPr>
      </w:pPr>
      <w:r w:rsidRPr="0038711F">
        <w:rPr>
          <w:rFonts w:asciiTheme="majorHAnsi" w:hAnsiTheme="majorHAnsi"/>
        </w:rPr>
        <w:lastRenderedPageBreak/>
        <w:t xml:space="preserve">Conditions restricting work with the organism to be in accordance with SOPs or procedures provided at the time of application. </w:t>
      </w:r>
    </w:p>
    <w:p w14:paraId="1DA06562" w14:textId="77777777" w:rsidR="00934B0E" w:rsidRPr="0038711F" w:rsidRDefault="00934B0E" w:rsidP="00934B0E">
      <w:pPr>
        <w:pStyle w:val="ListParagraph"/>
        <w:numPr>
          <w:ilvl w:val="0"/>
          <w:numId w:val="44"/>
        </w:numPr>
        <w:spacing w:after="120" w:line="240" w:lineRule="auto"/>
        <w:ind w:left="357" w:hanging="357"/>
        <w:contextualSpacing w:val="0"/>
        <w:rPr>
          <w:rFonts w:asciiTheme="majorHAnsi" w:hAnsiTheme="majorHAnsi"/>
        </w:rPr>
      </w:pPr>
      <w:r w:rsidRPr="0038711F">
        <w:rPr>
          <w:rFonts w:asciiTheme="majorHAnsi" w:hAnsiTheme="majorHAnsi"/>
        </w:rPr>
        <w:t>The department conducts ongoing verification to ensure import conditions are adhered to:</w:t>
      </w:r>
    </w:p>
    <w:p w14:paraId="2D5E10B5" w14:textId="6854F06D" w:rsidR="00934B0E" w:rsidRPr="0038711F" w:rsidRDefault="00934B0E" w:rsidP="00934B0E">
      <w:pPr>
        <w:pStyle w:val="ListParagraph"/>
        <w:numPr>
          <w:ilvl w:val="1"/>
          <w:numId w:val="44"/>
        </w:numPr>
        <w:spacing w:after="120" w:line="240" w:lineRule="auto"/>
        <w:contextualSpacing w:val="0"/>
        <w:rPr>
          <w:rFonts w:asciiTheme="majorHAnsi" w:hAnsiTheme="majorHAnsi"/>
        </w:rPr>
      </w:pPr>
      <w:r w:rsidRPr="0038711F">
        <w:rPr>
          <w:rFonts w:asciiTheme="majorHAnsi" w:hAnsiTheme="majorHAnsi"/>
          <w:b/>
          <w:bCs/>
        </w:rPr>
        <w:t>Document assessment</w:t>
      </w:r>
      <w:r w:rsidRPr="0038711F">
        <w:rPr>
          <w:rFonts w:asciiTheme="majorHAnsi" w:hAnsiTheme="majorHAnsi"/>
        </w:rPr>
        <w:t xml:space="preserve"> </w:t>
      </w:r>
      <w:r w:rsidR="00B06E51">
        <w:rPr>
          <w:rFonts w:asciiTheme="majorHAnsi" w:hAnsiTheme="majorHAnsi"/>
        </w:rPr>
        <w:t>–</w:t>
      </w:r>
      <w:r w:rsidRPr="0038711F">
        <w:rPr>
          <w:rFonts w:asciiTheme="majorHAnsi" w:hAnsiTheme="majorHAnsi"/>
        </w:rPr>
        <w:t xml:space="preserve"> for each imported consignment.</w:t>
      </w:r>
    </w:p>
    <w:p w14:paraId="0CB3BAC3" w14:textId="514A575F" w:rsidR="00934B0E" w:rsidRPr="0038711F" w:rsidRDefault="00934B0E" w:rsidP="00934B0E">
      <w:pPr>
        <w:pStyle w:val="ListParagraph"/>
        <w:numPr>
          <w:ilvl w:val="1"/>
          <w:numId w:val="44"/>
        </w:numPr>
        <w:spacing w:after="120" w:line="240" w:lineRule="auto"/>
        <w:contextualSpacing w:val="0"/>
        <w:rPr>
          <w:rFonts w:asciiTheme="majorHAnsi" w:hAnsiTheme="majorHAnsi"/>
        </w:rPr>
      </w:pPr>
      <w:r w:rsidRPr="0038711F">
        <w:rPr>
          <w:rFonts w:asciiTheme="majorHAnsi" w:hAnsiTheme="majorHAnsi"/>
          <w:b/>
          <w:bCs/>
        </w:rPr>
        <w:t>Audits</w:t>
      </w:r>
      <w:r w:rsidRPr="0038711F">
        <w:rPr>
          <w:rFonts w:asciiTheme="majorHAnsi" w:hAnsiTheme="majorHAnsi"/>
        </w:rPr>
        <w:t xml:space="preserve"> </w:t>
      </w:r>
      <w:r w:rsidR="00B06E51">
        <w:rPr>
          <w:rFonts w:asciiTheme="majorHAnsi" w:hAnsiTheme="majorHAnsi"/>
        </w:rPr>
        <w:t>–</w:t>
      </w:r>
      <w:r w:rsidR="00B06E51" w:rsidRPr="0038711F">
        <w:rPr>
          <w:rFonts w:asciiTheme="majorHAnsi" w:hAnsiTheme="majorHAnsi"/>
        </w:rPr>
        <w:t xml:space="preserve"> </w:t>
      </w:r>
      <w:r w:rsidRPr="0038711F">
        <w:rPr>
          <w:rFonts w:asciiTheme="majorHAnsi" w:hAnsiTheme="majorHAnsi"/>
        </w:rPr>
        <w:t xml:space="preserve">where containment within an approved arrangement is required, audits verify that the facility continues to effectively manage the biosecurity risk associated with each imported infectious agent. </w:t>
      </w:r>
    </w:p>
    <w:p w14:paraId="6610777F" w14:textId="28B12E66" w:rsidR="00934B0E" w:rsidRPr="0038711F" w:rsidRDefault="00934B0E" w:rsidP="00934B0E">
      <w:pPr>
        <w:pStyle w:val="ListParagraph"/>
        <w:numPr>
          <w:ilvl w:val="1"/>
          <w:numId w:val="44"/>
        </w:numPr>
        <w:spacing w:after="120" w:line="240" w:lineRule="auto"/>
        <w:contextualSpacing w:val="0"/>
        <w:rPr>
          <w:rFonts w:asciiTheme="majorHAnsi" w:hAnsiTheme="majorHAnsi"/>
        </w:rPr>
      </w:pPr>
      <w:r w:rsidRPr="0038711F">
        <w:rPr>
          <w:rFonts w:asciiTheme="majorHAnsi" w:hAnsiTheme="majorHAnsi"/>
          <w:b/>
          <w:bCs/>
        </w:rPr>
        <w:t>Provision of records</w:t>
      </w:r>
      <w:r w:rsidRPr="0038711F">
        <w:rPr>
          <w:rFonts w:asciiTheme="majorHAnsi" w:hAnsiTheme="majorHAnsi"/>
        </w:rPr>
        <w:t xml:space="preserve"> </w:t>
      </w:r>
      <w:r w:rsidR="00B06E51">
        <w:rPr>
          <w:rFonts w:asciiTheme="majorHAnsi" w:hAnsiTheme="majorHAnsi"/>
        </w:rPr>
        <w:t>–</w:t>
      </w:r>
      <w:r w:rsidR="00B06E51" w:rsidRPr="0038711F">
        <w:rPr>
          <w:rFonts w:asciiTheme="majorHAnsi" w:hAnsiTheme="majorHAnsi"/>
        </w:rPr>
        <w:t xml:space="preserve"> </w:t>
      </w:r>
      <w:r w:rsidRPr="0038711F">
        <w:rPr>
          <w:rFonts w:asciiTheme="majorHAnsi" w:hAnsiTheme="majorHAnsi"/>
        </w:rPr>
        <w:t>for each new permit application the applicant must provide records maintained during the life of any previous permit to demonstrate conditions were adhered to and risks managed appropriately.</w:t>
      </w:r>
    </w:p>
    <w:p w14:paraId="26894C8F" w14:textId="77777777" w:rsidR="00B82095" w:rsidRPr="0080517C" w:rsidRDefault="000913B5" w:rsidP="0080517C">
      <w:pPr>
        <w:pStyle w:val="Heading2"/>
      </w:pPr>
      <w:r>
        <w:t>More</w:t>
      </w:r>
      <w:r w:rsidR="00B82095" w:rsidRPr="0080517C">
        <w:t xml:space="preserve"> information</w:t>
      </w:r>
    </w:p>
    <w:p w14:paraId="2BA674FE" w14:textId="77777777" w:rsidR="00934B0E" w:rsidRDefault="00934B0E" w:rsidP="00934B0E">
      <w:pPr>
        <w:spacing w:line="240" w:lineRule="auto"/>
      </w:pPr>
      <w:r>
        <w:t>If you have questions or would like to discuss, please contact:</w:t>
      </w:r>
    </w:p>
    <w:p w14:paraId="7BA69652" w14:textId="4B3EBB15" w:rsidR="00934B0E" w:rsidRDefault="00934B0E" w:rsidP="00934B0E">
      <w:pPr>
        <w:spacing w:after="0" w:line="240" w:lineRule="auto"/>
        <w:ind w:firstLine="720"/>
        <w:rPr>
          <w:lang w:eastAsia="ja-JP"/>
        </w:rPr>
      </w:pPr>
      <w:r>
        <w:t xml:space="preserve">email – </w:t>
      </w:r>
      <w:hyperlink r:id="rId12" w:history="1">
        <w:r w:rsidR="003B2165" w:rsidRPr="00250382">
          <w:rPr>
            <w:rStyle w:val="Hyperlink"/>
          </w:rPr>
          <w:t>animalbiosecurity@agriculture.gov.au</w:t>
        </w:r>
      </w:hyperlink>
      <w:r w:rsidR="003B2165">
        <w:t xml:space="preserve"> </w:t>
      </w:r>
    </w:p>
    <w:p w14:paraId="7943732D" w14:textId="11D67C1C" w:rsidR="00934B0E" w:rsidRDefault="00934B0E" w:rsidP="000E7803">
      <w:pPr>
        <w:spacing w:after="360"/>
        <w:rPr>
          <w:lang w:eastAsia="ja-JP"/>
        </w:rPr>
      </w:pPr>
    </w:p>
    <w:p w14:paraId="6C63EC8D" w14:textId="5076C7C5" w:rsidR="00F44BF0" w:rsidRDefault="00F44BF0" w:rsidP="000E7803">
      <w:pPr>
        <w:spacing w:after="360"/>
        <w:rPr>
          <w:lang w:eastAsia="ja-JP"/>
        </w:rPr>
      </w:pPr>
    </w:p>
    <w:p w14:paraId="77DAB5CB" w14:textId="1C7D15CC" w:rsidR="00F44BF0" w:rsidRDefault="00F44BF0" w:rsidP="000E7803">
      <w:pPr>
        <w:spacing w:after="360"/>
        <w:rPr>
          <w:lang w:eastAsia="ja-JP"/>
        </w:rPr>
      </w:pPr>
    </w:p>
    <w:p w14:paraId="05BA0011" w14:textId="4BA12E31" w:rsidR="00F44BF0" w:rsidRDefault="00F44BF0" w:rsidP="000E7803">
      <w:pPr>
        <w:spacing w:after="360"/>
        <w:rPr>
          <w:lang w:eastAsia="ja-JP"/>
        </w:rPr>
      </w:pPr>
    </w:p>
    <w:p w14:paraId="0175F97A" w14:textId="25F07179" w:rsidR="00F44BF0" w:rsidRDefault="00F44BF0" w:rsidP="000E7803">
      <w:pPr>
        <w:spacing w:after="360"/>
        <w:rPr>
          <w:lang w:eastAsia="ja-JP"/>
        </w:rPr>
      </w:pPr>
    </w:p>
    <w:p w14:paraId="48580486" w14:textId="77777777" w:rsidR="00F44BF0" w:rsidRDefault="00F44BF0" w:rsidP="000E7803">
      <w:pPr>
        <w:spacing w:after="360"/>
        <w:rPr>
          <w:lang w:eastAsia="ja-JP"/>
        </w:rPr>
      </w:pPr>
    </w:p>
    <w:p w14:paraId="12F02006" w14:textId="77777777" w:rsidR="000A5BA0" w:rsidRDefault="000A5BA0" w:rsidP="000A5BA0">
      <w:pPr>
        <w:pStyle w:val="Normalsmall"/>
      </w:pPr>
      <w:r>
        <w:rPr>
          <w:rStyle w:val="Strong"/>
        </w:rPr>
        <w:t>Acknowledgement of Country</w:t>
      </w:r>
    </w:p>
    <w:p w14:paraId="21093B4E"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A34F0DB" w14:textId="77777777" w:rsidR="00E9781D" w:rsidRDefault="00E9781D" w:rsidP="00E9781D">
      <w:pPr>
        <w:pStyle w:val="Normalsmall"/>
        <w:spacing w:before="360"/>
      </w:pPr>
      <w:r>
        <w:t>© Commonwealth of Australia 202</w:t>
      </w:r>
      <w:r w:rsidR="001233A8">
        <w:t>2</w:t>
      </w:r>
    </w:p>
    <w:p w14:paraId="5C08F360"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5E6D806A" w14:textId="77777777" w:rsidR="00E9781D" w:rsidRDefault="00E9781D" w:rsidP="00E9781D">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29E45AD8" w14:textId="77777777" w:rsidR="00B404A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B404AB" w:rsidSect="0013173D">
      <w:headerReference w:type="default" r:id="rId14"/>
      <w:footerReference w:type="default" r:id="rId15"/>
      <w:headerReference w:type="first" r:id="rId16"/>
      <w:footerReference w:type="first" r:id="rId17"/>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8744" w14:textId="77777777" w:rsidR="00B57D28" w:rsidRDefault="00B57D28">
      <w:r>
        <w:separator/>
      </w:r>
    </w:p>
    <w:p w14:paraId="2AA90F53" w14:textId="77777777" w:rsidR="00B57D28" w:rsidRDefault="00B57D28"/>
    <w:p w14:paraId="32BDB1E7" w14:textId="77777777" w:rsidR="00B57D28" w:rsidRDefault="00B57D28"/>
  </w:endnote>
  <w:endnote w:type="continuationSeparator" w:id="0">
    <w:p w14:paraId="78223E7B" w14:textId="77777777" w:rsidR="00B57D28" w:rsidRDefault="00B57D28">
      <w:r>
        <w:continuationSeparator/>
      </w:r>
    </w:p>
    <w:p w14:paraId="54C3FE8D" w14:textId="77777777" w:rsidR="00B57D28" w:rsidRDefault="00B57D28"/>
    <w:p w14:paraId="7E094973" w14:textId="77777777" w:rsidR="00B57D28" w:rsidRDefault="00B57D28"/>
  </w:endnote>
  <w:endnote w:type="continuationNotice" w:id="1">
    <w:p w14:paraId="39DFC657" w14:textId="77777777" w:rsidR="00B57D28" w:rsidRDefault="00B57D28">
      <w:pPr>
        <w:pStyle w:val="Footer"/>
      </w:pPr>
    </w:p>
    <w:p w14:paraId="58C8D75D" w14:textId="77777777" w:rsidR="00B57D28" w:rsidRDefault="00B57D28"/>
    <w:p w14:paraId="2BFAE9DF" w14:textId="77777777" w:rsidR="00B57D28" w:rsidRDefault="00B5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394E" w14:textId="77777777" w:rsidR="00863E83" w:rsidRDefault="00863E83" w:rsidP="00863E83">
    <w:pPr>
      <w:pStyle w:val="Footer"/>
    </w:pPr>
    <w:r w:rsidRPr="007B1F92">
      <w:t>Department of Agriculture, Fisheries and Forestry</w:t>
    </w:r>
  </w:p>
  <w:p w14:paraId="25432853" w14:textId="77777777" w:rsidR="000542B4" w:rsidRDefault="00F413A2"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692565E4" w14:textId="77777777" w:rsidR="000542B4" w:rsidRDefault="009C37F9" w:rsidP="00A77E8E">
        <w:pPr>
          <w:pStyle w:val="Footer"/>
        </w:pPr>
        <w:r w:rsidRPr="007B1F92">
          <w:t>Department of Agriculture, Fisheries and Forestry</w:t>
        </w:r>
      </w:p>
      <w:p w14:paraId="5AC2C733"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7C98A" w14:textId="77777777" w:rsidR="00B57D28" w:rsidRDefault="00B57D28">
      <w:r>
        <w:separator/>
      </w:r>
    </w:p>
    <w:p w14:paraId="7A0B8E51" w14:textId="77777777" w:rsidR="00B57D28" w:rsidRDefault="00B57D28"/>
    <w:p w14:paraId="285FBBCE" w14:textId="77777777" w:rsidR="00B57D28" w:rsidRDefault="00B57D28"/>
  </w:footnote>
  <w:footnote w:type="continuationSeparator" w:id="0">
    <w:p w14:paraId="5722281D" w14:textId="77777777" w:rsidR="00B57D28" w:rsidRDefault="00B57D28">
      <w:r>
        <w:continuationSeparator/>
      </w:r>
    </w:p>
    <w:p w14:paraId="5469B9C6" w14:textId="77777777" w:rsidR="00B57D28" w:rsidRDefault="00B57D28"/>
    <w:p w14:paraId="7708C794" w14:textId="77777777" w:rsidR="00B57D28" w:rsidRDefault="00B57D28"/>
  </w:footnote>
  <w:footnote w:type="continuationNotice" w:id="1">
    <w:p w14:paraId="18965DEE" w14:textId="77777777" w:rsidR="00B57D28" w:rsidRDefault="00B57D28">
      <w:pPr>
        <w:pStyle w:val="Footer"/>
      </w:pPr>
    </w:p>
    <w:p w14:paraId="5B9E3BFD" w14:textId="77777777" w:rsidR="00B57D28" w:rsidRDefault="00B57D28"/>
    <w:p w14:paraId="60705284" w14:textId="77777777" w:rsidR="00B57D28" w:rsidRDefault="00B57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22D8" w14:textId="64F00B48" w:rsidR="000542B4" w:rsidRDefault="004A78DB">
    <w:pPr>
      <w:pStyle w:val="Header"/>
    </w:pPr>
    <w:r>
      <w:t xml:space="preserve">Factsheet – </w:t>
    </w:r>
    <w:r w:rsidR="008D3751">
      <w:t>Importation of live infectious agents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F776" w14:textId="25B42C13" w:rsidR="00DB1FD9" w:rsidRDefault="00EC7E65" w:rsidP="00A8157A">
    <w:pPr>
      <w:pStyle w:val="Footer"/>
      <w:spacing w:after="0"/>
      <w:jc w:val="left"/>
    </w:pPr>
    <w:r w:rsidRPr="00DB1FD9">
      <w:rPr>
        <w:rFonts w:asciiTheme="majorHAnsi" w:hAnsiTheme="majorHAnsi"/>
        <w:noProof/>
        <w:lang w:eastAsia="en-AU"/>
      </w:rPr>
      <w:drawing>
        <wp:anchor distT="0" distB="0" distL="114300" distR="114300" simplePos="0" relativeHeight="251661312" behindDoc="1" locked="0" layoutInCell="1" allowOverlap="1" wp14:anchorId="7D9AAF75" wp14:editId="6BE381E5">
          <wp:simplePos x="0" y="0"/>
          <wp:positionH relativeFrom="margin">
            <wp:align>center</wp:align>
          </wp:positionH>
          <wp:positionV relativeFrom="paragraph">
            <wp:posOffset>-357529</wp:posOffset>
          </wp:positionV>
          <wp:extent cx="7581900" cy="1631943"/>
          <wp:effectExtent l="0" t="0" r="0" b="6985"/>
          <wp:wrapNone/>
          <wp:docPr id="106" name="Picture 106" descr="Department of Agriculture, Fisheries and Forestry"/>
          <wp:cNvGraphicFramePr/>
          <a:graphic xmlns:a="http://schemas.openxmlformats.org/drawingml/2006/main">
            <a:graphicData uri="http://schemas.openxmlformats.org/drawingml/2006/picture">
              <pic:pic xmlns:pic="http://schemas.openxmlformats.org/drawingml/2006/picture">
                <pic:nvPicPr>
                  <pic:cNvPr id="106" name="Picture 106" descr="Department of Agriculture, Fisheries and Forestry"/>
                  <pic:cNvPicPr/>
                </pic:nvPicPr>
                <pic:blipFill rotWithShape="1">
                  <a:blip r:embed="rId1">
                    <a:extLst>
                      <a:ext uri="{28A0092B-C50C-407E-A947-70E740481C1C}">
                        <a14:useLocalDpi xmlns:a14="http://schemas.microsoft.com/office/drawing/2010/main" val="0"/>
                      </a:ext>
                    </a:extLst>
                  </a:blip>
                  <a:srcRect b="9284"/>
                  <a:stretch/>
                </pic:blipFill>
                <pic:spPr bwMode="auto">
                  <a:xfrm>
                    <a:off x="0" y="0"/>
                    <a:ext cx="7581900" cy="16319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1FD9">
      <w:tab/>
    </w:r>
    <w:r w:rsidR="00DB1FD9">
      <w:tab/>
    </w:r>
    <w:r w:rsidR="00DB1FD9">
      <w:tab/>
    </w:r>
    <w:r w:rsidR="00DB1FD9">
      <w:tab/>
    </w:r>
    <w:r w:rsidR="00DB1FD9">
      <w:tab/>
    </w:r>
    <w:r w:rsidR="00DB1FD9">
      <w:tab/>
    </w:r>
  </w:p>
  <w:p w14:paraId="1C5C9938" w14:textId="6C9ED4BB" w:rsidR="00DB1FD9" w:rsidRDefault="00DB1FD9" w:rsidP="00DB1FD9">
    <w:pPr>
      <w:pStyle w:val="Footer"/>
      <w:spacing w:after="0"/>
      <w:jc w:val="right"/>
      <w:rPr>
        <w:rFonts w:asciiTheme="majorHAnsi" w:hAnsiTheme="majorHAnsi"/>
        <w:b/>
        <w:bCs/>
        <w:sz w:val="22"/>
        <w:szCs w:val="24"/>
      </w:rPr>
    </w:pPr>
  </w:p>
  <w:p w14:paraId="5EF4378D" w14:textId="0262DC90" w:rsidR="000E455C" w:rsidRPr="00DB1FD9" w:rsidRDefault="000E455C" w:rsidP="00DB1FD9">
    <w:pPr>
      <w:pStyle w:val="Footer"/>
      <w:spacing w:after="0"/>
      <w:jc w:val="right"/>
      <w:rPr>
        <w:rFonts w:asciiTheme="majorHAnsi" w:hAnsiTheme="maj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768354A"/>
    <w:multiLevelType w:val="hybridMultilevel"/>
    <w:tmpl w:val="4732AA3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47AAA7EE"/>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47AAA7EE"/>
    <w:numStyleLink w:val="Numberlist"/>
  </w:abstractNum>
  <w:abstractNum w:abstractNumId="17"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94A15FE"/>
    <w:multiLevelType w:val="multilevel"/>
    <w:tmpl w:val="F36C17E8"/>
    <w:numStyleLink w:val="Headinglist"/>
  </w:abstractNum>
  <w:abstractNum w:abstractNumId="19"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14F4729"/>
    <w:multiLevelType w:val="multilevel"/>
    <w:tmpl w:val="A0241B28"/>
    <w:numStyleLink w:val="List1"/>
  </w:abstractNum>
  <w:abstractNum w:abstractNumId="21"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86800B4"/>
    <w:multiLevelType w:val="multilevel"/>
    <w:tmpl w:val="A0241B28"/>
    <w:numStyleLink w:val="List1"/>
  </w:abstractNum>
  <w:abstractNum w:abstractNumId="24"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5" w15:restartNumberingAfterBreak="0">
    <w:nsid w:val="496159DC"/>
    <w:multiLevelType w:val="multilevel"/>
    <w:tmpl w:val="47AAA7EE"/>
    <w:numStyleLink w:val="Numberlist"/>
  </w:abstractNum>
  <w:abstractNum w:abstractNumId="26"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2" w15:restartNumberingAfterBreak="0">
    <w:nsid w:val="592C4035"/>
    <w:multiLevelType w:val="multilevel"/>
    <w:tmpl w:val="F2D8DA68"/>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5"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6"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9" w15:restartNumberingAfterBreak="0">
    <w:nsid w:val="6C8C10A1"/>
    <w:multiLevelType w:val="multilevel"/>
    <w:tmpl w:val="47AAA7EE"/>
    <w:numStyleLink w:val="Numberlist"/>
  </w:abstractNum>
  <w:abstractNum w:abstractNumId="40" w15:restartNumberingAfterBreak="0">
    <w:nsid w:val="733934B7"/>
    <w:multiLevelType w:val="multilevel"/>
    <w:tmpl w:val="A0241B28"/>
    <w:numStyleLink w:val="List1"/>
  </w:abstractNum>
  <w:abstractNum w:abstractNumId="41" w15:restartNumberingAfterBreak="0">
    <w:nsid w:val="733E5146"/>
    <w:multiLevelType w:val="hybridMultilevel"/>
    <w:tmpl w:val="67CC9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6760409">
    <w:abstractNumId w:val="6"/>
  </w:num>
  <w:num w:numId="2" w16cid:durableId="1558467801">
    <w:abstractNumId w:val="23"/>
  </w:num>
  <w:num w:numId="3" w16cid:durableId="1391002950">
    <w:abstractNumId w:val="24"/>
  </w:num>
  <w:num w:numId="4" w16cid:durableId="163668770">
    <w:abstractNumId w:val="12"/>
  </w:num>
  <w:num w:numId="5" w16cid:durableId="1905025752">
    <w:abstractNumId w:val="34"/>
  </w:num>
  <w:num w:numId="6" w16cid:durableId="320934746">
    <w:abstractNumId w:val="35"/>
  </w:num>
  <w:num w:numId="7" w16cid:durableId="2077165610">
    <w:abstractNumId w:val="8"/>
  </w:num>
  <w:num w:numId="8" w16cid:durableId="1728845122">
    <w:abstractNumId w:val="15"/>
  </w:num>
  <w:num w:numId="9" w16cid:durableId="1190334111">
    <w:abstractNumId w:val="18"/>
  </w:num>
  <w:num w:numId="10" w16cid:durableId="1108886631">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3186383">
    <w:abstractNumId w:val="5"/>
  </w:num>
  <w:num w:numId="12" w16cid:durableId="1200166742">
    <w:abstractNumId w:val="4"/>
  </w:num>
  <w:num w:numId="13" w16cid:durableId="1213467866">
    <w:abstractNumId w:val="3"/>
  </w:num>
  <w:num w:numId="14" w16cid:durableId="470026627">
    <w:abstractNumId w:val="2"/>
  </w:num>
  <w:num w:numId="15" w16cid:durableId="1108357475">
    <w:abstractNumId w:val="13"/>
  </w:num>
  <w:num w:numId="16" w16cid:durableId="595596255">
    <w:abstractNumId w:val="31"/>
  </w:num>
  <w:num w:numId="17" w16cid:durableId="9542147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9738777">
    <w:abstractNumId w:val="37"/>
  </w:num>
  <w:num w:numId="19" w16cid:durableId="447511908">
    <w:abstractNumId w:val="1"/>
  </w:num>
  <w:num w:numId="20" w16cid:durableId="1757095758">
    <w:abstractNumId w:val="0"/>
  </w:num>
  <w:num w:numId="21" w16cid:durableId="2090542526">
    <w:abstractNumId w:val="16"/>
  </w:num>
  <w:num w:numId="22" w16cid:durableId="64187712">
    <w:abstractNumId w:val="25"/>
  </w:num>
  <w:num w:numId="23" w16cid:durableId="381949125">
    <w:abstractNumId w:val="39"/>
  </w:num>
  <w:num w:numId="24" w16cid:durableId="2131437991">
    <w:abstractNumId w:val="14"/>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525943627">
    <w:abstractNumId w:val="20"/>
  </w:num>
  <w:num w:numId="26" w16cid:durableId="10440205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4680980">
    <w:abstractNumId w:val="40"/>
  </w:num>
  <w:num w:numId="28" w16cid:durableId="1821801649">
    <w:abstractNumId w:val="27"/>
  </w:num>
  <w:num w:numId="29" w16cid:durableId="90051860">
    <w:abstractNumId w:val="33"/>
  </w:num>
  <w:num w:numId="30" w16cid:durableId="735130269">
    <w:abstractNumId w:val="10"/>
  </w:num>
  <w:num w:numId="31" w16cid:durableId="1910505491">
    <w:abstractNumId w:val="36"/>
  </w:num>
  <w:num w:numId="32" w16cid:durableId="2116436647">
    <w:abstractNumId w:val="7"/>
  </w:num>
  <w:num w:numId="33" w16cid:durableId="1806385872">
    <w:abstractNumId w:val="29"/>
  </w:num>
  <w:num w:numId="34" w16cid:durableId="1714190497">
    <w:abstractNumId w:val="26"/>
  </w:num>
  <w:num w:numId="35" w16cid:durableId="276065669">
    <w:abstractNumId w:val="17"/>
  </w:num>
  <w:num w:numId="36" w16cid:durableId="373113875">
    <w:abstractNumId w:val="9"/>
  </w:num>
  <w:num w:numId="37" w16cid:durableId="272635904">
    <w:abstractNumId w:val="19"/>
  </w:num>
  <w:num w:numId="38" w16cid:durableId="380861800">
    <w:abstractNumId w:val="21"/>
  </w:num>
  <w:num w:numId="39" w16cid:durableId="1233278085">
    <w:abstractNumId w:val="14"/>
  </w:num>
  <w:num w:numId="40" w16cid:durableId="1298679185">
    <w:abstractNumId w:val="28"/>
  </w:num>
  <w:num w:numId="41" w16cid:durableId="563806870">
    <w:abstractNumId w:val="30"/>
  </w:num>
  <w:num w:numId="42" w16cid:durableId="1536969655">
    <w:abstractNumId w:val="22"/>
  </w:num>
  <w:num w:numId="43" w16cid:durableId="170535550">
    <w:abstractNumId w:val="38"/>
  </w:num>
  <w:num w:numId="44" w16cid:durableId="1699886294">
    <w:abstractNumId w:val="32"/>
  </w:num>
  <w:num w:numId="45" w16cid:durableId="1142623146">
    <w:abstractNumId w:val="41"/>
  </w:num>
  <w:num w:numId="46" w16cid:durableId="73597951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D28"/>
    <w:rsid w:val="0000059E"/>
    <w:rsid w:val="0000066F"/>
    <w:rsid w:val="00011196"/>
    <w:rsid w:val="00014ECA"/>
    <w:rsid w:val="00021590"/>
    <w:rsid w:val="00025D1B"/>
    <w:rsid w:val="000266C4"/>
    <w:rsid w:val="000327A9"/>
    <w:rsid w:val="000542B4"/>
    <w:rsid w:val="000618F3"/>
    <w:rsid w:val="00066D0B"/>
    <w:rsid w:val="000717D2"/>
    <w:rsid w:val="00074A56"/>
    <w:rsid w:val="00080827"/>
    <w:rsid w:val="0008277A"/>
    <w:rsid w:val="000828EB"/>
    <w:rsid w:val="00082978"/>
    <w:rsid w:val="000904C1"/>
    <w:rsid w:val="000913B5"/>
    <w:rsid w:val="000A5BA0"/>
    <w:rsid w:val="000B3924"/>
    <w:rsid w:val="000B3C44"/>
    <w:rsid w:val="000C0412"/>
    <w:rsid w:val="000C4558"/>
    <w:rsid w:val="000E455C"/>
    <w:rsid w:val="000E7803"/>
    <w:rsid w:val="000F0491"/>
    <w:rsid w:val="001233A8"/>
    <w:rsid w:val="0013173D"/>
    <w:rsid w:val="00190D7E"/>
    <w:rsid w:val="001929D2"/>
    <w:rsid w:val="001A6968"/>
    <w:rsid w:val="001D0EF3"/>
    <w:rsid w:val="00203DE1"/>
    <w:rsid w:val="00220618"/>
    <w:rsid w:val="00237A69"/>
    <w:rsid w:val="002631F2"/>
    <w:rsid w:val="00275B58"/>
    <w:rsid w:val="00284B53"/>
    <w:rsid w:val="0029215E"/>
    <w:rsid w:val="002A49F4"/>
    <w:rsid w:val="002B1FAF"/>
    <w:rsid w:val="002E3FD4"/>
    <w:rsid w:val="002F4595"/>
    <w:rsid w:val="00300AFD"/>
    <w:rsid w:val="003032C0"/>
    <w:rsid w:val="00336B60"/>
    <w:rsid w:val="0035108D"/>
    <w:rsid w:val="003569F9"/>
    <w:rsid w:val="00366721"/>
    <w:rsid w:val="00370990"/>
    <w:rsid w:val="0037698A"/>
    <w:rsid w:val="00392124"/>
    <w:rsid w:val="003937B8"/>
    <w:rsid w:val="003B2165"/>
    <w:rsid w:val="003F008B"/>
    <w:rsid w:val="003F73D7"/>
    <w:rsid w:val="00411260"/>
    <w:rsid w:val="00442630"/>
    <w:rsid w:val="0044304D"/>
    <w:rsid w:val="00446CB3"/>
    <w:rsid w:val="004559E7"/>
    <w:rsid w:val="00474BB1"/>
    <w:rsid w:val="00495068"/>
    <w:rsid w:val="004A78DB"/>
    <w:rsid w:val="004C2DA2"/>
    <w:rsid w:val="004D0888"/>
    <w:rsid w:val="005019C1"/>
    <w:rsid w:val="00515287"/>
    <w:rsid w:val="005157CF"/>
    <w:rsid w:val="00531B5A"/>
    <w:rsid w:val="005342B1"/>
    <w:rsid w:val="00553E9D"/>
    <w:rsid w:val="0055447F"/>
    <w:rsid w:val="00556734"/>
    <w:rsid w:val="00567DFC"/>
    <w:rsid w:val="00577F29"/>
    <w:rsid w:val="005A4832"/>
    <w:rsid w:val="005A48A6"/>
    <w:rsid w:val="005B613F"/>
    <w:rsid w:val="005C2BFD"/>
    <w:rsid w:val="005F128D"/>
    <w:rsid w:val="00607A21"/>
    <w:rsid w:val="00607A36"/>
    <w:rsid w:val="006156DF"/>
    <w:rsid w:val="00625D8D"/>
    <w:rsid w:val="006360F9"/>
    <w:rsid w:val="00640D17"/>
    <w:rsid w:val="00642F36"/>
    <w:rsid w:val="00646917"/>
    <w:rsid w:val="00656587"/>
    <w:rsid w:val="00696682"/>
    <w:rsid w:val="006A3550"/>
    <w:rsid w:val="006B0030"/>
    <w:rsid w:val="006D413F"/>
    <w:rsid w:val="006F6FE8"/>
    <w:rsid w:val="0070464B"/>
    <w:rsid w:val="00721291"/>
    <w:rsid w:val="007258B1"/>
    <w:rsid w:val="00725C8B"/>
    <w:rsid w:val="00754CA3"/>
    <w:rsid w:val="0076549B"/>
    <w:rsid w:val="00793E18"/>
    <w:rsid w:val="007C0010"/>
    <w:rsid w:val="007E69AF"/>
    <w:rsid w:val="0080517C"/>
    <w:rsid w:val="00826B44"/>
    <w:rsid w:val="00832638"/>
    <w:rsid w:val="00863E83"/>
    <w:rsid w:val="00865130"/>
    <w:rsid w:val="00892F53"/>
    <w:rsid w:val="00895341"/>
    <w:rsid w:val="008C131E"/>
    <w:rsid w:val="008D3751"/>
    <w:rsid w:val="008E3B54"/>
    <w:rsid w:val="008F1712"/>
    <w:rsid w:val="008F382A"/>
    <w:rsid w:val="00902E92"/>
    <w:rsid w:val="0090743D"/>
    <w:rsid w:val="00911F4A"/>
    <w:rsid w:val="00916FC3"/>
    <w:rsid w:val="00934B0E"/>
    <w:rsid w:val="00943779"/>
    <w:rsid w:val="00974CD6"/>
    <w:rsid w:val="009844EA"/>
    <w:rsid w:val="009C206F"/>
    <w:rsid w:val="009C37F9"/>
    <w:rsid w:val="009C3FA3"/>
    <w:rsid w:val="009C5CE4"/>
    <w:rsid w:val="009D7044"/>
    <w:rsid w:val="00A04AFD"/>
    <w:rsid w:val="00A130F7"/>
    <w:rsid w:val="00A32860"/>
    <w:rsid w:val="00A62F99"/>
    <w:rsid w:val="00A65D84"/>
    <w:rsid w:val="00A77E8E"/>
    <w:rsid w:val="00A8157A"/>
    <w:rsid w:val="00AA1D89"/>
    <w:rsid w:val="00AE1E6E"/>
    <w:rsid w:val="00AE4763"/>
    <w:rsid w:val="00B0121B"/>
    <w:rsid w:val="00B0455B"/>
    <w:rsid w:val="00B06E51"/>
    <w:rsid w:val="00B11E02"/>
    <w:rsid w:val="00B3476F"/>
    <w:rsid w:val="00B404AB"/>
    <w:rsid w:val="00B43568"/>
    <w:rsid w:val="00B57D28"/>
    <w:rsid w:val="00B82095"/>
    <w:rsid w:val="00B90975"/>
    <w:rsid w:val="00B93571"/>
    <w:rsid w:val="00B94CBD"/>
    <w:rsid w:val="00BA2806"/>
    <w:rsid w:val="00BC321A"/>
    <w:rsid w:val="00BD4F8E"/>
    <w:rsid w:val="00BE345B"/>
    <w:rsid w:val="00C60447"/>
    <w:rsid w:val="00C6128D"/>
    <w:rsid w:val="00C709DE"/>
    <w:rsid w:val="00C71249"/>
    <w:rsid w:val="00C73278"/>
    <w:rsid w:val="00C765C8"/>
    <w:rsid w:val="00C82029"/>
    <w:rsid w:val="00C9283A"/>
    <w:rsid w:val="00C95039"/>
    <w:rsid w:val="00CA4615"/>
    <w:rsid w:val="00CA7C6F"/>
    <w:rsid w:val="00CD3A6F"/>
    <w:rsid w:val="00CD6263"/>
    <w:rsid w:val="00CE7F36"/>
    <w:rsid w:val="00CF7D08"/>
    <w:rsid w:val="00D04A3C"/>
    <w:rsid w:val="00D22097"/>
    <w:rsid w:val="00D36C41"/>
    <w:rsid w:val="00D4039B"/>
    <w:rsid w:val="00D55A85"/>
    <w:rsid w:val="00D750D0"/>
    <w:rsid w:val="00D87480"/>
    <w:rsid w:val="00DB1FD9"/>
    <w:rsid w:val="00DB71FD"/>
    <w:rsid w:val="00DC34E8"/>
    <w:rsid w:val="00DC453F"/>
    <w:rsid w:val="00DC57F0"/>
    <w:rsid w:val="00DE546F"/>
    <w:rsid w:val="00DE5E45"/>
    <w:rsid w:val="00DF241E"/>
    <w:rsid w:val="00E005FB"/>
    <w:rsid w:val="00E02AAB"/>
    <w:rsid w:val="00E25A07"/>
    <w:rsid w:val="00E333DF"/>
    <w:rsid w:val="00E44E91"/>
    <w:rsid w:val="00E83C41"/>
    <w:rsid w:val="00E96177"/>
    <w:rsid w:val="00E9781D"/>
    <w:rsid w:val="00EA5D76"/>
    <w:rsid w:val="00EC2925"/>
    <w:rsid w:val="00EC5579"/>
    <w:rsid w:val="00EC5C40"/>
    <w:rsid w:val="00EC7E65"/>
    <w:rsid w:val="00ED67B1"/>
    <w:rsid w:val="00ED774B"/>
    <w:rsid w:val="00EE0118"/>
    <w:rsid w:val="00EE49CE"/>
    <w:rsid w:val="00EE7C8D"/>
    <w:rsid w:val="00EF24B1"/>
    <w:rsid w:val="00EF3918"/>
    <w:rsid w:val="00F330C3"/>
    <w:rsid w:val="00F413A2"/>
    <w:rsid w:val="00F44BF0"/>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6A08"/>
  <w15:docId w15:val="{9713E938-E749-4AC5-9E21-3DB5763E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12"/>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ind w:left="360"/>
    </w:pPr>
  </w:style>
  <w:style w:type="paragraph" w:styleId="ListNumber2">
    <w:name w:val="List Number 2"/>
    <w:uiPriority w:val="10"/>
    <w:qFormat/>
    <w:rsid w:val="0013173D"/>
    <w:pPr>
      <w:numPr>
        <w:numId w:val="42"/>
      </w:numPr>
      <w:tabs>
        <w:tab w:val="left" w:pos="567"/>
      </w:tabs>
      <w:spacing w:before="120" w:after="120" w:line="264" w:lineRule="auto"/>
      <w:ind w:left="850" w:hanging="425"/>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6"/>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 w:type="character" w:styleId="UnresolvedMention">
    <w:name w:val="Unresolved Mention"/>
    <w:basedOn w:val="DefaultParagraphFont"/>
    <w:uiPriority w:val="99"/>
    <w:semiHidden/>
    <w:unhideWhenUsed/>
    <w:rsid w:val="000E7803"/>
    <w:rPr>
      <w:color w:val="605E5C"/>
      <w:shd w:val="clear" w:color="auto" w:fill="E1DFDD"/>
    </w:rPr>
  </w:style>
  <w:style w:type="paragraph" w:styleId="ListParagraph">
    <w:name w:val="List Paragraph"/>
    <w:basedOn w:val="Normal"/>
    <w:uiPriority w:val="34"/>
    <w:qFormat/>
    <w:rsid w:val="00934B0E"/>
    <w:pPr>
      <w:spacing w:after="160" w:line="259" w:lineRule="auto"/>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imalbiosecurity@agriculture.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biosecurity-trade/import/arrival/arrangeme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documentManagement/types"/>
    <ds:schemaRef ds:uri="2b53c995-2120-4bc0-8922-c25044d37f65"/>
    <ds:schemaRef ds:uri="c95b51c2-b2ac-4224-a5b5-069909057829"/>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81c01dc6-2c49-4730-b140-874c95cac377"/>
  </ds:schemaRefs>
</ds:datastoreItem>
</file>

<file path=customXml/itemProps2.xml><?xml version="1.0" encoding="utf-8"?>
<ds:datastoreItem xmlns:ds="http://schemas.openxmlformats.org/officeDocument/2006/customXml" ds:itemID="{D521AC9E-C1CF-410E-8D72-7F3A5271E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Importation of live infectious agents - Animal Division - standard process for risk assessment</vt:lpstr>
    </vt:vector>
  </TitlesOfParts>
  <Company/>
  <LinksUpToDate>false</LinksUpToDate>
  <CharactersWithSpaces>11419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Importation of live infectious agents - Animal Division - standard process for risk assessment</dc:title>
  <dc:creator>Department of Agriculture, Fisheries and Forestry</dc:creator>
  <cp:lastModifiedBy>Goggins, Fiona</cp:lastModifiedBy>
  <cp:revision>7</cp:revision>
  <cp:lastPrinted>2022-05-11T23:44:00Z</cp:lastPrinted>
  <dcterms:created xsi:type="dcterms:W3CDTF">2022-09-23T06:17:00Z</dcterms:created>
  <dcterms:modified xsi:type="dcterms:W3CDTF">2022-12-04T23:22:00Z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