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188E9" w14:textId="77777777" w:rsidR="001D35E4" w:rsidRDefault="001D35E4">
      <w:pPr>
        <w:pStyle w:val="BodyText"/>
        <w:rPr>
          <w:rFonts w:ascii="Times New Roman"/>
        </w:rPr>
      </w:pPr>
    </w:p>
    <w:p w14:paraId="6A4E3CD1" w14:textId="77777777" w:rsidR="001D35E4" w:rsidRDefault="001D35E4">
      <w:pPr>
        <w:pStyle w:val="BodyText"/>
        <w:rPr>
          <w:rFonts w:ascii="Times New Roman"/>
        </w:rPr>
      </w:pPr>
    </w:p>
    <w:p w14:paraId="56800686" w14:textId="77777777" w:rsidR="001D35E4" w:rsidRDefault="001D35E4">
      <w:pPr>
        <w:pStyle w:val="BodyText"/>
        <w:rPr>
          <w:rFonts w:ascii="Times New Roman"/>
        </w:rPr>
      </w:pPr>
    </w:p>
    <w:p w14:paraId="08873267" w14:textId="77777777" w:rsidR="001D35E4" w:rsidRDefault="001D35E4">
      <w:pPr>
        <w:pStyle w:val="BodyText"/>
        <w:rPr>
          <w:rFonts w:ascii="Times New Roman"/>
        </w:rPr>
      </w:pPr>
    </w:p>
    <w:p w14:paraId="45A5463A" w14:textId="77777777" w:rsidR="001D35E4" w:rsidRDefault="001D35E4">
      <w:pPr>
        <w:pStyle w:val="BodyText"/>
        <w:rPr>
          <w:rFonts w:ascii="Times New Roman"/>
        </w:rPr>
      </w:pPr>
    </w:p>
    <w:p w14:paraId="7083EA5F" w14:textId="77777777" w:rsidR="001D35E4" w:rsidRDefault="001D35E4">
      <w:pPr>
        <w:pStyle w:val="BodyText"/>
        <w:rPr>
          <w:rFonts w:ascii="Times New Roman"/>
        </w:rPr>
      </w:pPr>
    </w:p>
    <w:p w14:paraId="0FC32D69" w14:textId="77777777" w:rsidR="001D35E4" w:rsidRDefault="001D35E4">
      <w:pPr>
        <w:pStyle w:val="BodyText"/>
        <w:rPr>
          <w:rFonts w:ascii="Times New Roman"/>
        </w:rPr>
      </w:pPr>
    </w:p>
    <w:p w14:paraId="4DB1C207" w14:textId="77777777" w:rsidR="001D35E4" w:rsidRDefault="001D35E4">
      <w:pPr>
        <w:pStyle w:val="BodyText"/>
        <w:rPr>
          <w:rFonts w:ascii="Times New Roman"/>
        </w:rPr>
      </w:pPr>
    </w:p>
    <w:p w14:paraId="376D58D1" w14:textId="77777777" w:rsidR="001D35E4" w:rsidRDefault="001D35E4">
      <w:pPr>
        <w:pStyle w:val="BodyText"/>
        <w:rPr>
          <w:rFonts w:ascii="Times New Roman"/>
        </w:rPr>
      </w:pPr>
    </w:p>
    <w:p w14:paraId="78F50E55" w14:textId="77777777" w:rsidR="001D35E4" w:rsidRDefault="001D35E4">
      <w:pPr>
        <w:pStyle w:val="BodyText"/>
        <w:rPr>
          <w:rFonts w:ascii="Times New Roman"/>
        </w:rPr>
      </w:pPr>
    </w:p>
    <w:p w14:paraId="6C33CCDC" w14:textId="77777777" w:rsidR="001D35E4" w:rsidRDefault="001D35E4">
      <w:pPr>
        <w:pStyle w:val="BodyText"/>
        <w:rPr>
          <w:rFonts w:ascii="Times New Roman"/>
        </w:rPr>
      </w:pPr>
    </w:p>
    <w:p w14:paraId="1A47090A" w14:textId="77777777" w:rsidR="001D35E4" w:rsidRDefault="001D35E4">
      <w:pPr>
        <w:pStyle w:val="BodyText"/>
        <w:rPr>
          <w:rFonts w:ascii="Times New Roman"/>
        </w:rPr>
      </w:pPr>
    </w:p>
    <w:p w14:paraId="32327483" w14:textId="77777777" w:rsidR="001D35E4" w:rsidRDefault="001D35E4">
      <w:pPr>
        <w:pStyle w:val="BodyText"/>
        <w:rPr>
          <w:rFonts w:ascii="Times New Roman"/>
        </w:rPr>
      </w:pPr>
    </w:p>
    <w:p w14:paraId="54ACA20D" w14:textId="77777777" w:rsidR="001D35E4" w:rsidRDefault="001D35E4">
      <w:pPr>
        <w:pStyle w:val="BodyText"/>
        <w:rPr>
          <w:rFonts w:ascii="Times New Roman"/>
        </w:rPr>
      </w:pPr>
    </w:p>
    <w:p w14:paraId="7DD1AC1A" w14:textId="77777777" w:rsidR="001D35E4" w:rsidRDefault="001D35E4">
      <w:pPr>
        <w:pStyle w:val="BodyText"/>
        <w:rPr>
          <w:rFonts w:ascii="Times New Roman"/>
        </w:rPr>
      </w:pPr>
    </w:p>
    <w:p w14:paraId="6FC46A69" w14:textId="77777777" w:rsidR="001D35E4" w:rsidRDefault="001D35E4">
      <w:pPr>
        <w:pStyle w:val="BodyText"/>
        <w:rPr>
          <w:rFonts w:ascii="Times New Roman"/>
        </w:rPr>
      </w:pPr>
    </w:p>
    <w:p w14:paraId="5D333FD8" w14:textId="77777777" w:rsidR="001D35E4" w:rsidRDefault="001D35E4">
      <w:pPr>
        <w:pStyle w:val="BodyText"/>
        <w:rPr>
          <w:rFonts w:ascii="Times New Roman"/>
        </w:rPr>
      </w:pPr>
    </w:p>
    <w:p w14:paraId="12252B7F" w14:textId="77777777" w:rsidR="001D35E4" w:rsidRDefault="001D35E4">
      <w:pPr>
        <w:pStyle w:val="BodyText"/>
        <w:rPr>
          <w:rFonts w:ascii="Times New Roman"/>
        </w:rPr>
      </w:pPr>
    </w:p>
    <w:p w14:paraId="37025B70" w14:textId="77777777" w:rsidR="001D35E4" w:rsidRDefault="00111297">
      <w:pPr>
        <w:spacing w:before="259" w:line="237" w:lineRule="auto"/>
        <w:ind w:left="1133" w:right="1174"/>
        <w:rPr>
          <w:rFonts w:ascii="Myriad Pro" w:hAnsi="Myriad Pro"/>
          <w:sz w:val="52"/>
        </w:rPr>
      </w:pPr>
      <w:bookmarkStart w:id="0" w:name="_GoBack"/>
      <w:r>
        <w:pict w14:anchorId="1B34B12C">
          <v:line id="_x0000_s1038" style="position:absolute;left:0;text-align:left;z-index:251658240;mso-position-horizontal-relative:page" from="0,-16.8pt" to="595.25pt,-16.8pt" strokecolor="#005695" strokeweight="2pt">
            <v:stroke dashstyle="1 1" endcap="round"/>
            <w10:wrap anchorx="page"/>
          </v:line>
        </w:pict>
      </w:r>
      <w:r w:rsidR="00090523">
        <w:rPr>
          <w:noProof/>
          <w:lang w:val="en-AU" w:eastAsia="en-AU" w:bidi="ar-SA"/>
        </w:rPr>
        <w:drawing>
          <wp:anchor distT="0" distB="0" distL="0" distR="0" simplePos="0" relativeHeight="251657216" behindDoc="0" locked="0" layoutInCell="1" allowOverlap="1" wp14:anchorId="4F7D9E14" wp14:editId="21264ED7">
            <wp:simplePos x="0" y="0"/>
            <wp:positionH relativeFrom="page">
              <wp:posOffset>0</wp:posOffset>
            </wp:positionH>
            <wp:positionV relativeFrom="paragraph">
              <wp:posOffset>-1644631</wp:posOffset>
            </wp:positionV>
            <wp:extent cx="7559992" cy="13679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59992" cy="1367993"/>
                    </a:xfrm>
                    <a:prstGeom prst="rect">
                      <a:avLst/>
                    </a:prstGeom>
                  </pic:spPr>
                </pic:pic>
              </a:graphicData>
            </a:graphic>
          </wp:anchor>
        </w:drawing>
      </w:r>
      <w:r w:rsidR="00090523">
        <w:rPr>
          <w:rFonts w:ascii="Myriad Pro" w:hAnsi="Myriad Pro"/>
          <w:color w:val="005695"/>
          <w:spacing w:val="-7"/>
          <w:sz w:val="52"/>
        </w:rPr>
        <w:t xml:space="preserve">National </w:t>
      </w:r>
      <w:r w:rsidR="00090523">
        <w:rPr>
          <w:rFonts w:ascii="Myriad Pro" w:hAnsi="Myriad Pro"/>
          <w:color w:val="005695"/>
          <w:spacing w:val="-10"/>
          <w:sz w:val="52"/>
        </w:rPr>
        <w:t xml:space="preserve">Television </w:t>
      </w:r>
      <w:r w:rsidR="00090523">
        <w:rPr>
          <w:rFonts w:ascii="Myriad Pro" w:hAnsi="Myriad Pro"/>
          <w:color w:val="005695"/>
          <w:spacing w:val="-5"/>
          <w:sz w:val="52"/>
        </w:rPr>
        <w:t xml:space="preserve">and </w:t>
      </w:r>
      <w:r w:rsidR="00090523">
        <w:rPr>
          <w:rFonts w:ascii="Myriad Pro" w:hAnsi="Myriad Pro"/>
          <w:color w:val="005695"/>
          <w:spacing w:val="-8"/>
          <w:sz w:val="52"/>
        </w:rPr>
        <w:t xml:space="preserve">Computer </w:t>
      </w:r>
      <w:r w:rsidR="00090523">
        <w:rPr>
          <w:rFonts w:ascii="Myriad Pro" w:hAnsi="Myriad Pro"/>
          <w:color w:val="005695"/>
          <w:spacing w:val="-6"/>
          <w:sz w:val="52"/>
        </w:rPr>
        <w:t xml:space="preserve">Recycling </w:t>
      </w:r>
      <w:r w:rsidR="00090523">
        <w:rPr>
          <w:rFonts w:ascii="Myriad Pro" w:hAnsi="Myriad Pro"/>
          <w:color w:val="005695"/>
          <w:spacing w:val="-5"/>
          <w:sz w:val="52"/>
        </w:rPr>
        <w:t xml:space="preserve">Scheme–liable </w:t>
      </w:r>
      <w:r w:rsidR="00090523">
        <w:rPr>
          <w:rFonts w:ascii="Myriad Pro" w:hAnsi="Myriad Pro"/>
          <w:color w:val="005695"/>
          <w:spacing w:val="-4"/>
          <w:sz w:val="52"/>
        </w:rPr>
        <w:t>partie</w:t>
      </w:r>
      <w:bookmarkEnd w:id="0"/>
      <w:r w:rsidR="00090523">
        <w:rPr>
          <w:rFonts w:ascii="Myriad Pro" w:hAnsi="Myriad Pro"/>
          <w:color w:val="005695"/>
          <w:spacing w:val="-4"/>
          <w:sz w:val="52"/>
        </w:rPr>
        <w:t>s</w:t>
      </w:r>
    </w:p>
    <w:p w14:paraId="707AA948" w14:textId="77777777" w:rsidR="001D35E4" w:rsidRDefault="00090523">
      <w:pPr>
        <w:pStyle w:val="Heading2"/>
        <w:spacing w:before="81" w:line="256" w:lineRule="auto"/>
        <w:ind w:right="1174"/>
      </w:pPr>
      <w:r>
        <w:rPr>
          <w:color w:val="808285"/>
          <w:spacing w:val="-3"/>
        </w:rPr>
        <w:t xml:space="preserve">This </w:t>
      </w:r>
      <w:r>
        <w:rPr>
          <w:color w:val="808285"/>
        </w:rPr>
        <w:t xml:space="preserve">fact sheet </w:t>
      </w:r>
      <w:r>
        <w:rPr>
          <w:color w:val="808285"/>
          <w:spacing w:val="-3"/>
        </w:rPr>
        <w:t xml:space="preserve">explains </w:t>
      </w:r>
      <w:r>
        <w:rPr>
          <w:color w:val="808285"/>
          <w:spacing w:val="-2"/>
        </w:rPr>
        <w:t xml:space="preserve">the </w:t>
      </w:r>
      <w:r>
        <w:rPr>
          <w:color w:val="808285"/>
          <w:spacing w:val="-3"/>
        </w:rPr>
        <w:t xml:space="preserve">obligations </w:t>
      </w:r>
      <w:r>
        <w:rPr>
          <w:color w:val="808285"/>
        </w:rPr>
        <w:t xml:space="preserve">for importers </w:t>
      </w:r>
      <w:r>
        <w:rPr>
          <w:color w:val="808285"/>
          <w:spacing w:val="-2"/>
        </w:rPr>
        <w:t xml:space="preserve">and </w:t>
      </w:r>
      <w:r>
        <w:rPr>
          <w:color w:val="808285"/>
          <w:spacing w:val="-3"/>
        </w:rPr>
        <w:t xml:space="preserve">manufacturers identified </w:t>
      </w:r>
      <w:r>
        <w:rPr>
          <w:color w:val="808285"/>
        </w:rPr>
        <w:t xml:space="preserve">as </w:t>
      </w:r>
      <w:r>
        <w:rPr>
          <w:color w:val="808285"/>
          <w:spacing w:val="-3"/>
        </w:rPr>
        <w:t xml:space="preserve">liable </w:t>
      </w:r>
      <w:r>
        <w:rPr>
          <w:color w:val="808285"/>
        </w:rPr>
        <w:t xml:space="preserve">parties </w:t>
      </w:r>
      <w:r>
        <w:rPr>
          <w:color w:val="808285"/>
          <w:spacing w:val="-3"/>
        </w:rPr>
        <w:t xml:space="preserve">under </w:t>
      </w:r>
      <w:r>
        <w:rPr>
          <w:color w:val="808285"/>
          <w:spacing w:val="-2"/>
        </w:rPr>
        <w:t xml:space="preserve">the </w:t>
      </w:r>
      <w:r>
        <w:rPr>
          <w:color w:val="808285"/>
          <w:spacing w:val="-3"/>
        </w:rPr>
        <w:t xml:space="preserve">National </w:t>
      </w:r>
      <w:r>
        <w:rPr>
          <w:color w:val="808285"/>
          <w:spacing w:val="-5"/>
        </w:rPr>
        <w:t xml:space="preserve">Television </w:t>
      </w:r>
      <w:r>
        <w:rPr>
          <w:color w:val="808285"/>
          <w:spacing w:val="-2"/>
        </w:rPr>
        <w:t xml:space="preserve">and </w:t>
      </w:r>
      <w:r>
        <w:rPr>
          <w:color w:val="808285"/>
          <w:spacing w:val="-4"/>
        </w:rPr>
        <w:t xml:space="preserve">Computer </w:t>
      </w:r>
      <w:r>
        <w:rPr>
          <w:color w:val="808285"/>
          <w:spacing w:val="-3"/>
        </w:rPr>
        <w:t>Recycling Scheme.</w:t>
      </w:r>
    </w:p>
    <w:p w14:paraId="2CBD27F1" w14:textId="77777777" w:rsidR="001D35E4" w:rsidRDefault="001D35E4">
      <w:pPr>
        <w:pStyle w:val="BodyText"/>
        <w:spacing w:before="5"/>
        <w:rPr>
          <w:rFonts w:ascii="Myriad Pro"/>
          <w:sz w:val="27"/>
        </w:rPr>
      </w:pPr>
    </w:p>
    <w:p w14:paraId="6FB21AE5" w14:textId="77777777" w:rsidR="001D35E4" w:rsidRDefault="001D35E4">
      <w:pPr>
        <w:rPr>
          <w:rFonts w:ascii="Myriad Pro"/>
          <w:sz w:val="27"/>
        </w:rPr>
        <w:sectPr w:rsidR="001D35E4">
          <w:headerReference w:type="even" r:id="rId9"/>
          <w:headerReference w:type="default" r:id="rId10"/>
          <w:footerReference w:type="even" r:id="rId11"/>
          <w:footerReference w:type="default" r:id="rId12"/>
          <w:headerReference w:type="first" r:id="rId13"/>
          <w:footerReference w:type="first" r:id="rId14"/>
          <w:type w:val="continuous"/>
          <w:pgSz w:w="11910" w:h="16840"/>
          <w:pgMar w:top="700" w:right="0" w:bottom="480" w:left="0" w:header="720" w:footer="287" w:gutter="0"/>
          <w:cols w:space="720"/>
        </w:sectPr>
      </w:pPr>
    </w:p>
    <w:p w14:paraId="1EBEB4EF" w14:textId="77777777" w:rsidR="001D35E4" w:rsidRPr="00F43BEB" w:rsidRDefault="00090523">
      <w:pPr>
        <w:spacing w:before="107"/>
        <w:ind w:left="1133"/>
        <w:rPr>
          <w:rFonts w:ascii="Myriad Pro" w:hAnsi="Myriad Pro"/>
          <w:sz w:val="32"/>
        </w:rPr>
      </w:pPr>
      <w:r w:rsidRPr="00F43BEB">
        <w:rPr>
          <w:rFonts w:ascii="Myriad Pro" w:hAnsi="Myriad Pro"/>
          <w:noProof/>
          <w:lang w:val="en-AU" w:eastAsia="en-AU" w:bidi="ar-SA"/>
        </w:rPr>
        <w:drawing>
          <wp:anchor distT="0" distB="0" distL="0" distR="0" simplePos="0" relativeHeight="251654144" behindDoc="0" locked="0" layoutInCell="1" allowOverlap="1" wp14:anchorId="55AB6552" wp14:editId="2B5AE51D">
            <wp:simplePos x="0" y="0"/>
            <wp:positionH relativeFrom="page">
              <wp:posOffset>719011</wp:posOffset>
            </wp:positionH>
            <wp:positionV relativeFrom="page">
              <wp:posOffset>459009</wp:posOffset>
            </wp:positionV>
            <wp:extent cx="875765" cy="64293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875765" cy="642937"/>
                    </a:xfrm>
                    <a:prstGeom prst="rect">
                      <a:avLst/>
                    </a:prstGeom>
                  </pic:spPr>
                </pic:pic>
              </a:graphicData>
            </a:graphic>
          </wp:anchor>
        </w:drawing>
      </w:r>
      <w:r w:rsidR="00111297">
        <w:rPr>
          <w:rFonts w:ascii="Myriad Pro" w:hAnsi="Myriad Pro"/>
        </w:rPr>
        <w:pict w14:anchorId="591459B5">
          <v:line id="_x0000_s1037" style="position:absolute;left:0;text-align:left;z-index:251659264;mso-position-horizontal-relative:page;mso-position-vertical-relative:page" from="132.25pt,67.95pt" to="351.75pt,67.95pt" strokecolor="#005695" strokeweight=".23953mm">
            <w10:wrap anchorx="page" anchory="page"/>
          </v:line>
        </w:pict>
      </w:r>
      <w:r w:rsidRPr="00F43BEB">
        <w:rPr>
          <w:rFonts w:ascii="Myriad Pro" w:hAnsi="Myriad Pro"/>
          <w:noProof/>
          <w:lang w:val="en-AU" w:eastAsia="en-AU" w:bidi="ar-SA"/>
        </w:rPr>
        <w:drawing>
          <wp:anchor distT="0" distB="0" distL="0" distR="0" simplePos="0" relativeHeight="251655168" behindDoc="0" locked="0" layoutInCell="1" allowOverlap="1" wp14:anchorId="7CC25C3A" wp14:editId="4759175A">
            <wp:simplePos x="0" y="0"/>
            <wp:positionH relativeFrom="page">
              <wp:posOffset>1679003</wp:posOffset>
            </wp:positionH>
            <wp:positionV relativeFrom="page">
              <wp:posOffset>659558</wp:posOffset>
            </wp:positionV>
            <wp:extent cx="1744571" cy="11887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744571" cy="118872"/>
                    </a:xfrm>
                    <a:prstGeom prst="rect">
                      <a:avLst/>
                    </a:prstGeom>
                  </pic:spPr>
                </pic:pic>
              </a:graphicData>
            </a:graphic>
          </wp:anchor>
        </w:drawing>
      </w:r>
      <w:r w:rsidRPr="00F43BEB">
        <w:rPr>
          <w:rFonts w:ascii="Myriad Pro" w:hAnsi="Myriad Pro"/>
          <w:noProof/>
          <w:lang w:val="en-AU" w:eastAsia="en-AU" w:bidi="ar-SA"/>
        </w:rPr>
        <w:drawing>
          <wp:anchor distT="0" distB="0" distL="0" distR="0" simplePos="0" relativeHeight="251656192" behindDoc="0" locked="0" layoutInCell="1" allowOverlap="1" wp14:anchorId="3FE1C252" wp14:editId="52E88979">
            <wp:simplePos x="0" y="0"/>
            <wp:positionH relativeFrom="page">
              <wp:posOffset>1680733</wp:posOffset>
            </wp:positionH>
            <wp:positionV relativeFrom="page">
              <wp:posOffset>947948</wp:posOffset>
            </wp:positionV>
            <wp:extent cx="2772877" cy="1353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2772877" cy="135350"/>
                    </a:xfrm>
                    <a:prstGeom prst="rect">
                      <a:avLst/>
                    </a:prstGeom>
                  </pic:spPr>
                </pic:pic>
              </a:graphicData>
            </a:graphic>
          </wp:anchor>
        </w:drawing>
      </w:r>
      <w:r w:rsidRPr="00F43BEB">
        <w:rPr>
          <w:rFonts w:ascii="Myriad Pro" w:hAnsi="Myriad Pro"/>
          <w:color w:val="005695"/>
          <w:sz w:val="32"/>
        </w:rPr>
        <w:t>About the scheme</w:t>
      </w:r>
    </w:p>
    <w:p w14:paraId="1530047A" w14:textId="77777777" w:rsidR="001D35E4" w:rsidRPr="005A1BF1" w:rsidRDefault="00090523">
      <w:pPr>
        <w:pStyle w:val="BodyText"/>
        <w:spacing w:before="185" w:line="280" w:lineRule="auto"/>
        <w:ind w:left="1133" w:right="101"/>
        <w:rPr>
          <w:rFonts w:ascii="Times New Roman" w:hAnsi="Times New Roman" w:cs="Times New Roman"/>
          <w:sz w:val="19"/>
          <w:szCs w:val="19"/>
        </w:rPr>
      </w:pPr>
      <w:r w:rsidRPr="005A1BF1">
        <w:rPr>
          <w:rFonts w:ascii="Times New Roman" w:hAnsi="Times New Roman" w:cs="Times New Roman"/>
          <w:color w:val="231F20"/>
          <w:sz w:val="19"/>
          <w:szCs w:val="19"/>
        </w:rPr>
        <w:t>The National Television and Computer Recycling Scheme was established in 2011 to provide Australian households and small businesses with access to free industry-funded collection and recycling services for televisions, computers, printers, computer parts and peripherals.</w:t>
      </w:r>
    </w:p>
    <w:p w14:paraId="6E287304" w14:textId="77777777" w:rsidR="001D35E4" w:rsidRPr="005A1BF1" w:rsidRDefault="00090523">
      <w:pPr>
        <w:pStyle w:val="BodyText"/>
        <w:spacing w:before="166"/>
        <w:ind w:left="1133"/>
        <w:rPr>
          <w:rFonts w:ascii="Times New Roman" w:hAnsi="Times New Roman" w:cs="Times New Roman"/>
          <w:sz w:val="19"/>
          <w:szCs w:val="19"/>
        </w:rPr>
      </w:pPr>
      <w:r w:rsidRPr="005A1BF1">
        <w:rPr>
          <w:rFonts w:ascii="Times New Roman" w:hAnsi="Times New Roman" w:cs="Times New Roman"/>
          <w:color w:val="231F20"/>
          <w:sz w:val="19"/>
          <w:szCs w:val="19"/>
        </w:rPr>
        <w:t>The scheme aims to:</w:t>
      </w:r>
    </w:p>
    <w:p w14:paraId="20D15139" w14:textId="77777777" w:rsidR="001D35E4" w:rsidRPr="005A1BF1" w:rsidRDefault="00090523">
      <w:pPr>
        <w:pStyle w:val="ListParagraph"/>
        <w:numPr>
          <w:ilvl w:val="0"/>
          <w:numId w:val="2"/>
        </w:numPr>
        <w:tabs>
          <w:tab w:val="left" w:pos="1417"/>
          <w:tab w:val="left" w:pos="1418"/>
        </w:tabs>
        <w:spacing w:line="280" w:lineRule="auto"/>
        <w:ind w:right="234"/>
        <w:rPr>
          <w:rFonts w:ascii="Times New Roman" w:hAnsi="Times New Roman" w:cs="Times New Roman"/>
          <w:sz w:val="19"/>
          <w:szCs w:val="19"/>
        </w:rPr>
      </w:pPr>
      <w:r w:rsidRPr="005A1BF1">
        <w:rPr>
          <w:rFonts w:ascii="Times New Roman" w:hAnsi="Times New Roman" w:cs="Times New Roman"/>
          <w:color w:val="231F20"/>
          <w:sz w:val="19"/>
          <w:szCs w:val="19"/>
        </w:rPr>
        <w:t>reduce waste to landfill, especially hazardous</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materials found in e-waste</w:t>
      </w:r>
    </w:p>
    <w:p w14:paraId="1925B96C" w14:textId="77777777" w:rsidR="001D35E4" w:rsidRPr="005A1BF1" w:rsidRDefault="00090523">
      <w:pPr>
        <w:pStyle w:val="ListParagraph"/>
        <w:numPr>
          <w:ilvl w:val="0"/>
          <w:numId w:val="2"/>
        </w:numPr>
        <w:tabs>
          <w:tab w:val="left" w:pos="1417"/>
          <w:tab w:val="left" w:pos="1418"/>
        </w:tabs>
        <w:spacing w:before="55"/>
        <w:rPr>
          <w:rFonts w:ascii="Times New Roman" w:hAnsi="Times New Roman" w:cs="Times New Roman"/>
          <w:sz w:val="19"/>
          <w:szCs w:val="19"/>
        </w:rPr>
      </w:pPr>
      <w:r w:rsidRPr="005A1BF1">
        <w:rPr>
          <w:rFonts w:ascii="Times New Roman" w:hAnsi="Times New Roman" w:cs="Times New Roman"/>
          <w:color w:val="231F20"/>
          <w:sz w:val="19"/>
          <w:szCs w:val="19"/>
        </w:rPr>
        <w:t>increase recovery of reusable</w:t>
      </w:r>
      <w:r w:rsidRPr="005A1BF1">
        <w:rPr>
          <w:rFonts w:ascii="Times New Roman" w:hAnsi="Times New Roman" w:cs="Times New Roman"/>
          <w:color w:val="231F20"/>
          <w:spacing w:val="-2"/>
          <w:sz w:val="19"/>
          <w:szCs w:val="19"/>
        </w:rPr>
        <w:t xml:space="preserve"> </w:t>
      </w:r>
      <w:r w:rsidRPr="005A1BF1">
        <w:rPr>
          <w:rFonts w:ascii="Times New Roman" w:hAnsi="Times New Roman" w:cs="Times New Roman"/>
          <w:color w:val="231F20"/>
          <w:sz w:val="19"/>
          <w:szCs w:val="19"/>
        </w:rPr>
        <w:t>materials</w:t>
      </w:r>
    </w:p>
    <w:p w14:paraId="5747232C" w14:textId="77777777" w:rsidR="001D35E4" w:rsidRPr="005A1BF1" w:rsidRDefault="00090523">
      <w:pPr>
        <w:pStyle w:val="ListParagraph"/>
        <w:numPr>
          <w:ilvl w:val="0"/>
          <w:numId w:val="2"/>
        </w:numPr>
        <w:tabs>
          <w:tab w:val="left" w:pos="1417"/>
          <w:tab w:val="left" w:pos="1418"/>
        </w:tabs>
        <w:spacing w:line="280" w:lineRule="auto"/>
        <w:ind w:right="12"/>
        <w:rPr>
          <w:rFonts w:ascii="Times New Roman" w:hAnsi="Times New Roman" w:cs="Times New Roman"/>
          <w:sz w:val="19"/>
          <w:szCs w:val="19"/>
        </w:rPr>
      </w:pPr>
      <w:proofErr w:type="gramStart"/>
      <w:r w:rsidRPr="005A1BF1">
        <w:rPr>
          <w:rFonts w:ascii="Times New Roman" w:hAnsi="Times New Roman" w:cs="Times New Roman"/>
          <w:color w:val="231F20"/>
          <w:sz w:val="19"/>
          <w:szCs w:val="19"/>
        </w:rPr>
        <w:t>provide</w:t>
      </w:r>
      <w:proofErr w:type="gramEnd"/>
      <w:r w:rsidRPr="005A1BF1">
        <w:rPr>
          <w:rFonts w:ascii="Times New Roman" w:hAnsi="Times New Roman" w:cs="Times New Roman"/>
          <w:color w:val="231F20"/>
          <w:sz w:val="19"/>
          <w:szCs w:val="19"/>
        </w:rPr>
        <w:t xml:space="preserve"> access for households and small businesses</w:t>
      </w:r>
      <w:r w:rsidRPr="005A1BF1">
        <w:rPr>
          <w:rFonts w:ascii="Times New Roman" w:hAnsi="Times New Roman" w:cs="Times New Roman"/>
          <w:color w:val="231F20"/>
          <w:spacing w:val="-8"/>
          <w:sz w:val="19"/>
          <w:szCs w:val="19"/>
        </w:rPr>
        <w:t xml:space="preserve"> </w:t>
      </w:r>
      <w:r w:rsidRPr="005A1BF1">
        <w:rPr>
          <w:rFonts w:ascii="Times New Roman" w:hAnsi="Times New Roman" w:cs="Times New Roman"/>
          <w:color w:val="231F20"/>
          <w:sz w:val="19"/>
          <w:szCs w:val="19"/>
        </w:rPr>
        <w:t>across Australia to an industry-funded recycling</w:t>
      </w:r>
      <w:r w:rsidRPr="005A1BF1">
        <w:rPr>
          <w:rFonts w:ascii="Times New Roman" w:hAnsi="Times New Roman" w:cs="Times New Roman"/>
          <w:color w:val="231F20"/>
          <w:spacing w:val="-2"/>
          <w:sz w:val="19"/>
          <w:szCs w:val="19"/>
        </w:rPr>
        <w:t xml:space="preserve"> </w:t>
      </w:r>
      <w:r w:rsidRPr="005A1BF1">
        <w:rPr>
          <w:rFonts w:ascii="Times New Roman" w:hAnsi="Times New Roman" w:cs="Times New Roman"/>
          <w:color w:val="231F20"/>
          <w:sz w:val="19"/>
          <w:szCs w:val="19"/>
        </w:rPr>
        <w:t>service.</w:t>
      </w:r>
    </w:p>
    <w:p w14:paraId="5F1D3F00" w14:textId="77777777" w:rsidR="001D35E4" w:rsidRPr="005A1BF1" w:rsidRDefault="00090523">
      <w:pPr>
        <w:pStyle w:val="BodyText"/>
        <w:spacing w:before="168" w:line="280" w:lineRule="auto"/>
        <w:ind w:left="1133" w:right="-14"/>
        <w:rPr>
          <w:rFonts w:ascii="Times New Roman" w:hAnsi="Times New Roman" w:cs="Times New Roman"/>
          <w:sz w:val="19"/>
          <w:szCs w:val="19"/>
        </w:rPr>
      </w:pPr>
      <w:r w:rsidRPr="005A1BF1">
        <w:rPr>
          <w:rFonts w:ascii="Times New Roman" w:hAnsi="Times New Roman" w:cs="Times New Roman"/>
          <w:color w:val="231F20"/>
          <w:sz w:val="19"/>
          <w:szCs w:val="19"/>
        </w:rPr>
        <w:t>The scheme supplements and builds on state, territory and local government e-waste management, providing</w:t>
      </w:r>
      <w:r w:rsidRPr="005A1BF1">
        <w:rPr>
          <w:rFonts w:ascii="Times New Roman" w:hAnsi="Times New Roman" w:cs="Times New Roman"/>
          <w:color w:val="231F20"/>
          <w:spacing w:val="-19"/>
          <w:sz w:val="19"/>
          <w:szCs w:val="19"/>
        </w:rPr>
        <w:t xml:space="preserve"> </w:t>
      </w:r>
      <w:r w:rsidRPr="005A1BF1">
        <w:rPr>
          <w:rFonts w:ascii="Times New Roman" w:hAnsi="Times New Roman" w:cs="Times New Roman"/>
          <w:color w:val="231F20"/>
          <w:sz w:val="19"/>
          <w:szCs w:val="19"/>
        </w:rPr>
        <w:t xml:space="preserve">alternative collection services. </w:t>
      </w:r>
      <w:r w:rsidRPr="005A1BF1">
        <w:rPr>
          <w:rFonts w:ascii="Times New Roman" w:hAnsi="Times New Roman" w:cs="Times New Roman"/>
          <w:color w:val="231F20"/>
          <w:spacing w:val="-3"/>
          <w:sz w:val="19"/>
          <w:szCs w:val="19"/>
        </w:rPr>
        <w:t xml:space="preserve">It </w:t>
      </w:r>
      <w:r w:rsidRPr="005A1BF1">
        <w:rPr>
          <w:rFonts w:ascii="Times New Roman" w:hAnsi="Times New Roman" w:cs="Times New Roman"/>
          <w:color w:val="231F20"/>
          <w:sz w:val="19"/>
          <w:szCs w:val="19"/>
        </w:rPr>
        <w:t>also creates employment opportunities in the recycling</w:t>
      </w:r>
      <w:r w:rsidRPr="005A1BF1">
        <w:rPr>
          <w:rFonts w:ascii="Times New Roman" w:hAnsi="Times New Roman" w:cs="Times New Roman"/>
          <w:color w:val="231F20"/>
          <w:spacing w:val="-1"/>
          <w:sz w:val="19"/>
          <w:szCs w:val="19"/>
        </w:rPr>
        <w:t xml:space="preserve"> </w:t>
      </w:r>
      <w:r w:rsidRPr="005A1BF1">
        <w:rPr>
          <w:rFonts w:ascii="Times New Roman" w:hAnsi="Times New Roman" w:cs="Times New Roman"/>
          <w:color w:val="231F20"/>
          <w:sz w:val="19"/>
          <w:szCs w:val="19"/>
        </w:rPr>
        <w:t>sector.</w:t>
      </w:r>
    </w:p>
    <w:p w14:paraId="0006D20C" w14:textId="77777777" w:rsidR="001D35E4" w:rsidRDefault="001D35E4">
      <w:pPr>
        <w:pStyle w:val="BodyText"/>
        <w:spacing w:before="3"/>
        <w:rPr>
          <w:sz w:val="31"/>
        </w:rPr>
      </w:pPr>
    </w:p>
    <w:p w14:paraId="20B4D12E" w14:textId="77777777" w:rsidR="001D35E4" w:rsidRPr="00B2404E" w:rsidRDefault="00090523">
      <w:pPr>
        <w:pStyle w:val="Heading1"/>
        <w:spacing w:before="0"/>
        <w:ind w:left="1133"/>
        <w:rPr>
          <w:rFonts w:ascii="Myriad Pro" w:hAnsi="Myriad Pro"/>
          <w:b w:val="0"/>
        </w:rPr>
      </w:pPr>
      <w:r w:rsidRPr="00B2404E">
        <w:rPr>
          <w:rFonts w:ascii="Myriad Pro" w:hAnsi="Myriad Pro"/>
          <w:b w:val="0"/>
          <w:color w:val="005695"/>
        </w:rPr>
        <w:t>How the scheme works</w:t>
      </w:r>
    </w:p>
    <w:p w14:paraId="53C99BBE" w14:textId="77777777" w:rsidR="001D35E4" w:rsidRPr="005A1BF1" w:rsidRDefault="00090523">
      <w:pPr>
        <w:pStyle w:val="BodyText"/>
        <w:spacing w:before="185" w:line="280" w:lineRule="auto"/>
        <w:ind w:left="1133" w:right="101"/>
        <w:rPr>
          <w:rFonts w:ascii="Times New Roman" w:hAnsi="Times New Roman" w:cs="Times New Roman"/>
          <w:sz w:val="19"/>
          <w:szCs w:val="19"/>
        </w:rPr>
      </w:pPr>
      <w:r w:rsidRPr="005A1BF1">
        <w:rPr>
          <w:rFonts w:ascii="Times New Roman" w:hAnsi="Times New Roman" w:cs="Times New Roman"/>
          <w:color w:val="231F20"/>
          <w:sz w:val="19"/>
          <w:szCs w:val="19"/>
        </w:rPr>
        <w:t xml:space="preserve">The </w:t>
      </w:r>
      <w:r w:rsidRPr="005A1BF1">
        <w:rPr>
          <w:rFonts w:ascii="Times New Roman" w:hAnsi="Times New Roman" w:cs="Times New Roman"/>
          <w:i/>
          <w:color w:val="231F20"/>
          <w:sz w:val="19"/>
          <w:szCs w:val="19"/>
        </w:rPr>
        <w:t xml:space="preserve">Product Stewardship Act 2011 </w:t>
      </w:r>
      <w:r w:rsidRPr="005A1BF1">
        <w:rPr>
          <w:rFonts w:ascii="Times New Roman" w:hAnsi="Times New Roman" w:cs="Times New Roman"/>
          <w:color w:val="231F20"/>
          <w:sz w:val="19"/>
          <w:szCs w:val="19"/>
        </w:rPr>
        <w:t xml:space="preserve">and the Product Stewardship (Televisions and </w:t>
      </w:r>
      <w:r w:rsidRPr="005A1BF1">
        <w:rPr>
          <w:rFonts w:ascii="Times New Roman" w:hAnsi="Times New Roman" w:cs="Times New Roman"/>
          <w:color w:val="231F20"/>
          <w:sz w:val="19"/>
          <w:szCs w:val="19"/>
        </w:rPr>
        <w:lastRenderedPageBreak/>
        <w:t>Computers) Regulations 2011 provide the regulatory framework for the scheme and set outcomes for industry to meet.</w:t>
      </w:r>
    </w:p>
    <w:p w14:paraId="78689AD1" w14:textId="77777777" w:rsidR="001D35E4" w:rsidRPr="005A1BF1" w:rsidRDefault="00090523">
      <w:pPr>
        <w:pStyle w:val="BodyText"/>
        <w:spacing w:before="167" w:line="280" w:lineRule="auto"/>
        <w:ind w:left="1133"/>
        <w:rPr>
          <w:rFonts w:ascii="Times New Roman" w:hAnsi="Times New Roman" w:cs="Times New Roman"/>
          <w:sz w:val="19"/>
          <w:szCs w:val="19"/>
        </w:rPr>
      </w:pPr>
      <w:r w:rsidRPr="005A1BF1">
        <w:rPr>
          <w:rFonts w:ascii="Times New Roman" w:hAnsi="Times New Roman" w:cs="Times New Roman"/>
          <w:color w:val="231F20"/>
          <w:sz w:val="19"/>
          <w:szCs w:val="19"/>
        </w:rPr>
        <w:t>Companies who import or manufacture television and computer products over certain thresholds are liable under the scheme, and are required to pay for a proportion</w:t>
      </w:r>
    </w:p>
    <w:p w14:paraId="6008391D" w14:textId="77777777" w:rsidR="001D35E4" w:rsidRPr="005A1BF1" w:rsidRDefault="00090523">
      <w:pPr>
        <w:pStyle w:val="BodyText"/>
        <w:spacing w:before="126" w:line="280" w:lineRule="auto"/>
        <w:ind w:left="243" w:right="1119"/>
        <w:rPr>
          <w:rFonts w:ascii="Times New Roman" w:hAnsi="Times New Roman" w:cs="Times New Roman"/>
          <w:sz w:val="19"/>
          <w:szCs w:val="19"/>
        </w:rPr>
      </w:pPr>
      <w:r w:rsidRPr="005A1BF1">
        <w:rPr>
          <w:sz w:val="19"/>
          <w:szCs w:val="19"/>
        </w:rPr>
        <w:br w:type="column"/>
      </w:r>
      <w:proofErr w:type="gramStart"/>
      <w:r w:rsidRPr="005A1BF1">
        <w:rPr>
          <w:rFonts w:ascii="Times New Roman" w:hAnsi="Times New Roman" w:cs="Times New Roman"/>
          <w:color w:val="231F20"/>
          <w:sz w:val="19"/>
          <w:szCs w:val="19"/>
        </w:rPr>
        <w:lastRenderedPageBreak/>
        <w:t>of</w:t>
      </w:r>
      <w:proofErr w:type="gramEnd"/>
      <w:r w:rsidRPr="005A1BF1">
        <w:rPr>
          <w:rFonts w:ascii="Times New Roman" w:hAnsi="Times New Roman" w:cs="Times New Roman"/>
          <w:color w:val="231F20"/>
          <w:sz w:val="19"/>
          <w:szCs w:val="19"/>
        </w:rPr>
        <w:t xml:space="preserve"> recycling through membership in a co-regulatory arrangement. This is a form of product stewardship, where those involved in producing and selling products take responsibility for the whole life cycle of their products.</w:t>
      </w:r>
    </w:p>
    <w:p w14:paraId="3683EAAC" w14:textId="77777777" w:rsidR="001D35E4" w:rsidRPr="005A1BF1" w:rsidRDefault="00090523">
      <w:pPr>
        <w:pStyle w:val="BodyText"/>
        <w:spacing w:before="167" w:line="280" w:lineRule="auto"/>
        <w:ind w:left="243" w:right="1119"/>
        <w:rPr>
          <w:rFonts w:ascii="Times New Roman" w:hAnsi="Times New Roman" w:cs="Times New Roman"/>
        </w:rPr>
      </w:pPr>
      <w:r w:rsidRPr="005A1BF1">
        <w:rPr>
          <w:rFonts w:ascii="Times New Roman" w:hAnsi="Times New Roman" w:cs="Times New Roman"/>
          <w:color w:val="231F20"/>
          <w:sz w:val="19"/>
          <w:szCs w:val="19"/>
        </w:rPr>
        <w:t>Co-regulatory arrangement are responsible for day-to-day operation of the scheme, including organising collection and recycling of e-waste on behalf of liable party members.</w:t>
      </w:r>
    </w:p>
    <w:p w14:paraId="7DCE99DA" w14:textId="77777777" w:rsidR="001D35E4" w:rsidRDefault="001D35E4">
      <w:pPr>
        <w:pStyle w:val="BodyText"/>
        <w:spacing w:before="4"/>
        <w:rPr>
          <w:sz w:val="31"/>
        </w:rPr>
      </w:pPr>
    </w:p>
    <w:p w14:paraId="79F14A6F" w14:textId="77777777" w:rsidR="001D35E4" w:rsidRPr="00B2404E" w:rsidRDefault="00090523">
      <w:pPr>
        <w:pStyle w:val="Heading1"/>
        <w:spacing w:before="0"/>
        <w:ind w:left="243"/>
        <w:rPr>
          <w:rFonts w:ascii="Myriad Pro" w:hAnsi="Myriad Pro"/>
          <w:b w:val="0"/>
        </w:rPr>
      </w:pPr>
      <w:r w:rsidRPr="00B2404E">
        <w:rPr>
          <w:rFonts w:ascii="Myriad Pro" w:hAnsi="Myriad Pro"/>
          <w:b w:val="0"/>
          <w:color w:val="005695"/>
        </w:rPr>
        <w:t>Identifying liable parties</w:t>
      </w:r>
    </w:p>
    <w:p w14:paraId="38C18979" w14:textId="77777777" w:rsidR="001D35E4" w:rsidRPr="005A1BF1" w:rsidRDefault="00090523">
      <w:pPr>
        <w:pStyle w:val="BodyText"/>
        <w:spacing w:before="185" w:line="280" w:lineRule="auto"/>
        <w:ind w:left="243" w:right="1505"/>
        <w:rPr>
          <w:rFonts w:ascii="Times New Roman" w:hAnsi="Times New Roman" w:cs="Times New Roman"/>
          <w:sz w:val="19"/>
          <w:szCs w:val="19"/>
        </w:rPr>
      </w:pPr>
      <w:r w:rsidRPr="005A1BF1">
        <w:rPr>
          <w:rFonts w:ascii="Times New Roman" w:hAnsi="Times New Roman" w:cs="Times New Roman"/>
          <w:color w:val="231F20"/>
          <w:sz w:val="19"/>
          <w:szCs w:val="19"/>
        </w:rPr>
        <w:t>Companies that imported or manufactured television or computer products covered by the Regulations in</w:t>
      </w:r>
      <w:r w:rsidRPr="005A1BF1">
        <w:rPr>
          <w:rFonts w:ascii="Times New Roman" w:hAnsi="Times New Roman" w:cs="Times New Roman"/>
          <w:color w:val="231F20"/>
          <w:spacing w:val="-15"/>
          <w:sz w:val="19"/>
          <w:szCs w:val="19"/>
        </w:rPr>
        <w:t xml:space="preserve"> </w:t>
      </w:r>
      <w:r w:rsidRPr="005A1BF1">
        <w:rPr>
          <w:rFonts w:ascii="Times New Roman" w:hAnsi="Times New Roman" w:cs="Times New Roman"/>
          <w:color w:val="231F20"/>
          <w:sz w:val="19"/>
          <w:szCs w:val="19"/>
        </w:rPr>
        <w:t>the previous financial year may be considered liable parties under the scheme.</w:t>
      </w:r>
    </w:p>
    <w:p w14:paraId="73C3B840" w14:textId="77777777" w:rsidR="001D35E4" w:rsidRPr="005A1BF1" w:rsidRDefault="00090523">
      <w:pPr>
        <w:pStyle w:val="BodyText"/>
        <w:spacing w:before="167" w:line="280" w:lineRule="auto"/>
        <w:ind w:left="243" w:right="1119"/>
        <w:rPr>
          <w:rFonts w:ascii="Times New Roman" w:hAnsi="Times New Roman" w:cs="Times New Roman"/>
          <w:sz w:val="19"/>
          <w:szCs w:val="19"/>
        </w:rPr>
      </w:pPr>
      <w:r w:rsidRPr="005A1BF1">
        <w:rPr>
          <w:rFonts w:ascii="Times New Roman" w:hAnsi="Times New Roman" w:cs="Times New Roman"/>
          <w:color w:val="231F20"/>
          <w:spacing w:val="-4"/>
          <w:sz w:val="19"/>
          <w:szCs w:val="19"/>
        </w:rPr>
        <w:t xml:space="preserve">In </w:t>
      </w:r>
      <w:r w:rsidRPr="005A1BF1">
        <w:rPr>
          <w:rFonts w:ascii="Times New Roman" w:hAnsi="Times New Roman" w:cs="Times New Roman"/>
          <w:color w:val="231F20"/>
          <w:spacing w:val="-3"/>
          <w:sz w:val="19"/>
          <w:szCs w:val="19"/>
        </w:rPr>
        <w:t xml:space="preserve">any </w:t>
      </w:r>
      <w:r w:rsidRPr="005A1BF1">
        <w:rPr>
          <w:rFonts w:ascii="Times New Roman" w:hAnsi="Times New Roman" w:cs="Times New Roman"/>
          <w:color w:val="231F20"/>
          <w:spacing w:val="-6"/>
          <w:sz w:val="19"/>
          <w:szCs w:val="19"/>
        </w:rPr>
        <w:t xml:space="preserve">year, </w:t>
      </w:r>
      <w:r w:rsidRPr="005A1BF1">
        <w:rPr>
          <w:rFonts w:ascii="Times New Roman" w:hAnsi="Times New Roman" w:cs="Times New Roman"/>
          <w:color w:val="231F20"/>
          <w:sz w:val="19"/>
          <w:szCs w:val="19"/>
        </w:rPr>
        <w:t xml:space="preserve">an </w:t>
      </w:r>
      <w:r w:rsidRPr="005A1BF1">
        <w:rPr>
          <w:rFonts w:ascii="Times New Roman" w:hAnsi="Times New Roman" w:cs="Times New Roman"/>
          <w:color w:val="231F20"/>
          <w:spacing w:val="-4"/>
          <w:sz w:val="19"/>
          <w:szCs w:val="19"/>
        </w:rPr>
        <w:t xml:space="preserve">importer </w:t>
      </w:r>
      <w:r w:rsidRPr="005A1BF1">
        <w:rPr>
          <w:rFonts w:ascii="Times New Roman" w:hAnsi="Times New Roman" w:cs="Times New Roman"/>
          <w:color w:val="231F20"/>
          <w:sz w:val="19"/>
          <w:szCs w:val="19"/>
        </w:rPr>
        <w:t xml:space="preserve">or </w:t>
      </w:r>
      <w:r w:rsidRPr="005A1BF1">
        <w:rPr>
          <w:rFonts w:ascii="Times New Roman" w:hAnsi="Times New Roman" w:cs="Times New Roman"/>
          <w:color w:val="231F20"/>
          <w:spacing w:val="-4"/>
          <w:sz w:val="19"/>
          <w:szCs w:val="19"/>
        </w:rPr>
        <w:t xml:space="preserve">manufacturer </w:t>
      </w:r>
      <w:r w:rsidRPr="005A1BF1">
        <w:rPr>
          <w:rFonts w:ascii="Times New Roman" w:hAnsi="Times New Roman" w:cs="Times New Roman"/>
          <w:color w:val="231F20"/>
          <w:sz w:val="19"/>
          <w:szCs w:val="19"/>
        </w:rPr>
        <w:t xml:space="preserve">is </w:t>
      </w:r>
      <w:r w:rsidRPr="005A1BF1">
        <w:rPr>
          <w:rFonts w:ascii="Times New Roman" w:hAnsi="Times New Roman" w:cs="Times New Roman"/>
          <w:color w:val="231F20"/>
          <w:spacing w:val="-4"/>
          <w:sz w:val="19"/>
          <w:szCs w:val="19"/>
        </w:rPr>
        <w:t xml:space="preserve">liable </w:t>
      </w:r>
      <w:r w:rsidRPr="005A1BF1">
        <w:rPr>
          <w:rFonts w:ascii="Times New Roman" w:hAnsi="Times New Roman" w:cs="Times New Roman"/>
          <w:color w:val="231F20"/>
          <w:sz w:val="19"/>
          <w:szCs w:val="19"/>
        </w:rPr>
        <w:t xml:space="preserve">if </w:t>
      </w:r>
      <w:r w:rsidRPr="005A1BF1">
        <w:rPr>
          <w:rFonts w:ascii="Times New Roman" w:hAnsi="Times New Roman" w:cs="Times New Roman"/>
          <w:color w:val="231F20"/>
          <w:spacing w:val="-4"/>
          <w:sz w:val="19"/>
          <w:szCs w:val="19"/>
        </w:rPr>
        <w:t xml:space="preserve">they imported </w:t>
      </w:r>
      <w:r w:rsidRPr="005A1BF1">
        <w:rPr>
          <w:rFonts w:ascii="Times New Roman" w:hAnsi="Times New Roman" w:cs="Times New Roman"/>
          <w:color w:val="231F20"/>
          <w:sz w:val="19"/>
          <w:szCs w:val="19"/>
        </w:rPr>
        <w:t xml:space="preserve">or </w:t>
      </w:r>
      <w:r w:rsidRPr="005A1BF1">
        <w:rPr>
          <w:rFonts w:ascii="Times New Roman" w:hAnsi="Times New Roman" w:cs="Times New Roman"/>
          <w:color w:val="231F20"/>
          <w:spacing w:val="-4"/>
          <w:sz w:val="19"/>
          <w:szCs w:val="19"/>
        </w:rPr>
        <w:t xml:space="preserve">manufactured more </w:t>
      </w:r>
      <w:r w:rsidRPr="005A1BF1">
        <w:rPr>
          <w:rFonts w:ascii="Times New Roman" w:hAnsi="Times New Roman" w:cs="Times New Roman"/>
          <w:color w:val="231F20"/>
          <w:spacing w:val="-3"/>
          <w:sz w:val="19"/>
          <w:szCs w:val="19"/>
        </w:rPr>
        <w:t xml:space="preserve">than </w:t>
      </w:r>
      <w:r w:rsidRPr="005A1BF1">
        <w:rPr>
          <w:rFonts w:ascii="Times New Roman" w:hAnsi="Times New Roman" w:cs="Times New Roman"/>
          <w:color w:val="231F20"/>
          <w:sz w:val="19"/>
          <w:szCs w:val="19"/>
        </w:rPr>
        <w:t xml:space="preserve">a </w:t>
      </w:r>
      <w:r w:rsidRPr="005A1BF1">
        <w:rPr>
          <w:rFonts w:ascii="Times New Roman" w:hAnsi="Times New Roman" w:cs="Times New Roman"/>
          <w:color w:val="231F20"/>
          <w:spacing w:val="-3"/>
          <w:sz w:val="19"/>
          <w:szCs w:val="19"/>
        </w:rPr>
        <w:t xml:space="preserve">unit </w:t>
      </w:r>
      <w:r w:rsidRPr="005A1BF1">
        <w:rPr>
          <w:rFonts w:ascii="Times New Roman" w:hAnsi="Times New Roman" w:cs="Times New Roman"/>
          <w:color w:val="231F20"/>
          <w:spacing w:val="-4"/>
          <w:sz w:val="19"/>
          <w:szCs w:val="19"/>
        </w:rPr>
        <w:t xml:space="preserve">threshold amount during </w:t>
      </w:r>
      <w:r w:rsidRPr="005A1BF1">
        <w:rPr>
          <w:rFonts w:ascii="Times New Roman" w:hAnsi="Times New Roman" w:cs="Times New Roman"/>
          <w:color w:val="231F20"/>
          <w:spacing w:val="-3"/>
          <w:sz w:val="19"/>
          <w:szCs w:val="19"/>
        </w:rPr>
        <w:t xml:space="preserve">the </w:t>
      </w:r>
      <w:r w:rsidRPr="005A1BF1">
        <w:rPr>
          <w:rFonts w:ascii="Times New Roman" w:hAnsi="Times New Roman" w:cs="Times New Roman"/>
          <w:color w:val="231F20"/>
          <w:spacing w:val="-4"/>
          <w:sz w:val="19"/>
          <w:szCs w:val="19"/>
        </w:rPr>
        <w:t xml:space="preserve">previous financial </w:t>
      </w:r>
      <w:r w:rsidRPr="005A1BF1">
        <w:rPr>
          <w:rFonts w:ascii="Times New Roman" w:hAnsi="Times New Roman" w:cs="Times New Roman"/>
          <w:color w:val="231F20"/>
          <w:spacing w:val="-6"/>
          <w:sz w:val="19"/>
          <w:szCs w:val="19"/>
        </w:rPr>
        <w:t xml:space="preserve">year. </w:t>
      </w:r>
      <w:r w:rsidRPr="005A1BF1">
        <w:rPr>
          <w:rFonts w:ascii="Times New Roman" w:hAnsi="Times New Roman" w:cs="Times New Roman"/>
          <w:color w:val="231F20"/>
          <w:sz w:val="19"/>
          <w:szCs w:val="19"/>
        </w:rPr>
        <w:t xml:space="preserve">The </w:t>
      </w:r>
      <w:r w:rsidRPr="005A1BF1">
        <w:rPr>
          <w:rFonts w:ascii="Times New Roman" w:hAnsi="Times New Roman" w:cs="Times New Roman"/>
          <w:color w:val="231F20"/>
          <w:spacing w:val="-4"/>
          <w:sz w:val="19"/>
          <w:szCs w:val="19"/>
        </w:rPr>
        <w:t xml:space="preserve">threshold amounts </w:t>
      </w:r>
      <w:r w:rsidRPr="005A1BF1">
        <w:rPr>
          <w:rFonts w:ascii="Times New Roman" w:hAnsi="Times New Roman" w:cs="Times New Roman"/>
          <w:color w:val="231F20"/>
          <w:spacing w:val="-5"/>
          <w:sz w:val="19"/>
          <w:szCs w:val="19"/>
        </w:rPr>
        <w:t>are:</w:t>
      </w:r>
    </w:p>
    <w:p w14:paraId="36807286" w14:textId="77777777" w:rsidR="001D35E4" w:rsidRPr="005A1BF1" w:rsidRDefault="00090523">
      <w:pPr>
        <w:pStyle w:val="ListParagraph"/>
        <w:numPr>
          <w:ilvl w:val="0"/>
          <w:numId w:val="1"/>
        </w:numPr>
        <w:tabs>
          <w:tab w:val="left" w:pos="526"/>
          <w:tab w:val="left" w:pos="527"/>
        </w:tabs>
        <w:spacing w:before="54"/>
        <w:ind w:hanging="283"/>
        <w:rPr>
          <w:rFonts w:ascii="Times New Roman" w:hAnsi="Times New Roman" w:cs="Times New Roman"/>
          <w:sz w:val="19"/>
          <w:szCs w:val="19"/>
        </w:rPr>
      </w:pPr>
      <w:r w:rsidRPr="005A1BF1">
        <w:rPr>
          <w:rFonts w:ascii="Times New Roman" w:hAnsi="Times New Roman" w:cs="Times New Roman"/>
          <w:color w:val="231F20"/>
          <w:sz w:val="19"/>
          <w:szCs w:val="19"/>
        </w:rPr>
        <w:t>5000 units of televisions</w:t>
      </w:r>
    </w:p>
    <w:p w14:paraId="78B66182" w14:textId="77777777" w:rsidR="001D35E4" w:rsidRPr="005A1BF1" w:rsidRDefault="00090523">
      <w:pPr>
        <w:pStyle w:val="ListParagraph"/>
        <w:numPr>
          <w:ilvl w:val="0"/>
          <w:numId w:val="1"/>
        </w:numPr>
        <w:tabs>
          <w:tab w:val="left" w:pos="526"/>
          <w:tab w:val="left" w:pos="527"/>
        </w:tabs>
        <w:ind w:hanging="283"/>
        <w:rPr>
          <w:rFonts w:ascii="Times New Roman" w:hAnsi="Times New Roman" w:cs="Times New Roman"/>
          <w:sz w:val="19"/>
          <w:szCs w:val="19"/>
        </w:rPr>
      </w:pPr>
      <w:r w:rsidRPr="005A1BF1">
        <w:rPr>
          <w:rFonts w:ascii="Times New Roman" w:hAnsi="Times New Roman" w:cs="Times New Roman"/>
          <w:color w:val="231F20"/>
          <w:sz w:val="19"/>
          <w:szCs w:val="19"/>
        </w:rPr>
        <w:t>5000 units of computers or printers</w:t>
      </w:r>
    </w:p>
    <w:p w14:paraId="07C7A879" w14:textId="77777777" w:rsidR="001D35E4" w:rsidRPr="005A1BF1" w:rsidRDefault="00090523">
      <w:pPr>
        <w:pStyle w:val="ListParagraph"/>
        <w:numPr>
          <w:ilvl w:val="0"/>
          <w:numId w:val="1"/>
        </w:numPr>
        <w:tabs>
          <w:tab w:val="left" w:pos="526"/>
          <w:tab w:val="left" w:pos="527"/>
        </w:tabs>
        <w:spacing w:before="96"/>
        <w:ind w:hanging="283"/>
        <w:rPr>
          <w:rFonts w:ascii="Times New Roman" w:hAnsi="Times New Roman" w:cs="Times New Roman"/>
          <w:sz w:val="19"/>
          <w:szCs w:val="19"/>
        </w:rPr>
      </w:pPr>
      <w:r w:rsidRPr="005A1BF1">
        <w:rPr>
          <w:rFonts w:ascii="Times New Roman" w:hAnsi="Times New Roman" w:cs="Times New Roman"/>
          <w:color w:val="231F20"/>
          <w:sz w:val="19"/>
          <w:szCs w:val="19"/>
        </w:rPr>
        <w:t>15,000 units of computer parts or peripherals.</w:t>
      </w:r>
    </w:p>
    <w:p w14:paraId="1196E155" w14:textId="77777777" w:rsidR="001D35E4" w:rsidRPr="005A1BF1" w:rsidRDefault="00111297">
      <w:pPr>
        <w:pStyle w:val="BodyText"/>
        <w:spacing w:before="210" w:line="280" w:lineRule="auto"/>
        <w:ind w:left="243" w:right="1405"/>
        <w:rPr>
          <w:rFonts w:ascii="Times New Roman" w:hAnsi="Times New Roman" w:cs="Times New Roman"/>
          <w:sz w:val="19"/>
          <w:szCs w:val="19"/>
        </w:rPr>
      </w:pPr>
      <w:r>
        <w:rPr>
          <w:rFonts w:ascii="Times New Roman" w:hAnsi="Times New Roman" w:cs="Times New Roman"/>
          <w:sz w:val="19"/>
          <w:szCs w:val="19"/>
        </w:rPr>
        <w:pict w14:anchorId="3DEEBDF3">
          <v:shapetype id="_x0000_t202" coordsize="21600,21600" o:spt="202" path="m,l,21600r21600,l21600,xe">
            <v:stroke joinstyle="miter"/>
            <v:path gradientshapeok="t" o:connecttype="rect"/>
          </v:shapetype>
          <v:shape id="_x0000_s1036" type="#_x0000_t202" style="position:absolute;left:0;text-align:left;margin-left:581.15pt;margin-top:27.65pt;width:9.65pt;height:92.15pt;z-index:251660288;mso-position-horizontal-relative:page" filled="f" stroked="f">
            <v:textbox style="layout-flow:vertical;mso-layout-flow-alt:bottom-to-top" inset="0,0,0,0">
              <w:txbxContent>
                <w:p w14:paraId="08B4FA03" w14:textId="77777777" w:rsidR="001D35E4" w:rsidRDefault="00090523">
                  <w:pPr>
                    <w:spacing w:before="19"/>
                    <w:ind w:left="20"/>
                    <w:rPr>
                      <w:sz w:val="12"/>
                    </w:rPr>
                  </w:pPr>
                  <w:r>
                    <w:rPr>
                      <w:color w:val="BCBEC0"/>
                      <w:sz w:val="12"/>
                    </w:rPr>
                    <w:t>ENV208.0718 Image credit: iStock</w:t>
                  </w:r>
                </w:p>
              </w:txbxContent>
            </v:textbox>
            <w10:wrap anchorx="page"/>
          </v:shape>
        </w:pict>
      </w:r>
      <w:r w:rsidR="00090523" w:rsidRPr="005A1BF1">
        <w:rPr>
          <w:rFonts w:ascii="Times New Roman" w:hAnsi="Times New Roman" w:cs="Times New Roman"/>
          <w:color w:val="231F20"/>
          <w:sz w:val="19"/>
          <w:szCs w:val="19"/>
        </w:rPr>
        <w:t>A</w:t>
      </w:r>
      <w:r w:rsidR="00090523" w:rsidRPr="005A1BF1">
        <w:rPr>
          <w:rFonts w:ascii="Times New Roman" w:hAnsi="Times New Roman" w:cs="Times New Roman"/>
          <w:color w:val="231F20"/>
          <w:spacing w:val="-15"/>
          <w:sz w:val="19"/>
          <w:szCs w:val="19"/>
        </w:rPr>
        <w:t xml:space="preserve"> </w:t>
      </w:r>
      <w:r w:rsidR="00090523" w:rsidRPr="005A1BF1">
        <w:rPr>
          <w:rFonts w:ascii="Times New Roman" w:hAnsi="Times New Roman" w:cs="Times New Roman"/>
          <w:color w:val="231F20"/>
          <w:sz w:val="19"/>
          <w:szCs w:val="19"/>
        </w:rPr>
        <w:t>liable</w:t>
      </w:r>
      <w:r w:rsidR="00090523" w:rsidRPr="005A1BF1">
        <w:rPr>
          <w:rFonts w:ascii="Times New Roman" w:hAnsi="Times New Roman" w:cs="Times New Roman"/>
          <w:color w:val="231F20"/>
          <w:spacing w:val="-15"/>
          <w:sz w:val="19"/>
          <w:szCs w:val="19"/>
        </w:rPr>
        <w:t xml:space="preserve"> </w:t>
      </w:r>
      <w:r w:rsidR="00090523" w:rsidRPr="005A1BF1">
        <w:rPr>
          <w:rFonts w:ascii="Times New Roman" w:hAnsi="Times New Roman" w:cs="Times New Roman"/>
          <w:color w:val="231F20"/>
          <w:sz w:val="19"/>
          <w:szCs w:val="19"/>
        </w:rPr>
        <w:t>company</w:t>
      </w:r>
      <w:r w:rsidR="00090523" w:rsidRPr="005A1BF1">
        <w:rPr>
          <w:rFonts w:ascii="Times New Roman" w:hAnsi="Times New Roman" w:cs="Times New Roman"/>
          <w:color w:val="231F20"/>
          <w:spacing w:val="-15"/>
          <w:sz w:val="19"/>
          <w:szCs w:val="19"/>
        </w:rPr>
        <w:t xml:space="preserve"> </w:t>
      </w:r>
      <w:r w:rsidR="00090523" w:rsidRPr="005A1BF1">
        <w:rPr>
          <w:rFonts w:ascii="Times New Roman" w:hAnsi="Times New Roman" w:cs="Times New Roman"/>
          <w:color w:val="231F20"/>
          <w:sz w:val="19"/>
          <w:szCs w:val="19"/>
        </w:rPr>
        <w:t>must</w:t>
      </w:r>
      <w:r w:rsidR="00090523" w:rsidRPr="005A1BF1">
        <w:rPr>
          <w:rFonts w:ascii="Times New Roman" w:hAnsi="Times New Roman" w:cs="Times New Roman"/>
          <w:color w:val="231F20"/>
          <w:spacing w:val="-15"/>
          <w:sz w:val="19"/>
          <w:szCs w:val="19"/>
        </w:rPr>
        <w:t xml:space="preserve"> </w:t>
      </w:r>
      <w:r w:rsidR="00090523" w:rsidRPr="005A1BF1">
        <w:rPr>
          <w:rFonts w:ascii="Times New Roman" w:hAnsi="Times New Roman" w:cs="Times New Roman"/>
          <w:color w:val="231F20"/>
          <w:sz w:val="19"/>
          <w:szCs w:val="19"/>
        </w:rPr>
        <w:t>be</w:t>
      </w:r>
      <w:r w:rsidR="00090523" w:rsidRPr="005A1BF1">
        <w:rPr>
          <w:rFonts w:ascii="Times New Roman" w:hAnsi="Times New Roman" w:cs="Times New Roman"/>
          <w:color w:val="231F20"/>
          <w:spacing w:val="-15"/>
          <w:sz w:val="19"/>
          <w:szCs w:val="19"/>
        </w:rPr>
        <w:t xml:space="preserve"> </w:t>
      </w:r>
      <w:r w:rsidR="00090523" w:rsidRPr="005A1BF1">
        <w:rPr>
          <w:rFonts w:ascii="Times New Roman" w:hAnsi="Times New Roman" w:cs="Times New Roman"/>
          <w:color w:val="231F20"/>
          <w:sz w:val="19"/>
          <w:szCs w:val="19"/>
        </w:rPr>
        <w:t>a</w:t>
      </w:r>
      <w:r w:rsidR="00090523" w:rsidRPr="005A1BF1">
        <w:rPr>
          <w:rFonts w:ascii="Times New Roman" w:hAnsi="Times New Roman" w:cs="Times New Roman"/>
          <w:color w:val="231F20"/>
          <w:spacing w:val="-15"/>
          <w:sz w:val="19"/>
          <w:szCs w:val="19"/>
        </w:rPr>
        <w:t xml:space="preserve"> </w:t>
      </w:r>
      <w:r w:rsidR="00090523" w:rsidRPr="005A1BF1">
        <w:rPr>
          <w:rFonts w:ascii="Times New Roman" w:hAnsi="Times New Roman" w:cs="Times New Roman"/>
          <w:color w:val="231F20"/>
          <w:sz w:val="19"/>
          <w:szCs w:val="19"/>
        </w:rPr>
        <w:t>constitutional</w:t>
      </w:r>
      <w:r w:rsidR="00090523" w:rsidRPr="005A1BF1">
        <w:rPr>
          <w:rFonts w:ascii="Times New Roman" w:hAnsi="Times New Roman" w:cs="Times New Roman"/>
          <w:color w:val="231F20"/>
          <w:spacing w:val="-15"/>
          <w:sz w:val="19"/>
          <w:szCs w:val="19"/>
        </w:rPr>
        <w:t xml:space="preserve"> </w:t>
      </w:r>
      <w:r w:rsidR="00090523" w:rsidRPr="005A1BF1">
        <w:rPr>
          <w:rFonts w:ascii="Times New Roman" w:hAnsi="Times New Roman" w:cs="Times New Roman"/>
          <w:color w:val="231F20"/>
          <w:sz w:val="19"/>
          <w:szCs w:val="19"/>
        </w:rPr>
        <w:t xml:space="preserve">corporation—a trading or financial corporation formed in </w:t>
      </w:r>
      <w:r w:rsidR="00090523" w:rsidRPr="005A1BF1">
        <w:rPr>
          <w:rFonts w:ascii="Times New Roman" w:hAnsi="Times New Roman" w:cs="Times New Roman"/>
          <w:color w:val="231F20"/>
          <w:spacing w:val="-3"/>
          <w:sz w:val="19"/>
          <w:szCs w:val="19"/>
        </w:rPr>
        <w:t xml:space="preserve">Australia </w:t>
      </w:r>
      <w:r w:rsidR="00090523" w:rsidRPr="005A1BF1">
        <w:rPr>
          <w:rFonts w:ascii="Times New Roman" w:hAnsi="Times New Roman" w:cs="Times New Roman"/>
          <w:color w:val="231F20"/>
          <w:sz w:val="19"/>
          <w:szCs w:val="19"/>
        </w:rPr>
        <w:t xml:space="preserve">or a foreign corporation. A liable party can be part of a </w:t>
      </w:r>
      <w:r w:rsidR="00090523" w:rsidRPr="005A1BF1">
        <w:rPr>
          <w:rFonts w:ascii="Times New Roman" w:hAnsi="Times New Roman" w:cs="Times New Roman"/>
          <w:color w:val="231F20"/>
          <w:spacing w:val="-3"/>
          <w:sz w:val="19"/>
          <w:szCs w:val="19"/>
        </w:rPr>
        <w:t xml:space="preserve">group </w:t>
      </w:r>
      <w:r w:rsidR="00090523" w:rsidRPr="005A1BF1">
        <w:rPr>
          <w:rFonts w:ascii="Times New Roman" w:hAnsi="Times New Roman" w:cs="Times New Roman"/>
          <w:color w:val="231F20"/>
          <w:sz w:val="19"/>
          <w:szCs w:val="19"/>
        </w:rPr>
        <w:t>of</w:t>
      </w:r>
      <w:r w:rsidR="00090523" w:rsidRPr="005A1BF1">
        <w:rPr>
          <w:rFonts w:ascii="Times New Roman" w:hAnsi="Times New Roman" w:cs="Times New Roman"/>
          <w:color w:val="231F20"/>
          <w:spacing w:val="-11"/>
          <w:sz w:val="19"/>
          <w:szCs w:val="19"/>
        </w:rPr>
        <w:t xml:space="preserve"> </w:t>
      </w:r>
      <w:r w:rsidR="00090523" w:rsidRPr="005A1BF1">
        <w:rPr>
          <w:rFonts w:ascii="Times New Roman" w:hAnsi="Times New Roman" w:cs="Times New Roman"/>
          <w:color w:val="231F20"/>
          <w:sz w:val="19"/>
          <w:szCs w:val="19"/>
        </w:rPr>
        <w:t>related</w:t>
      </w:r>
      <w:r w:rsidR="00090523" w:rsidRPr="005A1BF1">
        <w:rPr>
          <w:rFonts w:ascii="Times New Roman" w:hAnsi="Times New Roman" w:cs="Times New Roman"/>
          <w:color w:val="231F20"/>
          <w:spacing w:val="-11"/>
          <w:sz w:val="19"/>
          <w:szCs w:val="19"/>
        </w:rPr>
        <w:t xml:space="preserve"> </w:t>
      </w:r>
      <w:r w:rsidR="00090523" w:rsidRPr="005A1BF1">
        <w:rPr>
          <w:rFonts w:ascii="Times New Roman" w:hAnsi="Times New Roman" w:cs="Times New Roman"/>
          <w:color w:val="231F20"/>
          <w:sz w:val="19"/>
          <w:szCs w:val="19"/>
        </w:rPr>
        <w:t>bodies.</w:t>
      </w:r>
      <w:r w:rsidR="00090523" w:rsidRPr="005A1BF1">
        <w:rPr>
          <w:rFonts w:ascii="Times New Roman" w:hAnsi="Times New Roman" w:cs="Times New Roman"/>
          <w:color w:val="231F20"/>
          <w:spacing w:val="-11"/>
          <w:sz w:val="19"/>
          <w:szCs w:val="19"/>
        </w:rPr>
        <w:t xml:space="preserve"> </w:t>
      </w:r>
      <w:r w:rsidR="00090523" w:rsidRPr="005A1BF1">
        <w:rPr>
          <w:rFonts w:ascii="Times New Roman" w:hAnsi="Times New Roman" w:cs="Times New Roman"/>
          <w:color w:val="231F20"/>
          <w:sz w:val="19"/>
          <w:szCs w:val="19"/>
        </w:rPr>
        <w:t>If</w:t>
      </w:r>
      <w:r w:rsidR="00090523" w:rsidRPr="005A1BF1">
        <w:rPr>
          <w:rFonts w:ascii="Times New Roman" w:hAnsi="Times New Roman" w:cs="Times New Roman"/>
          <w:color w:val="231F20"/>
          <w:spacing w:val="-11"/>
          <w:sz w:val="19"/>
          <w:szCs w:val="19"/>
        </w:rPr>
        <w:t xml:space="preserve"> </w:t>
      </w:r>
      <w:r w:rsidR="00090523" w:rsidRPr="005A1BF1">
        <w:rPr>
          <w:rFonts w:ascii="Times New Roman" w:hAnsi="Times New Roman" w:cs="Times New Roman"/>
          <w:color w:val="231F20"/>
          <w:sz w:val="19"/>
          <w:szCs w:val="19"/>
        </w:rPr>
        <w:t>a</w:t>
      </w:r>
      <w:r w:rsidR="00090523" w:rsidRPr="005A1BF1">
        <w:rPr>
          <w:rFonts w:ascii="Times New Roman" w:hAnsi="Times New Roman" w:cs="Times New Roman"/>
          <w:color w:val="231F20"/>
          <w:spacing w:val="-11"/>
          <w:sz w:val="19"/>
          <w:szCs w:val="19"/>
        </w:rPr>
        <w:t xml:space="preserve"> </w:t>
      </w:r>
      <w:r w:rsidR="00090523" w:rsidRPr="005A1BF1">
        <w:rPr>
          <w:rFonts w:ascii="Times New Roman" w:hAnsi="Times New Roman" w:cs="Times New Roman"/>
          <w:color w:val="231F20"/>
          <w:sz w:val="19"/>
          <w:szCs w:val="19"/>
        </w:rPr>
        <w:t>group</w:t>
      </w:r>
      <w:r w:rsidR="00090523" w:rsidRPr="005A1BF1">
        <w:rPr>
          <w:rFonts w:ascii="Times New Roman" w:hAnsi="Times New Roman" w:cs="Times New Roman"/>
          <w:color w:val="231F20"/>
          <w:spacing w:val="-11"/>
          <w:sz w:val="19"/>
          <w:szCs w:val="19"/>
        </w:rPr>
        <w:t xml:space="preserve"> </w:t>
      </w:r>
      <w:r w:rsidR="00090523" w:rsidRPr="005A1BF1">
        <w:rPr>
          <w:rFonts w:ascii="Times New Roman" w:hAnsi="Times New Roman" w:cs="Times New Roman"/>
          <w:color w:val="231F20"/>
          <w:sz w:val="19"/>
          <w:szCs w:val="19"/>
        </w:rPr>
        <w:t>of</w:t>
      </w:r>
      <w:r w:rsidR="00090523" w:rsidRPr="005A1BF1">
        <w:rPr>
          <w:rFonts w:ascii="Times New Roman" w:hAnsi="Times New Roman" w:cs="Times New Roman"/>
          <w:color w:val="231F20"/>
          <w:spacing w:val="-11"/>
          <w:sz w:val="19"/>
          <w:szCs w:val="19"/>
        </w:rPr>
        <w:t xml:space="preserve"> </w:t>
      </w:r>
      <w:r w:rsidR="00090523" w:rsidRPr="005A1BF1">
        <w:rPr>
          <w:rFonts w:ascii="Times New Roman" w:hAnsi="Times New Roman" w:cs="Times New Roman"/>
          <w:color w:val="231F20"/>
          <w:spacing w:val="-3"/>
          <w:sz w:val="19"/>
          <w:szCs w:val="19"/>
        </w:rPr>
        <w:t>related</w:t>
      </w:r>
      <w:r w:rsidR="00090523" w:rsidRPr="005A1BF1">
        <w:rPr>
          <w:rFonts w:ascii="Times New Roman" w:hAnsi="Times New Roman" w:cs="Times New Roman"/>
          <w:color w:val="231F20"/>
          <w:spacing w:val="-11"/>
          <w:sz w:val="19"/>
          <w:szCs w:val="19"/>
        </w:rPr>
        <w:t xml:space="preserve"> </w:t>
      </w:r>
      <w:r w:rsidR="00090523" w:rsidRPr="005A1BF1">
        <w:rPr>
          <w:rFonts w:ascii="Times New Roman" w:hAnsi="Times New Roman" w:cs="Times New Roman"/>
          <w:color w:val="231F20"/>
          <w:sz w:val="19"/>
          <w:szCs w:val="19"/>
        </w:rPr>
        <w:t>corporate</w:t>
      </w:r>
      <w:r w:rsidR="00090523" w:rsidRPr="005A1BF1">
        <w:rPr>
          <w:rFonts w:ascii="Times New Roman" w:hAnsi="Times New Roman" w:cs="Times New Roman"/>
          <w:color w:val="231F20"/>
          <w:spacing w:val="-11"/>
          <w:sz w:val="19"/>
          <w:szCs w:val="19"/>
        </w:rPr>
        <w:t xml:space="preserve"> </w:t>
      </w:r>
      <w:r w:rsidR="00090523" w:rsidRPr="005A1BF1">
        <w:rPr>
          <w:rFonts w:ascii="Times New Roman" w:hAnsi="Times New Roman" w:cs="Times New Roman"/>
          <w:color w:val="231F20"/>
          <w:sz w:val="19"/>
          <w:szCs w:val="19"/>
        </w:rPr>
        <w:t>bodies</w:t>
      </w:r>
      <w:r w:rsidR="00090523" w:rsidRPr="005A1BF1">
        <w:rPr>
          <w:rFonts w:ascii="Times New Roman" w:hAnsi="Times New Roman" w:cs="Times New Roman"/>
          <w:color w:val="231F20"/>
          <w:spacing w:val="-11"/>
          <w:sz w:val="19"/>
          <w:szCs w:val="19"/>
        </w:rPr>
        <w:t xml:space="preserve"> </w:t>
      </w:r>
      <w:r w:rsidR="00090523" w:rsidRPr="005A1BF1">
        <w:rPr>
          <w:rFonts w:ascii="Times New Roman" w:hAnsi="Times New Roman" w:cs="Times New Roman"/>
          <w:color w:val="231F20"/>
          <w:spacing w:val="-2"/>
          <w:sz w:val="19"/>
          <w:szCs w:val="19"/>
        </w:rPr>
        <w:t>has</w:t>
      </w:r>
    </w:p>
    <w:p w14:paraId="644F3645" w14:textId="77777777" w:rsidR="001D35E4" w:rsidRPr="005A1BF1" w:rsidRDefault="00090523">
      <w:pPr>
        <w:pStyle w:val="BodyText"/>
        <w:spacing w:line="280" w:lineRule="auto"/>
        <w:ind w:left="243" w:right="1213"/>
        <w:jc w:val="both"/>
        <w:rPr>
          <w:rFonts w:ascii="Times New Roman" w:hAnsi="Times New Roman" w:cs="Times New Roman"/>
          <w:sz w:val="19"/>
          <w:szCs w:val="19"/>
        </w:rPr>
      </w:pPr>
      <w:proofErr w:type="gramStart"/>
      <w:r w:rsidRPr="005A1BF1">
        <w:rPr>
          <w:rFonts w:ascii="Times New Roman" w:hAnsi="Times New Roman" w:cs="Times New Roman"/>
          <w:color w:val="231F20"/>
          <w:sz w:val="19"/>
          <w:szCs w:val="19"/>
        </w:rPr>
        <w:t>collectively</w:t>
      </w:r>
      <w:proofErr w:type="gramEnd"/>
      <w:r w:rsidRPr="005A1BF1">
        <w:rPr>
          <w:rFonts w:ascii="Times New Roman" w:hAnsi="Times New Roman" w:cs="Times New Roman"/>
          <w:color w:val="231F20"/>
          <w:spacing w:val="-15"/>
          <w:sz w:val="19"/>
          <w:szCs w:val="19"/>
        </w:rPr>
        <w:t xml:space="preserve"> </w:t>
      </w:r>
      <w:r w:rsidRPr="005A1BF1">
        <w:rPr>
          <w:rFonts w:ascii="Times New Roman" w:hAnsi="Times New Roman" w:cs="Times New Roman"/>
          <w:color w:val="231F20"/>
          <w:sz w:val="19"/>
          <w:szCs w:val="19"/>
        </w:rPr>
        <w:t>imported</w:t>
      </w:r>
      <w:r w:rsidRPr="005A1BF1">
        <w:rPr>
          <w:rFonts w:ascii="Times New Roman" w:hAnsi="Times New Roman" w:cs="Times New Roman"/>
          <w:color w:val="231F20"/>
          <w:spacing w:val="-15"/>
          <w:sz w:val="19"/>
          <w:szCs w:val="19"/>
        </w:rPr>
        <w:t xml:space="preserve"> </w:t>
      </w:r>
      <w:r w:rsidRPr="005A1BF1">
        <w:rPr>
          <w:rFonts w:ascii="Times New Roman" w:hAnsi="Times New Roman" w:cs="Times New Roman"/>
          <w:color w:val="231F20"/>
          <w:spacing w:val="-3"/>
          <w:sz w:val="19"/>
          <w:szCs w:val="19"/>
        </w:rPr>
        <w:t>over</w:t>
      </w:r>
      <w:r w:rsidRPr="005A1BF1">
        <w:rPr>
          <w:rFonts w:ascii="Times New Roman" w:hAnsi="Times New Roman" w:cs="Times New Roman"/>
          <w:color w:val="231F20"/>
          <w:spacing w:val="-15"/>
          <w:sz w:val="19"/>
          <w:szCs w:val="19"/>
        </w:rPr>
        <w:t xml:space="preserve"> </w:t>
      </w:r>
      <w:r w:rsidRPr="005A1BF1">
        <w:rPr>
          <w:rFonts w:ascii="Times New Roman" w:hAnsi="Times New Roman" w:cs="Times New Roman"/>
          <w:color w:val="231F20"/>
          <w:sz w:val="19"/>
          <w:szCs w:val="19"/>
        </w:rPr>
        <w:t>a</w:t>
      </w:r>
      <w:r w:rsidRPr="005A1BF1">
        <w:rPr>
          <w:rFonts w:ascii="Times New Roman" w:hAnsi="Times New Roman" w:cs="Times New Roman"/>
          <w:color w:val="231F20"/>
          <w:spacing w:val="-15"/>
          <w:sz w:val="19"/>
          <w:szCs w:val="19"/>
        </w:rPr>
        <w:t xml:space="preserve"> </w:t>
      </w:r>
      <w:r w:rsidRPr="005A1BF1">
        <w:rPr>
          <w:rFonts w:ascii="Times New Roman" w:hAnsi="Times New Roman" w:cs="Times New Roman"/>
          <w:color w:val="231F20"/>
          <w:sz w:val="19"/>
          <w:szCs w:val="19"/>
        </w:rPr>
        <w:t>threshold,</w:t>
      </w:r>
      <w:r w:rsidRPr="005A1BF1">
        <w:rPr>
          <w:rFonts w:ascii="Times New Roman" w:hAnsi="Times New Roman" w:cs="Times New Roman"/>
          <w:color w:val="231F20"/>
          <w:spacing w:val="-15"/>
          <w:sz w:val="19"/>
          <w:szCs w:val="19"/>
        </w:rPr>
        <w:t xml:space="preserve"> </w:t>
      </w:r>
      <w:r w:rsidRPr="005A1BF1">
        <w:rPr>
          <w:rFonts w:ascii="Times New Roman" w:hAnsi="Times New Roman" w:cs="Times New Roman"/>
          <w:color w:val="231F20"/>
          <w:sz w:val="19"/>
          <w:szCs w:val="19"/>
        </w:rPr>
        <w:t>then</w:t>
      </w:r>
      <w:r w:rsidRPr="005A1BF1">
        <w:rPr>
          <w:rFonts w:ascii="Times New Roman" w:hAnsi="Times New Roman" w:cs="Times New Roman"/>
          <w:color w:val="231F20"/>
          <w:spacing w:val="-15"/>
          <w:sz w:val="19"/>
          <w:szCs w:val="19"/>
        </w:rPr>
        <w:t xml:space="preserve"> </w:t>
      </w:r>
      <w:r w:rsidRPr="005A1BF1">
        <w:rPr>
          <w:rFonts w:ascii="Times New Roman" w:hAnsi="Times New Roman" w:cs="Times New Roman"/>
          <w:color w:val="231F20"/>
          <w:sz w:val="19"/>
          <w:szCs w:val="19"/>
        </w:rPr>
        <w:t>any</w:t>
      </w:r>
      <w:r w:rsidRPr="005A1BF1">
        <w:rPr>
          <w:rFonts w:ascii="Times New Roman" w:hAnsi="Times New Roman" w:cs="Times New Roman"/>
          <w:color w:val="231F20"/>
          <w:spacing w:val="-15"/>
          <w:sz w:val="19"/>
          <w:szCs w:val="19"/>
        </w:rPr>
        <w:t xml:space="preserve"> </w:t>
      </w:r>
      <w:r w:rsidRPr="005A1BF1">
        <w:rPr>
          <w:rFonts w:ascii="Times New Roman" w:hAnsi="Times New Roman" w:cs="Times New Roman"/>
          <w:color w:val="231F20"/>
          <w:sz w:val="19"/>
          <w:szCs w:val="19"/>
        </w:rPr>
        <w:t>member</w:t>
      </w:r>
      <w:r w:rsidRPr="005A1BF1">
        <w:rPr>
          <w:rFonts w:ascii="Times New Roman" w:hAnsi="Times New Roman" w:cs="Times New Roman"/>
          <w:color w:val="231F20"/>
          <w:spacing w:val="-15"/>
          <w:sz w:val="19"/>
          <w:szCs w:val="19"/>
        </w:rPr>
        <w:t xml:space="preserve"> </w:t>
      </w:r>
      <w:r w:rsidRPr="005A1BF1">
        <w:rPr>
          <w:rFonts w:ascii="Times New Roman" w:hAnsi="Times New Roman" w:cs="Times New Roman"/>
          <w:color w:val="231F20"/>
          <w:sz w:val="19"/>
          <w:szCs w:val="19"/>
        </w:rPr>
        <w:t>that imports</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pacing w:val="-3"/>
          <w:sz w:val="19"/>
          <w:szCs w:val="19"/>
        </w:rPr>
        <w:t>over</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1000</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of</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any</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of</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these</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products</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must</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take</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part</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z w:val="19"/>
          <w:szCs w:val="19"/>
        </w:rPr>
        <w:t>in the</w:t>
      </w:r>
      <w:r w:rsidRPr="005A1BF1">
        <w:rPr>
          <w:rFonts w:ascii="Times New Roman" w:hAnsi="Times New Roman" w:cs="Times New Roman"/>
          <w:color w:val="231F20"/>
          <w:spacing w:val="-5"/>
          <w:sz w:val="19"/>
          <w:szCs w:val="19"/>
        </w:rPr>
        <w:t xml:space="preserve"> </w:t>
      </w:r>
      <w:r w:rsidRPr="005A1BF1">
        <w:rPr>
          <w:rFonts w:ascii="Times New Roman" w:hAnsi="Times New Roman" w:cs="Times New Roman"/>
          <w:color w:val="231F20"/>
          <w:sz w:val="19"/>
          <w:szCs w:val="19"/>
        </w:rPr>
        <w:t>scheme.</w:t>
      </w:r>
    </w:p>
    <w:p w14:paraId="4DE1DE57" w14:textId="77777777" w:rsidR="001D35E4" w:rsidRDefault="001D35E4">
      <w:pPr>
        <w:spacing w:line="280" w:lineRule="auto"/>
        <w:jc w:val="both"/>
        <w:sectPr w:rsidR="001D35E4">
          <w:type w:val="continuous"/>
          <w:pgSz w:w="11910" w:h="16840"/>
          <w:pgMar w:top="700" w:right="0" w:bottom="480" w:left="0" w:header="720" w:footer="720" w:gutter="0"/>
          <w:cols w:num="2" w:space="720" w:equalWidth="0">
            <w:col w:w="5812" w:space="40"/>
            <w:col w:w="6058"/>
          </w:cols>
        </w:sectPr>
      </w:pPr>
    </w:p>
    <w:p w14:paraId="1A74B67F" w14:textId="77777777" w:rsidR="00A41BD0" w:rsidRPr="00A41BD0" w:rsidRDefault="00A41BD0">
      <w:pPr>
        <w:pStyle w:val="BodyText"/>
        <w:spacing w:before="196" w:line="280" w:lineRule="auto"/>
        <w:ind w:left="1133" w:right="293"/>
        <w:rPr>
          <w:rFonts w:ascii="Myriad Pro" w:hAnsi="Myriad Pro"/>
          <w:color w:val="336699"/>
          <w:sz w:val="32"/>
          <w:szCs w:val="32"/>
        </w:rPr>
      </w:pPr>
      <w:r w:rsidRPr="00A41BD0">
        <w:rPr>
          <w:rFonts w:ascii="Myriad Pro" w:hAnsi="Myriad Pro"/>
          <w:color w:val="336699"/>
          <w:sz w:val="32"/>
          <w:szCs w:val="32"/>
        </w:rPr>
        <w:lastRenderedPageBreak/>
        <w:t>Notification of liability</w:t>
      </w:r>
    </w:p>
    <w:p w14:paraId="6D1B914F" w14:textId="0A89E9BA" w:rsidR="001D35E4" w:rsidRPr="005A1BF1" w:rsidRDefault="00090523">
      <w:pPr>
        <w:pStyle w:val="BodyText"/>
        <w:spacing w:before="196" w:line="280" w:lineRule="auto"/>
        <w:ind w:left="1133" w:right="293"/>
        <w:rPr>
          <w:rFonts w:ascii="Times New Roman" w:hAnsi="Times New Roman" w:cs="Times New Roman"/>
          <w:sz w:val="19"/>
          <w:szCs w:val="19"/>
        </w:rPr>
      </w:pPr>
      <w:r w:rsidRPr="005A1BF1">
        <w:rPr>
          <w:rFonts w:ascii="Times New Roman" w:hAnsi="Times New Roman" w:cs="Times New Roman"/>
          <w:color w:val="231F20"/>
          <w:sz w:val="19"/>
          <w:szCs w:val="19"/>
        </w:rPr>
        <w:t>Each year, the Department of Home Affairs provides data from customs declarations to the Department of the Environment and Energy. Based on this data, early notification letters are sent to parties who are likely to become liable, informing them about the scheme and their obligations.</w:t>
      </w:r>
    </w:p>
    <w:p w14:paraId="55A27E81" w14:textId="77777777" w:rsidR="001D35E4" w:rsidRPr="005A1BF1" w:rsidRDefault="00090523">
      <w:pPr>
        <w:pStyle w:val="BodyText"/>
        <w:spacing w:before="165" w:line="280" w:lineRule="auto"/>
        <w:ind w:left="1133" w:right="193"/>
        <w:rPr>
          <w:rFonts w:ascii="Times New Roman" w:hAnsi="Times New Roman" w:cs="Times New Roman"/>
          <w:sz w:val="19"/>
          <w:szCs w:val="19"/>
        </w:rPr>
      </w:pPr>
      <w:r w:rsidRPr="005A1BF1">
        <w:rPr>
          <w:rFonts w:ascii="Times New Roman" w:hAnsi="Times New Roman" w:cs="Times New Roman"/>
          <w:color w:val="231F20"/>
          <w:sz w:val="19"/>
          <w:szCs w:val="19"/>
        </w:rPr>
        <w:t>In July, the Department sends a Statement of Advice advising each liable party of the number of television and computer products they imported under scheme-listed product codes in the previous financial year.</w:t>
      </w:r>
    </w:p>
    <w:p w14:paraId="55DC0FFA" w14:textId="77777777" w:rsidR="001D35E4" w:rsidRDefault="001D35E4">
      <w:pPr>
        <w:pStyle w:val="BodyText"/>
        <w:spacing w:before="5"/>
        <w:rPr>
          <w:sz w:val="29"/>
        </w:rPr>
      </w:pPr>
    </w:p>
    <w:p w14:paraId="765DBFFC" w14:textId="77777777" w:rsidR="001D35E4" w:rsidRDefault="00090523">
      <w:pPr>
        <w:pStyle w:val="Heading2"/>
      </w:pPr>
      <w:r>
        <w:rPr>
          <w:color w:val="005695"/>
        </w:rPr>
        <w:t>Scheme product codes and weights</w:t>
      </w:r>
    </w:p>
    <w:p w14:paraId="059B2268" w14:textId="77777777" w:rsidR="001D35E4" w:rsidRPr="005A1BF1" w:rsidRDefault="00090523">
      <w:pPr>
        <w:pStyle w:val="BodyText"/>
        <w:spacing w:before="195" w:line="280" w:lineRule="auto"/>
        <w:ind w:left="1133"/>
        <w:rPr>
          <w:rFonts w:ascii="Times New Roman" w:hAnsi="Times New Roman" w:cs="Times New Roman"/>
          <w:sz w:val="19"/>
          <w:szCs w:val="19"/>
        </w:rPr>
      </w:pPr>
      <w:r w:rsidRPr="005A1BF1">
        <w:rPr>
          <w:rFonts w:ascii="Times New Roman" w:hAnsi="Times New Roman" w:cs="Times New Roman"/>
          <w:color w:val="231F20"/>
          <w:sz w:val="19"/>
          <w:szCs w:val="19"/>
        </w:rPr>
        <w:t>All products are assigned an average converted weight, designed to be a fair approximation of the weight of products under that code. This makes it easier for liable parties, who do not need to supply information about the actual weight of each unit they import. It is also necessary because waste management and recycling processes work in weights rather than units of products.</w:t>
      </w:r>
    </w:p>
    <w:p w14:paraId="2B83AD00" w14:textId="77777777" w:rsidR="001D35E4" w:rsidRPr="005A1BF1" w:rsidRDefault="00090523">
      <w:pPr>
        <w:pStyle w:val="BodyText"/>
        <w:spacing w:before="164" w:line="280" w:lineRule="auto"/>
        <w:ind w:left="1133" w:right="-20"/>
        <w:rPr>
          <w:rFonts w:ascii="Times New Roman" w:hAnsi="Times New Roman" w:cs="Times New Roman"/>
          <w:sz w:val="19"/>
          <w:szCs w:val="19"/>
        </w:rPr>
      </w:pPr>
      <w:r w:rsidRPr="005A1BF1">
        <w:rPr>
          <w:rFonts w:ascii="Times New Roman" w:hAnsi="Times New Roman" w:cs="Times New Roman"/>
          <w:color w:val="231F20"/>
          <w:sz w:val="19"/>
          <w:szCs w:val="19"/>
        </w:rPr>
        <w:t xml:space="preserve">A list of all the products under the scheme, their product codes and the conversion factors used to calculate converted weight can be found in </w:t>
      </w:r>
      <w:hyperlink r:id="rId18">
        <w:r w:rsidRPr="005A1BF1">
          <w:rPr>
            <w:rFonts w:ascii="Times New Roman" w:hAnsi="Times New Roman" w:cs="Times New Roman"/>
            <w:color w:val="005695"/>
            <w:sz w:val="19"/>
            <w:szCs w:val="19"/>
            <w:u w:val="single" w:color="005695"/>
          </w:rPr>
          <w:t>Schedules in the Regulations</w:t>
        </w:r>
      </w:hyperlink>
    </w:p>
    <w:p w14:paraId="75909BD5" w14:textId="77777777" w:rsidR="001D35E4" w:rsidRPr="005A1BF1" w:rsidRDefault="00090523">
      <w:pPr>
        <w:pStyle w:val="BodyText"/>
        <w:spacing w:line="238" w:lineRule="exact"/>
        <w:ind w:left="1133"/>
        <w:rPr>
          <w:rFonts w:ascii="Times New Roman" w:hAnsi="Times New Roman" w:cs="Times New Roman"/>
          <w:sz w:val="19"/>
          <w:szCs w:val="19"/>
        </w:rPr>
      </w:pPr>
      <w:r w:rsidRPr="005A1BF1">
        <w:rPr>
          <w:rFonts w:ascii="Times New Roman" w:hAnsi="Times New Roman" w:cs="Times New Roman"/>
          <w:color w:val="231F20"/>
          <w:sz w:val="19"/>
          <w:szCs w:val="19"/>
        </w:rPr>
        <w:t>(</w:t>
      </w:r>
      <w:proofErr w:type="gramStart"/>
      <w:r w:rsidRPr="005A1BF1">
        <w:rPr>
          <w:rFonts w:ascii="Times New Roman" w:hAnsi="Times New Roman" w:cs="Times New Roman"/>
          <w:color w:val="231F20"/>
          <w:sz w:val="19"/>
          <w:szCs w:val="19"/>
        </w:rPr>
        <w:t>look</w:t>
      </w:r>
      <w:proofErr w:type="gramEnd"/>
      <w:r w:rsidRPr="005A1BF1">
        <w:rPr>
          <w:rFonts w:ascii="Times New Roman" w:hAnsi="Times New Roman" w:cs="Times New Roman"/>
          <w:color w:val="231F20"/>
          <w:sz w:val="19"/>
          <w:szCs w:val="19"/>
        </w:rPr>
        <w:t xml:space="preserve"> for ‘legislation’ at environment.gov.au/</w:t>
      </w:r>
      <w:proofErr w:type="spellStart"/>
      <w:r w:rsidRPr="005A1BF1">
        <w:rPr>
          <w:rFonts w:ascii="Times New Roman" w:hAnsi="Times New Roman" w:cs="Times New Roman"/>
          <w:color w:val="231F20"/>
          <w:sz w:val="19"/>
          <w:szCs w:val="19"/>
        </w:rPr>
        <w:t>ewaste</w:t>
      </w:r>
      <w:proofErr w:type="spellEnd"/>
      <w:r w:rsidRPr="005A1BF1">
        <w:rPr>
          <w:rFonts w:ascii="Times New Roman" w:hAnsi="Times New Roman" w:cs="Times New Roman"/>
          <w:color w:val="231F20"/>
          <w:sz w:val="19"/>
          <w:szCs w:val="19"/>
        </w:rPr>
        <w:t>).</w:t>
      </w:r>
    </w:p>
    <w:p w14:paraId="47B73B7B" w14:textId="77777777" w:rsidR="001D35E4" w:rsidRDefault="001D35E4">
      <w:pPr>
        <w:pStyle w:val="BodyText"/>
        <w:rPr>
          <w:sz w:val="33"/>
        </w:rPr>
      </w:pPr>
    </w:p>
    <w:p w14:paraId="5B71B653" w14:textId="77777777" w:rsidR="001D35E4" w:rsidRDefault="00090523">
      <w:pPr>
        <w:pStyle w:val="Heading2"/>
      </w:pPr>
      <w:r>
        <w:rPr>
          <w:color w:val="005695"/>
        </w:rPr>
        <w:t>Changes to import declarations</w:t>
      </w:r>
    </w:p>
    <w:p w14:paraId="346C636C" w14:textId="77777777" w:rsidR="001D35E4" w:rsidRPr="005A1BF1" w:rsidRDefault="00090523">
      <w:pPr>
        <w:pStyle w:val="BodyText"/>
        <w:spacing w:before="195" w:line="280" w:lineRule="auto"/>
        <w:ind w:left="1133" w:right="193"/>
        <w:rPr>
          <w:rFonts w:ascii="Times New Roman" w:hAnsi="Times New Roman" w:cs="Times New Roman"/>
          <w:sz w:val="19"/>
          <w:szCs w:val="19"/>
        </w:rPr>
      </w:pPr>
      <w:r w:rsidRPr="005A1BF1">
        <w:rPr>
          <w:rFonts w:ascii="Times New Roman" w:hAnsi="Times New Roman" w:cs="Times New Roman"/>
          <w:color w:val="231F20"/>
          <w:sz w:val="19"/>
          <w:szCs w:val="19"/>
        </w:rPr>
        <w:t>Importers have a legal responsibility to provide accurate information on their customs import declarations.</w:t>
      </w:r>
    </w:p>
    <w:p w14:paraId="3D2EF4D6" w14:textId="77777777" w:rsidR="001D35E4" w:rsidRPr="005A1BF1" w:rsidRDefault="00090523">
      <w:pPr>
        <w:pStyle w:val="BodyText"/>
        <w:spacing w:line="280" w:lineRule="auto"/>
        <w:ind w:left="1133" w:right="293"/>
        <w:rPr>
          <w:rFonts w:ascii="Times New Roman" w:hAnsi="Times New Roman" w:cs="Times New Roman"/>
          <w:sz w:val="19"/>
          <w:szCs w:val="19"/>
        </w:rPr>
      </w:pPr>
      <w:r w:rsidRPr="005A1BF1">
        <w:rPr>
          <w:rFonts w:ascii="Times New Roman" w:hAnsi="Times New Roman" w:cs="Times New Roman"/>
          <w:color w:val="231F20"/>
          <w:sz w:val="19"/>
          <w:szCs w:val="19"/>
        </w:rPr>
        <w:t>If they believe the information in their Statement of Advice is incorrect, it is their responsibility to contact their customs broker or freight forwarder to arrange</w:t>
      </w:r>
    </w:p>
    <w:p w14:paraId="4D737DF9" w14:textId="77777777" w:rsidR="001D35E4" w:rsidRPr="005A1BF1" w:rsidRDefault="00090523">
      <w:pPr>
        <w:pStyle w:val="BodyText"/>
        <w:spacing w:line="280" w:lineRule="auto"/>
        <w:ind w:left="1133" w:right="28"/>
        <w:rPr>
          <w:rFonts w:ascii="Times New Roman" w:hAnsi="Times New Roman" w:cs="Times New Roman"/>
          <w:sz w:val="19"/>
          <w:szCs w:val="19"/>
        </w:rPr>
      </w:pPr>
      <w:proofErr w:type="gramStart"/>
      <w:r w:rsidRPr="005A1BF1">
        <w:rPr>
          <w:rFonts w:ascii="Times New Roman" w:hAnsi="Times New Roman" w:cs="Times New Roman"/>
          <w:color w:val="231F20"/>
          <w:sz w:val="19"/>
          <w:szCs w:val="19"/>
        </w:rPr>
        <w:t>necessary</w:t>
      </w:r>
      <w:proofErr w:type="gramEnd"/>
      <w:r w:rsidRPr="005A1BF1">
        <w:rPr>
          <w:rFonts w:ascii="Times New Roman" w:hAnsi="Times New Roman" w:cs="Times New Roman"/>
          <w:color w:val="231F20"/>
          <w:sz w:val="19"/>
          <w:szCs w:val="19"/>
        </w:rPr>
        <w:t xml:space="preserve"> amendments to their customs declarations. Once these changes have been made, they need to advise the Department of the Environment and Energy so a revised statement can be issued. Any corrections to declarations for scheme products imported in the previous financial year should be completed by 31 October.</w:t>
      </w:r>
    </w:p>
    <w:p w14:paraId="62B49731" w14:textId="77777777" w:rsidR="001D35E4" w:rsidRPr="005A1BF1" w:rsidRDefault="00090523">
      <w:pPr>
        <w:pStyle w:val="BodyText"/>
        <w:spacing w:before="162" w:line="280" w:lineRule="auto"/>
        <w:ind w:left="1133" w:right="739"/>
        <w:jc w:val="both"/>
        <w:rPr>
          <w:rFonts w:ascii="Times New Roman" w:hAnsi="Times New Roman" w:cs="Times New Roman"/>
          <w:sz w:val="19"/>
          <w:szCs w:val="19"/>
        </w:rPr>
      </w:pPr>
      <w:r w:rsidRPr="005A1BF1">
        <w:rPr>
          <w:rFonts w:ascii="Times New Roman" w:hAnsi="Times New Roman" w:cs="Times New Roman"/>
          <w:color w:val="231F20"/>
          <w:sz w:val="19"/>
          <w:szCs w:val="19"/>
        </w:rPr>
        <w:t>Applications for exemption from the scheme must be supplied in writing to the Department between late July and 1 September.</w:t>
      </w:r>
    </w:p>
    <w:p w14:paraId="6E64C81B" w14:textId="2F671FF0" w:rsidR="005F7CA1" w:rsidRPr="005F7CA1" w:rsidRDefault="00090523" w:rsidP="005F7CA1">
      <w:pPr>
        <w:pStyle w:val="Heading1"/>
        <w:spacing w:before="7"/>
        <w:ind w:left="300"/>
        <w:rPr>
          <w:b w:val="0"/>
        </w:rPr>
      </w:pPr>
      <w:r>
        <w:rPr>
          <w:b w:val="0"/>
        </w:rPr>
        <w:br w:type="column"/>
      </w:r>
      <w:r w:rsidR="005F7CA1" w:rsidRPr="005F7CA1">
        <w:rPr>
          <w:rFonts w:ascii="Myriad Pro" w:hAnsi="Myriad Pro"/>
          <w:b w:val="0"/>
          <w:color w:val="336699"/>
        </w:rPr>
        <w:lastRenderedPageBreak/>
        <w:t xml:space="preserve">Mandatory requirements </w:t>
      </w:r>
      <w:r w:rsidR="005F7CA1">
        <w:rPr>
          <w:rFonts w:ascii="Myriad Pro" w:hAnsi="Myriad Pro"/>
          <w:b w:val="0"/>
          <w:color w:val="336699"/>
        </w:rPr>
        <w:br/>
      </w:r>
      <w:r w:rsidR="00816598">
        <w:rPr>
          <w:rFonts w:ascii="Myriad Pro" w:hAnsi="Myriad Pro"/>
          <w:b w:val="0"/>
          <w:color w:val="336699"/>
        </w:rPr>
        <w:t>under</w:t>
      </w:r>
      <w:r w:rsidR="005F7CA1" w:rsidRPr="005F7CA1">
        <w:rPr>
          <w:rFonts w:ascii="Myriad Pro" w:hAnsi="Myriad Pro"/>
          <w:b w:val="0"/>
          <w:color w:val="336699"/>
        </w:rPr>
        <w:t xml:space="preserve"> the scheme</w:t>
      </w:r>
    </w:p>
    <w:p w14:paraId="6E5CD1DC" w14:textId="2B5DA3D4" w:rsidR="001D35E4" w:rsidRPr="005A1BF1" w:rsidRDefault="00090523">
      <w:pPr>
        <w:pStyle w:val="BodyText"/>
        <w:spacing w:before="185" w:line="280" w:lineRule="auto"/>
        <w:ind w:left="300" w:right="1231"/>
        <w:rPr>
          <w:rFonts w:ascii="Times New Roman" w:hAnsi="Times New Roman" w:cs="Times New Roman"/>
          <w:sz w:val="19"/>
          <w:szCs w:val="19"/>
        </w:rPr>
      </w:pPr>
      <w:r w:rsidRPr="005A1BF1">
        <w:rPr>
          <w:rFonts w:ascii="Times New Roman" w:hAnsi="Times New Roman" w:cs="Times New Roman"/>
          <w:color w:val="231F20"/>
          <w:sz w:val="19"/>
          <w:szCs w:val="19"/>
        </w:rPr>
        <w:t>The</w:t>
      </w:r>
      <w:r w:rsidRPr="005A1BF1">
        <w:rPr>
          <w:rFonts w:ascii="Times New Roman" w:hAnsi="Times New Roman" w:cs="Times New Roman"/>
          <w:color w:val="231F20"/>
          <w:spacing w:val="-11"/>
          <w:sz w:val="19"/>
          <w:szCs w:val="19"/>
        </w:rPr>
        <w:t xml:space="preserve"> </w:t>
      </w:r>
      <w:r w:rsidRPr="005A1BF1">
        <w:rPr>
          <w:rFonts w:ascii="Times New Roman" w:hAnsi="Times New Roman" w:cs="Times New Roman"/>
          <w:i/>
          <w:color w:val="231F20"/>
          <w:spacing w:val="-6"/>
          <w:sz w:val="19"/>
          <w:szCs w:val="19"/>
        </w:rPr>
        <w:t>Product</w:t>
      </w:r>
      <w:r w:rsidRPr="005A1BF1">
        <w:rPr>
          <w:rFonts w:ascii="Times New Roman" w:hAnsi="Times New Roman" w:cs="Times New Roman"/>
          <w:i/>
          <w:color w:val="231F20"/>
          <w:spacing w:val="-10"/>
          <w:sz w:val="19"/>
          <w:szCs w:val="19"/>
        </w:rPr>
        <w:t xml:space="preserve"> </w:t>
      </w:r>
      <w:r w:rsidRPr="005A1BF1">
        <w:rPr>
          <w:rFonts w:ascii="Times New Roman" w:hAnsi="Times New Roman" w:cs="Times New Roman"/>
          <w:i/>
          <w:color w:val="231F20"/>
          <w:spacing w:val="-6"/>
          <w:sz w:val="19"/>
          <w:szCs w:val="19"/>
        </w:rPr>
        <w:t>Stewardship</w:t>
      </w:r>
      <w:r w:rsidRPr="005A1BF1">
        <w:rPr>
          <w:rFonts w:ascii="Times New Roman" w:hAnsi="Times New Roman" w:cs="Times New Roman"/>
          <w:i/>
          <w:color w:val="231F20"/>
          <w:spacing w:val="-10"/>
          <w:sz w:val="19"/>
          <w:szCs w:val="19"/>
        </w:rPr>
        <w:t xml:space="preserve"> </w:t>
      </w:r>
      <w:r w:rsidRPr="005A1BF1">
        <w:rPr>
          <w:rFonts w:ascii="Times New Roman" w:hAnsi="Times New Roman" w:cs="Times New Roman"/>
          <w:i/>
          <w:color w:val="231F20"/>
          <w:spacing w:val="-5"/>
          <w:sz w:val="19"/>
          <w:szCs w:val="19"/>
        </w:rPr>
        <w:t>Act</w:t>
      </w:r>
      <w:r w:rsidRPr="005A1BF1">
        <w:rPr>
          <w:rFonts w:ascii="Times New Roman" w:hAnsi="Times New Roman" w:cs="Times New Roman"/>
          <w:i/>
          <w:color w:val="231F20"/>
          <w:spacing w:val="-10"/>
          <w:sz w:val="19"/>
          <w:szCs w:val="19"/>
        </w:rPr>
        <w:t xml:space="preserve"> </w:t>
      </w:r>
      <w:r w:rsidRPr="005A1BF1">
        <w:rPr>
          <w:rFonts w:ascii="Times New Roman" w:hAnsi="Times New Roman" w:cs="Times New Roman"/>
          <w:i/>
          <w:color w:val="231F20"/>
          <w:spacing w:val="-4"/>
          <w:sz w:val="19"/>
          <w:szCs w:val="19"/>
        </w:rPr>
        <w:t>2011</w:t>
      </w:r>
      <w:r w:rsidRPr="005A1BF1">
        <w:rPr>
          <w:rFonts w:ascii="Times New Roman" w:hAnsi="Times New Roman" w:cs="Times New Roman"/>
          <w:i/>
          <w:color w:val="231F20"/>
          <w:spacing w:val="-11"/>
          <w:sz w:val="19"/>
          <w:szCs w:val="19"/>
        </w:rPr>
        <w:t xml:space="preserve"> </w:t>
      </w:r>
      <w:r w:rsidRPr="005A1BF1">
        <w:rPr>
          <w:rFonts w:ascii="Times New Roman" w:hAnsi="Times New Roman" w:cs="Times New Roman"/>
          <w:color w:val="231F20"/>
          <w:spacing w:val="-4"/>
          <w:sz w:val="19"/>
          <w:szCs w:val="19"/>
        </w:rPr>
        <w:t>and</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pacing w:val="-4"/>
          <w:sz w:val="19"/>
          <w:szCs w:val="19"/>
        </w:rPr>
        <w:t>the</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pacing w:val="-6"/>
          <w:sz w:val="19"/>
          <w:szCs w:val="19"/>
        </w:rPr>
        <w:t>Product</w:t>
      </w:r>
      <w:r w:rsidRPr="005A1BF1">
        <w:rPr>
          <w:rFonts w:ascii="Times New Roman" w:hAnsi="Times New Roman" w:cs="Times New Roman"/>
          <w:color w:val="231F20"/>
          <w:spacing w:val="-10"/>
          <w:sz w:val="19"/>
          <w:szCs w:val="19"/>
        </w:rPr>
        <w:t xml:space="preserve"> </w:t>
      </w:r>
      <w:r w:rsidRPr="005A1BF1">
        <w:rPr>
          <w:rFonts w:ascii="Times New Roman" w:hAnsi="Times New Roman" w:cs="Times New Roman"/>
          <w:color w:val="231F20"/>
          <w:spacing w:val="-6"/>
          <w:sz w:val="19"/>
          <w:szCs w:val="19"/>
        </w:rPr>
        <w:t xml:space="preserve">Stewardship </w:t>
      </w:r>
      <w:r w:rsidRPr="005A1BF1">
        <w:rPr>
          <w:rFonts w:ascii="Times New Roman" w:hAnsi="Times New Roman" w:cs="Times New Roman"/>
          <w:color w:val="231F20"/>
          <w:spacing w:val="-7"/>
          <w:sz w:val="19"/>
          <w:szCs w:val="19"/>
        </w:rPr>
        <w:t xml:space="preserve">(Televisions </w:t>
      </w:r>
      <w:r w:rsidRPr="005A1BF1">
        <w:rPr>
          <w:rFonts w:ascii="Times New Roman" w:hAnsi="Times New Roman" w:cs="Times New Roman"/>
          <w:color w:val="231F20"/>
          <w:spacing w:val="-4"/>
          <w:sz w:val="19"/>
          <w:szCs w:val="19"/>
        </w:rPr>
        <w:t xml:space="preserve">and </w:t>
      </w:r>
      <w:r w:rsidRPr="005A1BF1">
        <w:rPr>
          <w:rFonts w:ascii="Times New Roman" w:hAnsi="Times New Roman" w:cs="Times New Roman"/>
          <w:color w:val="231F20"/>
          <w:spacing w:val="-5"/>
          <w:sz w:val="19"/>
          <w:szCs w:val="19"/>
        </w:rPr>
        <w:t xml:space="preserve">Computers) Regulations </w:t>
      </w:r>
      <w:r w:rsidRPr="005A1BF1">
        <w:rPr>
          <w:rFonts w:ascii="Times New Roman" w:hAnsi="Times New Roman" w:cs="Times New Roman"/>
          <w:color w:val="231F20"/>
          <w:spacing w:val="-4"/>
          <w:sz w:val="19"/>
          <w:szCs w:val="19"/>
        </w:rPr>
        <w:t xml:space="preserve">2011 </w:t>
      </w:r>
      <w:r w:rsidRPr="005A1BF1">
        <w:rPr>
          <w:rFonts w:ascii="Times New Roman" w:hAnsi="Times New Roman" w:cs="Times New Roman"/>
          <w:color w:val="231F20"/>
          <w:spacing w:val="-5"/>
          <w:sz w:val="19"/>
          <w:szCs w:val="19"/>
        </w:rPr>
        <w:t>require all liable</w:t>
      </w:r>
      <w:r w:rsidRPr="005A1BF1">
        <w:rPr>
          <w:rFonts w:ascii="Times New Roman" w:hAnsi="Times New Roman" w:cs="Times New Roman"/>
          <w:color w:val="231F20"/>
          <w:spacing w:val="-9"/>
          <w:sz w:val="19"/>
          <w:szCs w:val="19"/>
        </w:rPr>
        <w:t xml:space="preserve"> </w:t>
      </w:r>
      <w:r w:rsidRPr="005A1BF1">
        <w:rPr>
          <w:rFonts w:ascii="Times New Roman" w:hAnsi="Times New Roman" w:cs="Times New Roman"/>
          <w:color w:val="231F20"/>
          <w:spacing w:val="-5"/>
          <w:sz w:val="19"/>
          <w:szCs w:val="19"/>
        </w:rPr>
        <w:t>parties</w:t>
      </w:r>
      <w:r w:rsidRPr="005A1BF1">
        <w:rPr>
          <w:rFonts w:ascii="Times New Roman" w:hAnsi="Times New Roman" w:cs="Times New Roman"/>
          <w:color w:val="231F20"/>
          <w:spacing w:val="-9"/>
          <w:sz w:val="19"/>
          <w:szCs w:val="19"/>
        </w:rPr>
        <w:t xml:space="preserve"> </w:t>
      </w:r>
      <w:r w:rsidRPr="005A1BF1">
        <w:rPr>
          <w:rFonts w:ascii="Times New Roman" w:hAnsi="Times New Roman" w:cs="Times New Roman"/>
          <w:color w:val="231F20"/>
          <w:spacing w:val="-3"/>
          <w:sz w:val="19"/>
          <w:szCs w:val="19"/>
        </w:rPr>
        <w:t>to</w:t>
      </w:r>
      <w:r w:rsidRPr="005A1BF1">
        <w:rPr>
          <w:rFonts w:ascii="Times New Roman" w:hAnsi="Times New Roman" w:cs="Times New Roman"/>
          <w:color w:val="231F20"/>
          <w:spacing w:val="-9"/>
          <w:sz w:val="19"/>
          <w:szCs w:val="19"/>
        </w:rPr>
        <w:t xml:space="preserve"> </w:t>
      </w:r>
      <w:r w:rsidRPr="005A1BF1">
        <w:rPr>
          <w:rFonts w:ascii="Times New Roman" w:hAnsi="Times New Roman" w:cs="Times New Roman"/>
          <w:color w:val="231F20"/>
          <w:spacing w:val="-3"/>
          <w:sz w:val="19"/>
          <w:szCs w:val="19"/>
        </w:rPr>
        <w:t>be</w:t>
      </w:r>
      <w:r w:rsidRPr="005A1BF1">
        <w:rPr>
          <w:rFonts w:ascii="Times New Roman" w:hAnsi="Times New Roman" w:cs="Times New Roman"/>
          <w:color w:val="231F20"/>
          <w:spacing w:val="-9"/>
          <w:sz w:val="19"/>
          <w:szCs w:val="19"/>
        </w:rPr>
        <w:t xml:space="preserve"> </w:t>
      </w:r>
      <w:r w:rsidRPr="005A1BF1">
        <w:rPr>
          <w:rFonts w:ascii="Times New Roman" w:hAnsi="Times New Roman" w:cs="Times New Roman"/>
          <w:color w:val="231F20"/>
          <w:sz w:val="19"/>
          <w:szCs w:val="19"/>
        </w:rPr>
        <w:t>a</w:t>
      </w:r>
      <w:r w:rsidRPr="005A1BF1">
        <w:rPr>
          <w:rFonts w:ascii="Times New Roman" w:hAnsi="Times New Roman" w:cs="Times New Roman"/>
          <w:color w:val="231F20"/>
          <w:spacing w:val="-9"/>
          <w:sz w:val="19"/>
          <w:szCs w:val="19"/>
        </w:rPr>
        <w:t xml:space="preserve"> </w:t>
      </w:r>
      <w:r w:rsidRPr="005A1BF1">
        <w:rPr>
          <w:rFonts w:ascii="Times New Roman" w:hAnsi="Times New Roman" w:cs="Times New Roman"/>
          <w:color w:val="231F20"/>
          <w:spacing w:val="-5"/>
          <w:sz w:val="19"/>
          <w:szCs w:val="19"/>
        </w:rPr>
        <w:t>member</w:t>
      </w:r>
      <w:r w:rsidRPr="005A1BF1">
        <w:rPr>
          <w:rFonts w:ascii="Times New Roman" w:hAnsi="Times New Roman" w:cs="Times New Roman"/>
          <w:color w:val="231F20"/>
          <w:spacing w:val="-9"/>
          <w:sz w:val="19"/>
          <w:szCs w:val="19"/>
        </w:rPr>
        <w:t xml:space="preserve"> </w:t>
      </w:r>
      <w:r w:rsidRPr="005A1BF1">
        <w:rPr>
          <w:rFonts w:ascii="Times New Roman" w:hAnsi="Times New Roman" w:cs="Times New Roman"/>
          <w:color w:val="231F20"/>
          <w:spacing w:val="-3"/>
          <w:sz w:val="19"/>
          <w:szCs w:val="19"/>
        </w:rPr>
        <w:t>of</w:t>
      </w:r>
      <w:r w:rsidRPr="005A1BF1">
        <w:rPr>
          <w:rFonts w:ascii="Times New Roman" w:hAnsi="Times New Roman" w:cs="Times New Roman"/>
          <w:color w:val="231F20"/>
          <w:spacing w:val="-9"/>
          <w:sz w:val="19"/>
          <w:szCs w:val="19"/>
        </w:rPr>
        <w:t xml:space="preserve"> </w:t>
      </w:r>
      <w:r w:rsidRPr="005A1BF1">
        <w:rPr>
          <w:rFonts w:ascii="Times New Roman" w:hAnsi="Times New Roman" w:cs="Times New Roman"/>
          <w:color w:val="231F20"/>
          <w:spacing w:val="-3"/>
          <w:sz w:val="19"/>
          <w:szCs w:val="19"/>
        </w:rPr>
        <w:t>an</w:t>
      </w:r>
      <w:r w:rsidRPr="005A1BF1">
        <w:rPr>
          <w:rFonts w:ascii="Times New Roman" w:hAnsi="Times New Roman" w:cs="Times New Roman"/>
          <w:color w:val="231F20"/>
          <w:spacing w:val="-9"/>
          <w:sz w:val="19"/>
          <w:szCs w:val="19"/>
        </w:rPr>
        <w:t xml:space="preserve"> </w:t>
      </w:r>
      <w:r w:rsidRPr="005A1BF1">
        <w:rPr>
          <w:rFonts w:ascii="Times New Roman" w:hAnsi="Times New Roman" w:cs="Times New Roman"/>
          <w:color w:val="231F20"/>
          <w:spacing w:val="-6"/>
          <w:sz w:val="19"/>
          <w:szCs w:val="19"/>
        </w:rPr>
        <w:t>approved</w:t>
      </w:r>
      <w:r w:rsidRPr="005A1BF1">
        <w:rPr>
          <w:rFonts w:ascii="Times New Roman" w:hAnsi="Times New Roman" w:cs="Times New Roman"/>
          <w:color w:val="231F20"/>
          <w:spacing w:val="-9"/>
          <w:sz w:val="19"/>
          <w:szCs w:val="19"/>
        </w:rPr>
        <w:t xml:space="preserve"> </w:t>
      </w:r>
      <w:r w:rsidRPr="005A1BF1">
        <w:rPr>
          <w:rFonts w:ascii="Times New Roman" w:hAnsi="Times New Roman" w:cs="Times New Roman"/>
          <w:color w:val="231F20"/>
          <w:spacing w:val="-5"/>
          <w:sz w:val="19"/>
          <w:szCs w:val="19"/>
        </w:rPr>
        <w:t>co-regulatory</w:t>
      </w:r>
    </w:p>
    <w:p w14:paraId="79EBC6A0" w14:textId="77777777" w:rsidR="001D35E4" w:rsidRPr="005A1BF1" w:rsidRDefault="00090523">
      <w:pPr>
        <w:pStyle w:val="BodyText"/>
        <w:spacing w:line="280" w:lineRule="auto"/>
        <w:ind w:left="300" w:right="1122"/>
        <w:rPr>
          <w:rFonts w:ascii="Times New Roman" w:hAnsi="Times New Roman" w:cs="Times New Roman"/>
          <w:sz w:val="19"/>
          <w:szCs w:val="19"/>
        </w:rPr>
      </w:pPr>
      <w:proofErr w:type="gramStart"/>
      <w:r w:rsidRPr="005A1BF1">
        <w:rPr>
          <w:rFonts w:ascii="Times New Roman" w:hAnsi="Times New Roman" w:cs="Times New Roman"/>
          <w:color w:val="231F20"/>
          <w:spacing w:val="-5"/>
          <w:sz w:val="19"/>
          <w:szCs w:val="19"/>
        </w:rPr>
        <w:t>arrangement</w:t>
      </w:r>
      <w:proofErr w:type="gramEnd"/>
      <w:r w:rsidRPr="005A1BF1">
        <w:rPr>
          <w:rFonts w:ascii="Times New Roman" w:hAnsi="Times New Roman" w:cs="Times New Roman"/>
          <w:color w:val="231F20"/>
          <w:spacing w:val="-5"/>
          <w:sz w:val="19"/>
          <w:szCs w:val="19"/>
        </w:rPr>
        <w:t xml:space="preserve"> </w:t>
      </w:r>
      <w:r w:rsidRPr="005A1BF1">
        <w:rPr>
          <w:rFonts w:ascii="Times New Roman" w:hAnsi="Times New Roman" w:cs="Times New Roman"/>
          <w:color w:val="231F20"/>
          <w:spacing w:val="-4"/>
          <w:sz w:val="19"/>
          <w:szCs w:val="19"/>
        </w:rPr>
        <w:t xml:space="preserve">for the </w:t>
      </w:r>
      <w:r w:rsidRPr="005A1BF1">
        <w:rPr>
          <w:rFonts w:ascii="Times New Roman" w:hAnsi="Times New Roman" w:cs="Times New Roman"/>
          <w:color w:val="231F20"/>
          <w:spacing w:val="-5"/>
          <w:sz w:val="19"/>
          <w:szCs w:val="19"/>
        </w:rPr>
        <w:t xml:space="preserve">duration </w:t>
      </w:r>
      <w:r w:rsidRPr="005A1BF1">
        <w:rPr>
          <w:rFonts w:ascii="Times New Roman" w:hAnsi="Times New Roman" w:cs="Times New Roman"/>
          <w:color w:val="231F20"/>
          <w:spacing w:val="-3"/>
          <w:sz w:val="19"/>
          <w:szCs w:val="19"/>
        </w:rPr>
        <w:t xml:space="preserve">of </w:t>
      </w:r>
      <w:r w:rsidRPr="005A1BF1">
        <w:rPr>
          <w:rFonts w:ascii="Times New Roman" w:hAnsi="Times New Roman" w:cs="Times New Roman"/>
          <w:color w:val="231F20"/>
          <w:spacing w:val="-4"/>
          <w:sz w:val="19"/>
          <w:szCs w:val="19"/>
        </w:rPr>
        <w:t xml:space="preserve">the financial </w:t>
      </w:r>
      <w:r w:rsidRPr="005A1BF1">
        <w:rPr>
          <w:rFonts w:ascii="Times New Roman" w:hAnsi="Times New Roman" w:cs="Times New Roman"/>
          <w:color w:val="231F20"/>
          <w:spacing w:val="-5"/>
          <w:sz w:val="19"/>
          <w:szCs w:val="19"/>
        </w:rPr>
        <w:t xml:space="preserve">year </w:t>
      </w:r>
      <w:r w:rsidRPr="005A1BF1">
        <w:rPr>
          <w:rFonts w:ascii="Times New Roman" w:hAnsi="Times New Roman" w:cs="Times New Roman"/>
          <w:color w:val="231F20"/>
          <w:spacing w:val="-3"/>
          <w:sz w:val="19"/>
          <w:szCs w:val="19"/>
        </w:rPr>
        <w:t xml:space="preserve">in </w:t>
      </w:r>
      <w:r w:rsidRPr="005A1BF1">
        <w:rPr>
          <w:rFonts w:ascii="Times New Roman" w:hAnsi="Times New Roman" w:cs="Times New Roman"/>
          <w:color w:val="231F20"/>
          <w:spacing w:val="-4"/>
          <w:sz w:val="19"/>
          <w:szCs w:val="19"/>
        </w:rPr>
        <w:t xml:space="preserve">which </w:t>
      </w:r>
      <w:r w:rsidRPr="005A1BF1">
        <w:rPr>
          <w:rFonts w:ascii="Times New Roman" w:hAnsi="Times New Roman" w:cs="Times New Roman"/>
          <w:color w:val="231F20"/>
          <w:spacing w:val="-5"/>
          <w:sz w:val="19"/>
          <w:szCs w:val="19"/>
        </w:rPr>
        <w:t xml:space="preserve">they </w:t>
      </w:r>
      <w:r w:rsidRPr="005A1BF1">
        <w:rPr>
          <w:rFonts w:ascii="Times New Roman" w:hAnsi="Times New Roman" w:cs="Times New Roman"/>
          <w:color w:val="231F20"/>
          <w:spacing w:val="-4"/>
          <w:sz w:val="19"/>
          <w:szCs w:val="19"/>
        </w:rPr>
        <w:t xml:space="preserve">are </w:t>
      </w:r>
      <w:r w:rsidRPr="005A1BF1">
        <w:rPr>
          <w:rFonts w:ascii="Times New Roman" w:hAnsi="Times New Roman" w:cs="Times New Roman"/>
          <w:color w:val="231F20"/>
          <w:spacing w:val="-5"/>
          <w:sz w:val="19"/>
          <w:szCs w:val="19"/>
        </w:rPr>
        <w:t xml:space="preserve">liable. </w:t>
      </w:r>
      <w:r w:rsidRPr="005A1BF1">
        <w:rPr>
          <w:rFonts w:ascii="Times New Roman" w:hAnsi="Times New Roman" w:cs="Times New Roman"/>
          <w:color w:val="231F20"/>
          <w:spacing w:val="-3"/>
          <w:sz w:val="19"/>
          <w:szCs w:val="19"/>
        </w:rPr>
        <w:t xml:space="preserve">This is </w:t>
      </w:r>
      <w:r w:rsidRPr="005A1BF1">
        <w:rPr>
          <w:rFonts w:ascii="Times New Roman" w:hAnsi="Times New Roman" w:cs="Times New Roman"/>
          <w:color w:val="231F20"/>
          <w:spacing w:val="-4"/>
          <w:sz w:val="19"/>
          <w:szCs w:val="19"/>
        </w:rPr>
        <w:t xml:space="preserve">their primary </w:t>
      </w:r>
      <w:r w:rsidRPr="005A1BF1">
        <w:rPr>
          <w:rFonts w:ascii="Times New Roman" w:hAnsi="Times New Roman" w:cs="Times New Roman"/>
          <w:color w:val="231F20"/>
          <w:spacing w:val="-5"/>
          <w:sz w:val="19"/>
          <w:szCs w:val="19"/>
        </w:rPr>
        <w:t xml:space="preserve">responsibility </w:t>
      </w:r>
      <w:r w:rsidRPr="005A1BF1">
        <w:rPr>
          <w:rFonts w:ascii="Times New Roman" w:hAnsi="Times New Roman" w:cs="Times New Roman"/>
          <w:color w:val="231F20"/>
          <w:spacing w:val="-4"/>
          <w:sz w:val="19"/>
          <w:szCs w:val="19"/>
        </w:rPr>
        <w:t xml:space="preserve">under the </w:t>
      </w:r>
      <w:r w:rsidRPr="005A1BF1">
        <w:rPr>
          <w:rFonts w:ascii="Times New Roman" w:hAnsi="Times New Roman" w:cs="Times New Roman"/>
          <w:color w:val="231F20"/>
          <w:spacing w:val="-5"/>
          <w:sz w:val="19"/>
          <w:szCs w:val="19"/>
        </w:rPr>
        <w:t>scheme.</w:t>
      </w:r>
    </w:p>
    <w:p w14:paraId="652FE2EE" w14:textId="77777777" w:rsidR="001D35E4" w:rsidRPr="005A1BF1" w:rsidRDefault="00090523">
      <w:pPr>
        <w:pStyle w:val="BodyText"/>
        <w:spacing w:before="166" w:line="280" w:lineRule="auto"/>
        <w:ind w:left="300" w:right="1884"/>
        <w:rPr>
          <w:rFonts w:ascii="Times New Roman" w:hAnsi="Times New Roman" w:cs="Times New Roman"/>
          <w:sz w:val="19"/>
          <w:szCs w:val="19"/>
        </w:rPr>
      </w:pPr>
      <w:r w:rsidRPr="005A1BF1">
        <w:rPr>
          <w:rFonts w:ascii="Times New Roman" w:hAnsi="Times New Roman" w:cs="Times New Roman"/>
          <w:color w:val="231F20"/>
          <w:sz w:val="19"/>
          <w:szCs w:val="19"/>
        </w:rPr>
        <w:t>The deadline for liable parties joining an approved co-regulatory arrangement is 1 September.</w:t>
      </w:r>
    </w:p>
    <w:p w14:paraId="7921B992" w14:textId="77777777" w:rsidR="001D35E4" w:rsidRPr="005A1BF1" w:rsidRDefault="00090523">
      <w:pPr>
        <w:pStyle w:val="BodyText"/>
        <w:spacing w:before="168" w:line="280" w:lineRule="auto"/>
        <w:ind w:left="300" w:right="1325"/>
        <w:rPr>
          <w:rFonts w:ascii="Times New Roman" w:hAnsi="Times New Roman" w:cs="Times New Roman"/>
          <w:sz w:val="19"/>
          <w:szCs w:val="19"/>
        </w:rPr>
      </w:pPr>
      <w:r w:rsidRPr="005A1BF1">
        <w:rPr>
          <w:rFonts w:ascii="Times New Roman" w:hAnsi="Times New Roman" w:cs="Times New Roman"/>
          <w:color w:val="231F20"/>
          <w:sz w:val="19"/>
          <w:szCs w:val="19"/>
        </w:rPr>
        <w:t>A corporation that hasn’t met its obligation to become a member of a co-regulatory arrangement may be subject to substantial civil penalties which may result in monetary fines. These penalties increase for every day that the company remains non-compliant.</w:t>
      </w:r>
    </w:p>
    <w:p w14:paraId="1DD91293" w14:textId="77777777" w:rsidR="001D35E4" w:rsidRPr="005A1BF1" w:rsidRDefault="00090523">
      <w:pPr>
        <w:pStyle w:val="BodyText"/>
        <w:spacing w:before="166" w:line="280" w:lineRule="auto"/>
        <w:ind w:left="300" w:right="1290"/>
        <w:rPr>
          <w:rFonts w:ascii="Times New Roman" w:hAnsi="Times New Roman" w:cs="Times New Roman"/>
          <w:sz w:val="19"/>
          <w:szCs w:val="19"/>
        </w:rPr>
      </w:pPr>
      <w:r w:rsidRPr="005A1BF1">
        <w:rPr>
          <w:rFonts w:ascii="Times New Roman" w:hAnsi="Times New Roman" w:cs="Times New Roman"/>
          <w:color w:val="231F20"/>
          <w:sz w:val="19"/>
          <w:szCs w:val="19"/>
        </w:rPr>
        <w:t xml:space="preserve">If a liable party leaves a co-regulatory arrangement during a financial </w:t>
      </w:r>
      <w:r w:rsidRPr="005A1BF1">
        <w:rPr>
          <w:rFonts w:ascii="Times New Roman" w:hAnsi="Times New Roman" w:cs="Times New Roman"/>
          <w:color w:val="231F20"/>
          <w:spacing w:val="-3"/>
          <w:sz w:val="19"/>
          <w:szCs w:val="19"/>
        </w:rPr>
        <w:t xml:space="preserve">year, </w:t>
      </w:r>
      <w:r w:rsidRPr="005A1BF1">
        <w:rPr>
          <w:rFonts w:ascii="Times New Roman" w:hAnsi="Times New Roman" w:cs="Times New Roman"/>
          <w:color w:val="231F20"/>
          <w:sz w:val="19"/>
          <w:szCs w:val="19"/>
        </w:rPr>
        <w:t xml:space="preserve">it must join another arrangement in that financial </w:t>
      </w:r>
      <w:r w:rsidRPr="005A1BF1">
        <w:rPr>
          <w:rFonts w:ascii="Times New Roman" w:hAnsi="Times New Roman" w:cs="Times New Roman"/>
          <w:color w:val="231F20"/>
          <w:spacing w:val="-3"/>
          <w:sz w:val="19"/>
          <w:szCs w:val="19"/>
        </w:rPr>
        <w:t xml:space="preserve">year. </w:t>
      </w:r>
      <w:r w:rsidRPr="005A1BF1">
        <w:rPr>
          <w:rFonts w:ascii="Times New Roman" w:hAnsi="Times New Roman" w:cs="Times New Roman"/>
          <w:color w:val="231F20"/>
          <w:sz w:val="19"/>
          <w:szCs w:val="19"/>
        </w:rPr>
        <w:t>A liable party that has not met its obligation to be a member remains liable in the following</w:t>
      </w:r>
      <w:r w:rsidRPr="005A1BF1">
        <w:rPr>
          <w:rFonts w:ascii="Times New Roman" w:hAnsi="Times New Roman" w:cs="Times New Roman"/>
          <w:color w:val="231F20"/>
          <w:spacing w:val="-3"/>
          <w:sz w:val="19"/>
          <w:szCs w:val="19"/>
        </w:rPr>
        <w:t xml:space="preserve"> year.</w:t>
      </w:r>
    </w:p>
    <w:p w14:paraId="2BAA40AF" w14:textId="77777777" w:rsidR="001D35E4" w:rsidRDefault="001D35E4">
      <w:pPr>
        <w:pStyle w:val="BodyText"/>
        <w:spacing w:before="6"/>
        <w:rPr>
          <w:sz w:val="31"/>
        </w:rPr>
      </w:pPr>
    </w:p>
    <w:p w14:paraId="3D8044A7" w14:textId="77777777" w:rsidR="001D35E4" w:rsidRPr="00443C84" w:rsidRDefault="00090523">
      <w:pPr>
        <w:pStyle w:val="Heading1"/>
        <w:spacing w:before="0" w:line="237" w:lineRule="auto"/>
        <w:ind w:left="300" w:right="1122"/>
        <w:rPr>
          <w:rFonts w:ascii="Myriad Pro" w:hAnsi="Myriad Pro"/>
          <w:b w:val="0"/>
        </w:rPr>
      </w:pPr>
      <w:r w:rsidRPr="00443C84">
        <w:rPr>
          <w:rFonts w:ascii="Myriad Pro" w:hAnsi="Myriad Pro"/>
          <w:b w:val="0"/>
          <w:color w:val="005695"/>
        </w:rPr>
        <w:t>Joining a co-regulatory arrangement</w:t>
      </w:r>
    </w:p>
    <w:p w14:paraId="7CD694A7" w14:textId="77777777" w:rsidR="001D35E4" w:rsidRPr="005A1BF1" w:rsidRDefault="00090523">
      <w:pPr>
        <w:pStyle w:val="BodyText"/>
        <w:spacing w:before="186" w:line="280" w:lineRule="auto"/>
        <w:ind w:left="300" w:right="1122"/>
        <w:rPr>
          <w:rFonts w:ascii="Times New Roman" w:hAnsi="Times New Roman" w:cs="Times New Roman"/>
          <w:sz w:val="19"/>
          <w:szCs w:val="19"/>
        </w:rPr>
      </w:pPr>
      <w:r w:rsidRPr="005A1BF1">
        <w:rPr>
          <w:rFonts w:ascii="Times New Roman" w:hAnsi="Times New Roman" w:cs="Times New Roman"/>
          <w:color w:val="231F20"/>
          <w:sz w:val="19"/>
          <w:szCs w:val="19"/>
        </w:rPr>
        <w:t>A liable party can join any of the approved co-regulatory arrangements. The details of individual contracts are a private matter between liable parties and their chosen arrangement. The Department doesn’t set or advise on membership fees. Liable parties should contact co-regulatory arrangements to discuss membership options and fees.</w:t>
      </w:r>
    </w:p>
    <w:p w14:paraId="4F11D0A4" w14:textId="77777777" w:rsidR="001D35E4" w:rsidRPr="005A1BF1" w:rsidRDefault="00090523">
      <w:pPr>
        <w:pStyle w:val="BodyText"/>
        <w:spacing w:before="165" w:line="280" w:lineRule="auto"/>
        <w:ind w:left="300" w:right="1264"/>
        <w:rPr>
          <w:rFonts w:ascii="Times New Roman" w:hAnsi="Times New Roman" w:cs="Times New Roman"/>
          <w:sz w:val="19"/>
          <w:szCs w:val="19"/>
        </w:rPr>
      </w:pPr>
      <w:r w:rsidRPr="005A1BF1">
        <w:rPr>
          <w:rFonts w:ascii="Times New Roman" w:hAnsi="Times New Roman" w:cs="Times New Roman"/>
          <w:color w:val="231F20"/>
          <w:spacing w:val="-5"/>
          <w:sz w:val="19"/>
          <w:szCs w:val="19"/>
        </w:rPr>
        <w:t xml:space="preserve">Contact information </w:t>
      </w:r>
      <w:r w:rsidRPr="005A1BF1">
        <w:rPr>
          <w:rFonts w:ascii="Times New Roman" w:hAnsi="Times New Roman" w:cs="Times New Roman"/>
          <w:color w:val="231F20"/>
          <w:spacing w:val="-4"/>
          <w:sz w:val="19"/>
          <w:szCs w:val="19"/>
        </w:rPr>
        <w:t xml:space="preserve">and </w:t>
      </w:r>
      <w:r w:rsidRPr="005A1BF1">
        <w:rPr>
          <w:rFonts w:ascii="Times New Roman" w:hAnsi="Times New Roman" w:cs="Times New Roman"/>
          <w:color w:val="231F20"/>
          <w:spacing w:val="-5"/>
          <w:sz w:val="19"/>
          <w:szCs w:val="19"/>
        </w:rPr>
        <w:t xml:space="preserve">annual reports </w:t>
      </w:r>
      <w:r w:rsidRPr="005A1BF1">
        <w:rPr>
          <w:rFonts w:ascii="Times New Roman" w:hAnsi="Times New Roman" w:cs="Times New Roman"/>
          <w:color w:val="231F20"/>
          <w:spacing w:val="-4"/>
          <w:sz w:val="19"/>
          <w:szCs w:val="19"/>
        </w:rPr>
        <w:t xml:space="preserve">for </w:t>
      </w:r>
      <w:r w:rsidRPr="005A1BF1">
        <w:rPr>
          <w:rFonts w:ascii="Times New Roman" w:hAnsi="Times New Roman" w:cs="Times New Roman"/>
          <w:color w:val="231F20"/>
          <w:spacing w:val="-6"/>
          <w:sz w:val="19"/>
          <w:szCs w:val="19"/>
        </w:rPr>
        <w:t xml:space="preserve">approved </w:t>
      </w:r>
      <w:r w:rsidRPr="005A1BF1">
        <w:rPr>
          <w:rFonts w:ascii="Times New Roman" w:hAnsi="Times New Roman" w:cs="Times New Roman"/>
          <w:color w:val="231F20"/>
          <w:spacing w:val="-5"/>
          <w:sz w:val="19"/>
          <w:szCs w:val="19"/>
        </w:rPr>
        <w:t xml:space="preserve">arrangements </w:t>
      </w:r>
      <w:r w:rsidRPr="005A1BF1">
        <w:rPr>
          <w:rFonts w:ascii="Times New Roman" w:hAnsi="Times New Roman" w:cs="Times New Roman"/>
          <w:color w:val="231F20"/>
          <w:spacing w:val="-4"/>
          <w:sz w:val="19"/>
          <w:szCs w:val="19"/>
        </w:rPr>
        <w:t xml:space="preserve">are </w:t>
      </w:r>
      <w:r w:rsidRPr="005A1BF1">
        <w:rPr>
          <w:rFonts w:ascii="Times New Roman" w:hAnsi="Times New Roman" w:cs="Times New Roman"/>
          <w:color w:val="231F20"/>
          <w:spacing w:val="-5"/>
          <w:sz w:val="19"/>
          <w:szCs w:val="19"/>
        </w:rPr>
        <w:t xml:space="preserve">published </w:t>
      </w:r>
      <w:r w:rsidRPr="005A1BF1">
        <w:rPr>
          <w:rFonts w:ascii="Times New Roman" w:hAnsi="Times New Roman" w:cs="Times New Roman"/>
          <w:color w:val="231F20"/>
          <w:spacing w:val="-3"/>
          <w:sz w:val="19"/>
          <w:szCs w:val="19"/>
        </w:rPr>
        <w:t xml:space="preserve">on </w:t>
      </w:r>
      <w:r w:rsidRPr="005A1BF1">
        <w:rPr>
          <w:rFonts w:ascii="Times New Roman" w:hAnsi="Times New Roman" w:cs="Times New Roman"/>
          <w:color w:val="231F20"/>
          <w:spacing w:val="-4"/>
          <w:sz w:val="19"/>
          <w:szCs w:val="19"/>
        </w:rPr>
        <w:t xml:space="preserve">the </w:t>
      </w:r>
      <w:hyperlink r:id="rId19">
        <w:r w:rsidRPr="005A1BF1">
          <w:rPr>
            <w:rFonts w:ascii="Times New Roman" w:hAnsi="Times New Roman" w:cs="Times New Roman"/>
            <w:color w:val="005695"/>
            <w:spacing w:val="-7"/>
            <w:sz w:val="19"/>
            <w:szCs w:val="19"/>
            <w:u w:val="single" w:color="005695"/>
          </w:rPr>
          <w:t xml:space="preserve">Department’s </w:t>
        </w:r>
        <w:r w:rsidRPr="005A1BF1">
          <w:rPr>
            <w:rFonts w:ascii="Times New Roman" w:hAnsi="Times New Roman" w:cs="Times New Roman"/>
            <w:color w:val="005695"/>
            <w:spacing w:val="-5"/>
            <w:sz w:val="19"/>
            <w:szCs w:val="19"/>
            <w:u w:val="single" w:color="005695"/>
          </w:rPr>
          <w:t>website</w:t>
        </w:r>
        <w:r w:rsidRPr="005A1BF1">
          <w:rPr>
            <w:rFonts w:ascii="Times New Roman" w:hAnsi="Times New Roman" w:cs="Times New Roman"/>
            <w:color w:val="005695"/>
            <w:spacing w:val="-5"/>
            <w:sz w:val="19"/>
            <w:szCs w:val="19"/>
          </w:rPr>
          <w:t xml:space="preserve"> </w:t>
        </w:r>
      </w:hyperlink>
      <w:r w:rsidRPr="005A1BF1">
        <w:rPr>
          <w:rFonts w:ascii="Times New Roman" w:hAnsi="Times New Roman" w:cs="Times New Roman"/>
          <w:color w:val="231F20"/>
          <w:spacing w:val="-5"/>
          <w:sz w:val="19"/>
          <w:szCs w:val="19"/>
        </w:rPr>
        <w:t xml:space="preserve">(look </w:t>
      </w:r>
      <w:r w:rsidRPr="005A1BF1">
        <w:rPr>
          <w:rFonts w:ascii="Times New Roman" w:hAnsi="Times New Roman" w:cs="Times New Roman"/>
          <w:color w:val="231F20"/>
          <w:spacing w:val="-4"/>
          <w:sz w:val="19"/>
          <w:szCs w:val="19"/>
        </w:rPr>
        <w:t xml:space="preserve">for </w:t>
      </w:r>
      <w:r w:rsidRPr="005A1BF1">
        <w:rPr>
          <w:rFonts w:ascii="Times New Roman" w:hAnsi="Times New Roman" w:cs="Times New Roman"/>
          <w:color w:val="231F20"/>
          <w:spacing w:val="-6"/>
          <w:sz w:val="19"/>
          <w:szCs w:val="19"/>
        </w:rPr>
        <w:t xml:space="preserve">‘coregulatory arrangements’ </w:t>
      </w:r>
      <w:r w:rsidRPr="005A1BF1">
        <w:rPr>
          <w:rFonts w:ascii="Times New Roman" w:hAnsi="Times New Roman" w:cs="Times New Roman"/>
          <w:color w:val="231F20"/>
          <w:spacing w:val="-3"/>
          <w:sz w:val="19"/>
          <w:szCs w:val="19"/>
        </w:rPr>
        <w:t xml:space="preserve">at </w:t>
      </w:r>
      <w:r w:rsidRPr="005A1BF1">
        <w:rPr>
          <w:rFonts w:ascii="Times New Roman" w:hAnsi="Times New Roman" w:cs="Times New Roman"/>
          <w:color w:val="231F20"/>
          <w:spacing w:val="-6"/>
          <w:sz w:val="19"/>
          <w:szCs w:val="19"/>
        </w:rPr>
        <w:t>environment.gov.au/</w:t>
      </w:r>
      <w:proofErr w:type="spellStart"/>
      <w:r w:rsidRPr="005A1BF1">
        <w:rPr>
          <w:rFonts w:ascii="Times New Roman" w:hAnsi="Times New Roman" w:cs="Times New Roman"/>
          <w:color w:val="231F20"/>
          <w:spacing w:val="-6"/>
          <w:sz w:val="19"/>
          <w:szCs w:val="19"/>
        </w:rPr>
        <w:t>ewaste</w:t>
      </w:r>
      <w:proofErr w:type="spellEnd"/>
      <w:r w:rsidRPr="005A1BF1">
        <w:rPr>
          <w:rFonts w:ascii="Times New Roman" w:hAnsi="Times New Roman" w:cs="Times New Roman"/>
          <w:color w:val="231F20"/>
          <w:spacing w:val="-6"/>
          <w:sz w:val="19"/>
          <w:szCs w:val="19"/>
        </w:rPr>
        <w:t>).</w:t>
      </w:r>
    </w:p>
    <w:p w14:paraId="797DF4B9" w14:textId="77777777" w:rsidR="001D35E4" w:rsidRDefault="001D35E4">
      <w:pPr>
        <w:pStyle w:val="BodyText"/>
        <w:spacing w:before="5"/>
        <w:rPr>
          <w:sz w:val="29"/>
        </w:rPr>
      </w:pPr>
    </w:p>
    <w:p w14:paraId="7022528B" w14:textId="77777777" w:rsidR="001D35E4" w:rsidRDefault="00090523">
      <w:pPr>
        <w:pStyle w:val="Heading2"/>
        <w:spacing w:before="1"/>
        <w:ind w:left="300"/>
      </w:pPr>
      <w:r>
        <w:rPr>
          <w:color w:val="005695"/>
        </w:rPr>
        <w:t>Determining membership fees</w:t>
      </w:r>
    </w:p>
    <w:p w14:paraId="6FC589B7" w14:textId="77777777" w:rsidR="001D35E4" w:rsidRPr="005A1BF1" w:rsidRDefault="00090523">
      <w:pPr>
        <w:pStyle w:val="BodyText"/>
        <w:spacing w:before="195" w:line="280" w:lineRule="auto"/>
        <w:ind w:left="300" w:right="1155"/>
        <w:rPr>
          <w:rFonts w:ascii="Times New Roman" w:hAnsi="Times New Roman" w:cs="Times New Roman"/>
          <w:sz w:val="19"/>
          <w:szCs w:val="19"/>
        </w:rPr>
      </w:pPr>
      <w:r w:rsidRPr="005A1BF1">
        <w:rPr>
          <w:rFonts w:ascii="Times New Roman" w:hAnsi="Times New Roman" w:cs="Times New Roman"/>
          <w:color w:val="231F20"/>
          <w:sz w:val="19"/>
          <w:szCs w:val="19"/>
        </w:rPr>
        <w:t>Membership fees are based on how much liable parties imported in the previous financial year. Exports may also be taken into account when determining membership fees, and may reduce liability.</w:t>
      </w:r>
    </w:p>
    <w:p w14:paraId="08412EFD" w14:textId="77777777" w:rsidR="001D35E4" w:rsidRPr="005A1BF1" w:rsidRDefault="00090523">
      <w:pPr>
        <w:pStyle w:val="BodyText"/>
        <w:spacing w:before="167" w:line="280" w:lineRule="auto"/>
        <w:ind w:left="300" w:right="1119"/>
        <w:rPr>
          <w:rFonts w:ascii="Times New Roman" w:hAnsi="Times New Roman" w:cs="Times New Roman"/>
          <w:sz w:val="19"/>
          <w:szCs w:val="19"/>
        </w:rPr>
      </w:pPr>
      <w:r w:rsidRPr="005A1BF1">
        <w:rPr>
          <w:rFonts w:ascii="Times New Roman" w:hAnsi="Times New Roman" w:cs="Times New Roman"/>
          <w:color w:val="231F20"/>
          <w:sz w:val="19"/>
          <w:szCs w:val="19"/>
        </w:rPr>
        <w:t>Liable parties are required to supply the Statement of Advice summarising their liable imports to the co-regulatory arrangement they join. If liable parties want their exports considered under the scheme, they should also supply details of any televisions and computer products exported in the previous financial year.</w:t>
      </w:r>
    </w:p>
    <w:p w14:paraId="47B45CFA" w14:textId="77777777" w:rsidR="001D35E4" w:rsidRPr="005A1BF1" w:rsidRDefault="00090523">
      <w:pPr>
        <w:pStyle w:val="BodyText"/>
        <w:spacing w:before="165" w:line="280" w:lineRule="auto"/>
        <w:ind w:left="300" w:right="1122"/>
        <w:rPr>
          <w:rFonts w:ascii="Times New Roman" w:hAnsi="Times New Roman" w:cs="Times New Roman"/>
          <w:sz w:val="19"/>
          <w:szCs w:val="19"/>
        </w:rPr>
      </w:pPr>
      <w:r w:rsidRPr="005A1BF1">
        <w:rPr>
          <w:rFonts w:ascii="Times New Roman" w:hAnsi="Times New Roman" w:cs="Times New Roman"/>
          <w:color w:val="231F20"/>
          <w:sz w:val="19"/>
          <w:szCs w:val="19"/>
        </w:rPr>
        <w:t>The deadline for liable parties advising their co-regulatory arrangement about imports and exports is 1 September.</w:t>
      </w:r>
    </w:p>
    <w:p w14:paraId="6D5FBE15" w14:textId="77777777" w:rsidR="001D35E4" w:rsidRDefault="001D35E4">
      <w:pPr>
        <w:spacing w:line="280" w:lineRule="auto"/>
        <w:sectPr w:rsidR="001D35E4" w:rsidSect="00FB0D43">
          <w:headerReference w:type="default" r:id="rId20"/>
          <w:footerReference w:type="default" r:id="rId21"/>
          <w:pgSz w:w="11910" w:h="16840"/>
          <w:pgMar w:top="1276" w:right="0" w:bottom="600" w:left="0" w:header="1176" w:footer="406" w:gutter="0"/>
          <w:cols w:num="2" w:space="720" w:equalWidth="0">
            <w:col w:w="5755" w:space="40"/>
            <w:col w:w="6115"/>
          </w:cols>
        </w:sectPr>
      </w:pPr>
    </w:p>
    <w:p w14:paraId="7761CDE3" w14:textId="77777777" w:rsidR="00FB0D43" w:rsidRPr="00246525" w:rsidRDefault="00FB0D43">
      <w:pPr>
        <w:pStyle w:val="BodyText"/>
        <w:spacing w:before="185"/>
        <w:ind w:left="1133"/>
        <w:rPr>
          <w:rFonts w:ascii="Myriad Pro" w:hAnsi="Myriad Pro"/>
          <w:color w:val="336699"/>
          <w:sz w:val="32"/>
          <w:szCs w:val="32"/>
        </w:rPr>
      </w:pPr>
      <w:r w:rsidRPr="00246525">
        <w:rPr>
          <w:rFonts w:ascii="Myriad Pro" w:hAnsi="Myriad Pro"/>
          <w:color w:val="336699"/>
          <w:sz w:val="32"/>
          <w:szCs w:val="32"/>
        </w:rPr>
        <w:lastRenderedPageBreak/>
        <w:t>Annual milestones for liable parties</w:t>
      </w:r>
    </w:p>
    <w:p w14:paraId="0D0C0E9D" w14:textId="7E248096" w:rsidR="001D35E4" w:rsidRPr="005A1BF1" w:rsidRDefault="00090523">
      <w:pPr>
        <w:pStyle w:val="BodyText"/>
        <w:spacing w:before="185"/>
        <w:ind w:left="1133"/>
        <w:rPr>
          <w:rFonts w:ascii="Times New Roman" w:hAnsi="Times New Roman" w:cs="Times New Roman"/>
          <w:sz w:val="19"/>
          <w:szCs w:val="19"/>
        </w:rPr>
      </w:pPr>
      <w:r w:rsidRPr="005A1BF1">
        <w:rPr>
          <w:rFonts w:ascii="Times New Roman" w:hAnsi="Times New Roman" w:cs="Times New Roman"/>
          <w:color w:val="231F20"/>
          <w:sz w:val="19"/>
          <w:szCs w:val="19"/>
        </w:rPr>
        <w:t>The following table will help liable parties to understand and meet mandatory annual milestones:</w:t>
      </w:r>
    </w:p>
    <w:p w14:paraId="22994E91" w14:textId="77777777" w:rsidR="001D35E4" w:rsidRDefault="001D35E4">
      <w:pPr>
        <w:pStyle w:val="BodyText"/>
        <w:spacing w:before="8"/>
        <w:rPr>
          <w:sz w:val="16"/>
        </w:rPr>
      </w:pPr>
    </w:p>
    <w:tbl>
      <w:tblPr>
        <w:tblW w:w="0" w:type="auto"/>
        <w:tblInd w:w="1133" w:type="dxa"/>
        <w:tblLayout w:type="fixed"/>
        <w:tblCellMar>
          <w:left w:w="0" w:type="dxa"/>
          <w:right w:w="0" w:type="dxa"/>
        </w:tblCellMar>
        <w:tblLook w:val="01E0" w:firstRow="1" w:lastRow="1" w:firstColumn="1" w:lastColumn="1" w:noHBand="0" w:noVBand="0"/>
      </w:tblPr>
      <w:tblGrid>
        <w:gridCol w:w="1488"/>
        <w:gridCol w:w="8149"/>
      </w:tblGrid>
      <w:tr w:rsidR="001D35E4" w14:paraId="744B00F5" w14:textId="77777777">
        <w:trPr>
          <w:trHeight w:val="366"/>
        </w:trPr>
        <w:tc>
          <w:tcPr>
            <w:tcW w:w="1488" w:type="dxa"/>
            <w:shd w:val="clear" w:color="auto" w:fill="005695"/>
          </w:tcPr>
          <w:p w14:paraId="6E67C69F" w14:textId="77777777" w:rsidR="001D35E4" w:rsidRPr="005A1BF1" w:rsidRDefault="00090523">
            <w:pPr>
              <w:pStyle w:val="TableParagraph"/>
              <w:spacing w:before="73"/>
              <w:ind w:left="113"/>
              <w:rPr>
                <w:rFonts w:ascii="Times New Roman" w:hAnsi="Times New Roman" w:cs="Times New Roman"/>
                <w:b/>
                <w:sz w:val="19"/>
                <w:szCs w:val="19"/>
              </w:rPr>
            </w:pPr>
            <w:r w:rsidRPr="005A1BF1">
              <w:rPr>
                <w:rFonts w:ascii="Times New Roman" w:hAnsi="Times New Roman" w:cs="Times New Roman"/>
                <w:b/>
                <w:color w:val="FFFFFF"/>
                <w:sz w:val="19"/>
                <w:szCs w:val="19"/>
              </w:rPr>
              <w:t>Date</w:t>
            </w:r>
          </w:p>
        </w:tc>
        <w:tc>
          <w:tcPr>
            <w:tcW w:w="8149" w:type="dxa"/>
            <w:shd w:val="clear" w:color="auto" w:fill="005695"/>
          </w:tcPr>
          <w:p w14:paraId="1E3BB993" w14:textId="77777777" w:rsidR="001D35E4" w:rsidRPr="005A1BF1" w:rsidRDefault="00090523">
            <w:pPr>
              <w:pStyle w:val="TableParagraph"/>
              <w:spacing w:before="73"/>
              <w:rPr>
                <w:rFonts w:ascii="Times New Roman" w:hAnsi="Times New Roman" w:cs="Times New Roman"/>
                <w:b/>
                <w:sz w:val="19"/>
                <w:szCs w:val="19"/>
              </w:rPr>
            </w:pPr>
            <w:r w:rsidRPr="005A1BF1">
              <w:rPr>
                <w:rFonts w:ascii="Times New Roman" w:hAnsi="Times New Roman" w:cs="Times New Roman"/>
                <w:b/>
                <w:color w:val="FFFFFF"/>
                <w:sz w:val="19"/>
                <w:szCs w:val="19"/>
              </w:rPr>
              <w:t>Action</w:t>
            </w:r>
          </w:p>
        </w:tc>
      </w:tr>
      <w:tr w:rsidR="001D35E4" w14:paraId="0075302D" w14:textId="77777777">
        <w:trPr>
          <w:trHeight w:val="1315"/>
        </w:trPr>
        <w:tc>
          <w:tcPr>
            <w:tcW w:w="1488" w:type="dxa"/>
            <w:tcBorders>
              <w:top w:val="single" w:sz="4" w:space="0" w:color="005695"/>
              <w:bottom w:val="single" w:sz="4" w:space="0" w:color="005695"/>
            </w:tcBorders>
          </w:tcPr>
          <w:p w14:paraId="7C70BEEC" w14:textId="77777777" w:rsidR="001D35E4" w:rsidRPr="005A1BF1" w:rsidRDefault="00090523">
            <w:pPr>
              <w:pStyle w:val="TableParagraph"/>
              <w:ind w:left="113"/>
              <w:rPr>
                <w:rFonts w:ascii="Times New Roman" w:hAnsi="Times New Roman" w:cs="Times New Roman"/>
                <w:sz w:val="19"/>
                <w:szCs w:val="19"/>
              </w:rPr>
            </w:pPr>
            <w:r w:rsidRPr="005A1BF1">
              <w:rPr>
                <w:rFonts w:ascii="Times New Roman" w:hAnsi="Times New Roman" w:cs="Times New Roman"/>
                <w:color w:val="231F20"/>
                <w:sz w:val="19"/>
                <w:szCs w:val="19"/>
              </w:rPr>
              <w:t>Late May</w:t>
            </w:r>
          </w:p>
        </w:tc>
        <w:tc>
          <w:tcPr>
            <w:tcW w:w="8149" w:type="dxa"/>
            <w:tcBorders>
              <w:top w:val="single" w:sz="4" w:space="0" w:color="005695"/>
              <w:bottom w:val="single" w:sz="4" w:space="0" w:color="005695"/>
            </w:tcBorders>
          </w:tcPr>
          <w:p w14:paraId="0C5950C2" w14:textId="77777777" w:rsidR="001D35E4" w:rsidRPr="005A1BF1" w:rsidRDefault="00090523">
            <w:pPr>
              <w:pStyle w:val="TableParagraph"/>
              <w:spacing w:line="280" w:lineRule="auto"/>
              <w:ind w:right="447"/>
              <w:rPr>
                <w:rFonts w:ascii="Times New Roman" w:hAnsi="Times New Roman" w:cs="Times New Roman"/>
                <w:sz w:val="19"/>
                <w:szCs w:val="19"/>
              </w:rPr>
            </w:pPr>
            <w:r w:rsidRPr="005A1BF1">
              <w:rPr>
                <w:rFonts w:ascii="Times New Roman" w:hAnsi="Times New Roman" w:cs="Times New Roman"/>
                <w:color w:val="231F20"/>
                <w:sz w:val="19"/>
                <w:szCs w:val="19"/>
              </w:rPr>
              <w:t xml:space="preserve">Early notification letters are sent to parties identified as likely to be liable based on import data covering the period </w:t>
            </w:r>
            <w:r w:rsidRPr="005A1BF1">
              <w:rPr>
                <w:rFonts w:ascii="Times New Roman" w:hAnsi="Times New Roman" w:cs="Times New Roman"/>
                <w:b/>
                <w:color w:val="231F20"/>
                <w:sz w:val="19"/>
                <w:szCs w:val="19"/>
              </w:rPr>
              <w:t>1 July to 30 April</w:t>
            </w:r>
            <w:r w:rsidRPr="005A1BF1">
              <w:rPr>
                <w:rFonts w:ascii="Times New Roman" w:hAnsi="Times New Roman" w:cs="Times New Roman"/>
                <w:color w:val="231F20"/>
                <w:sz w:val="19"/>
                <w:szCs w:val="19"/>
              </w:rPr>
              <w:t>.</w:t>
            </w:r>
          </w:p>
          <w:p w14:paraId="597BE10A" w14:textId="77777777" w:rsidR="001D35E4" w:rsidRPr="005A1BF1" w:rsidRDefault="00090523">
            <w:pPr>
              <w:pStyle w:val="TableParagraph"/>
              <w:spacing w:before="72" w:line="280" w:lineRule="atLeast"/>
              <w:rPr>
                <w:rFonts w:ascii="Times New Roman" w:hAnsi="Times New Roman" w:cs="Times New Roman"/>
                <w:sz w:val="19"/>
                <w:szCs w:val="19"/>
              </w:rPr>
            </w:pPr>
            <w:r w:rsidRPr="005A1BF1">
              <w:rPr>
                <w:rFonts w:ascii="Times New Roman" w:hAnsi="Times New Roman" w:cs="Times New Roman"/>
                <w:color w:val="231F20"/>
                <w:sz w:val="19"/>
                <w:szCs w:val="19"/>
              </w:rPr>
              <w:t>The purpose of these letters is to alert importers to the likelihood that they are liable so that they can consider entering into an agreement with an approved co-regulatory arrangement.</w:t>
            </w:r>
          </w:p>
        </w:tc>
      </w:tr>
      <w:tr w:rsidR="001D35E4" w14:paraId="1572861B" w14:textId="77777777">
        <w:trPr>
          <w:trHeight w:val="3108"/>
        </w:trPr>
        <w:tc>
          <w:tcPr>
            <w:tcW w:w="1488" w:type="dxa"/>
            <w:tcBorders>
              <w:top w:val="single" w:sz="4" w:space="0" w:color="005695"/>
              <w:bottom w:val="single" w:sz="4" w:space="0" w:color="005695"/>
            </w:tcBorders>
          </w:tcPr>
          <w:p w14:paraId="2AC5E546" w14:textId="77777777" w:rsidR="001D35E4" w:rsidRPr="005A1BF1" w:rsidRDefault="00090523">
            <w:pPr>
              <w:pStyle w:val="TableParagraph"/>
              <w:ind w:left="113"/>
              <w:rPr>
                <w:rFonts w:ascii="Times New Roman" w:hAnsi="Times New Roman" w:cs="Times New Roman"/>
                <w:sz w:val="19"/>
                <w:szCs w:val="19"/>
              </w:rPr>
            </w:pPr>
            <w:r w:rsidRPr="005A1BF1">
              <w:rPr>
                <w:rFonts w:ascii="Times New Roman" w:hAnsi="Times New Roman" w:cs="Times New Roman"/>
                <w:color w:val="231F20"/>
                <w:sz w:val="19"/>
                <w:szCs w:val="19"/>
              </w:rPr>
              <w:t>Late July</w:t>
            </w:r>
          </w:p>
        </w:tc>
        <w:tc>
          <w:tcPr>
            <w:tcW w:w="8149" w:type="dxa"/>
            <w:tcBorders>
              <w:top w:val="single" w:sz="4" w:space="0" w:color="005695"/>
              <w:bottom w:val="single" w:sz="4" w:space="0" w:color="005695"/>
            </w:tcBorders>
          </w:tcPr>
          <w:p w14:paraId="04F96761" w14:textId="77777777" w:rsidR="001D35E4" w:rsidRPr="005A1BF1" w:rsidRDefault="00090523">
            <w:pPr>
              <w:pStyle w:val="TableParagraph"/>
              <w:spacing w:line="280" w:lineRule="auto"/>
              <w:ind w:right="155"/>
              <w:rPr>
                <w:rFonts w:ascii="Times New Roman" w:hAnsi="Times New Roman" w:cs="Times New Roman"/>
                <w:sz w:val="19"/>
                <w:szCs w:val="19"/>
              </w:rPr>
            </w:pPr>
            <w:r w:rsidRPr="005A1BF1">
              <w:rPr>
                <w:rFonts w:ascii="Times New Roman" w:hAnsi="Times New Roman" w:cs="Times New Roman"/>
                <w:color w:val="231F20"/>
                <w:sz w:val="19"/>
                <w:szCs w:val="19"/>
              </w:rPr>
              <w:t>Letters are sent to importers identified as liable based on their imports in the previous financial year (1</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July</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to</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30</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June).</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These</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letters</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will</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include</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a</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detailed</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Statement</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of</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Advice</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summarising</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the</w:t>
            </w:r>
            <w:r w:rsidRPr="005A1BF1">
              <w:rPr>
                <w:rFonts w:ascii="Times New Roman" w:hAnsi="Times New Roman" w:cs="Times New Roman"/>
                <w:color w:val="231F20"/>
                <w:spacing w:val="-3"/>
                <w:sz w:val="19"/>
                <w:szCs w:val="19"/>
              </w:rPr>
              <w:t xml:space="preserve"> </w:t>
            </w:r>
            <w:r w:rsidRPr="005A1BF1">
              <w:rPr>
                <w:rFonts w:ascii="Times New Roman" w:hAnsi="Times New Roman" w:cs="Times New Roman"/>
                <w:color w:val="231F20"/>
                <w:sz w:val="19"/>
                <w:szCs w:val="19"/>
              </w:rPr>
              <w:t xml:space="preserve">imports on which the assessment was based and a notice under section 18 of the </w:t>
            </w:r>
            <w:r w:rsidRPr="005A1BF1">
              <w:rPr>
                <w:rFonts w:ascii="Times New Roman" w:hAnsi="Times New Roman" w:cs="Times New Roman"/>
                <w:i/>
                <w:color w:val="231F20"/>
                <w:sz w:val="19"/>
                <w:szCs w:val="19"/>
              </w:rPr>
              <w:t xml:space="preserve">Product Stewardship Act 2011 </w:t>
            </w:r>
            <w:r w:rsidRPr="005A1BF1">
              <w:rPr>
                <w:rFonts w:ascii="Times New Roman" w:hAnsi="Times New Roman" w:cs="Times New Roman"/>
                <w:color w:val="231F20"/>
                <w:sz w:val="19"/>
                <w:szCs w:val="19"/>
              </w:rPr>
              <w:t>requiring the organisation to become a member of an approved co-regulatory arrangement</w:t>
            </w:r>
            <w:r w:rsidRPr="005A1BF1">
              <w:rPr>
                <w:rFonts w:ascii="Times New Roman" w:hAnsi="Times New Roman" w:cs="Times New Roman"/>
                <w:color w:val="231F20"/>
                <w:spacing w:val="-9"/>
                <w:sz w:val="19"/>
                <w:szCs w:val="19"/>
              </w:rPr>
              <w:t xml:space="preserve"> </w:t>
            </w:r>
            <w:r w:rsidRPr="005A1BF1">
              <w:rPr>
                <w:rFonts w:ascii="Times New Roman" w:hAnsi="Times New Roman" w:cs="Times New Roman"/>
                <w:color w:val="231F20"/>
                <w:sz w:val="19"/>
                <w:szCs w:val="19"/>
              </w:rPr>
              <w:t>by</w:t>
            </w:r>
          </w:p>
          <w:p w14:paraId="6EFFB503" w14:textId="77777777" w:rsidR="001D35E4" w:rsidRPr="005A1BF1" w:rsidRDefault="00090523">
            <w:pPr>
              <w:pStyle w:val="TableParagraph"/>
              <w:spacing w:before="0" w:line="237" w:lineRule="exact"/>
              <w:rPr>
                <w:rFonts w:ascii="Times New Roman" w:hAnsi="Times New Roman" w:cs="Times New Roman"/>
                <w:sz w:val="19"/>
                <w:szCs w:val="19"/>
              </w:rPr>
            </w:pPr>
            <w:r w:rsidRPr="005A1BF1">
              <w:rPr>
                <w:rFonts w:ascii="Times New Roman" w:hAnsi="Times New Roman" w:cs="Times New Roman"/>
                <w:b/>
                <w:color w:val="231F20"/>
                <w:sz w:val="19"/>
                <w:szCs w:val="19"/>
              </w:rPr>
              <w:t>1 September</w:t>
            </w:r>
            <w:r w:rsidRPr="005A1BF1">
              <w:rPr>
                <w:rFonts w:ascii="Times New Roman" w:hAnsi="Times New Roman" w:cs="Times New Roman"/>
                <w:color w:val="231F20"/>
                <w:sz w:val="19"/>
                <w:szCs w:val="19"/>
              </w:rPr>
              <w:t>.</w:t>
            </w:r>
          </w:p>
          <w:p w14:paraId="62D02232" w14:textId="77777777" w:rsidR="001D35E4" w:rsidRPr="005A1BF1" w:rsidRDefault="00090523">
            <w:pPr>
              <w:pStyle w:val="TableParagraph"/>
              <w:spacing w:before="154" w:line="280" w:lineRule="auto"/>
              <w:ind w:right="447"/>
              <w:rPr>
                <w:rFonts w:ascii="Times New Roman" w:hAnsi="Times New Roman" w:cs="Times New Roman"/>
                <w:sz w:val="19"/>
                <w:szCs w:val="19"/>
              </w:rPr>
            </w:pPr>
            <w:r w:rsidRPr="005A1BF1">
              <w:rPr>
                <w:rFonts w:ascii="Times New Roman" w:hAnsi="Times New Roman" w:cs="Times New Roman"/>
                <w:color w:val="231F20"/>
                <w:sz w:val="19"/>
                <w:szCs w:val="19"/>
              </w:rPr>
              <w:t xml:space="preserve">Liable parties should check the data in the Statements of Advice for errors and advise the Department of Home Affairs through their customs broker or freight forwarder of any necessary amendments by </w:t>
            </w:r>
            <w:r w:rsidRPr="005A1BF1">
              <w:rPr>
                <w:rFonts w:ascii="Times New Roman" w:hAnsi="Times New Roman" w:cs="Times New Roman"/>
                <w:b/>
                <w:color w:val="231F20"/>
                <w:sz w:val="19"/>
                <w:szCs w:val="19"/>
              </w:rPr>
              <w:t>31 October</w:t>
            </w:r>
            <w:r w:rsidRPr="005A1BF1">
              <w:rPr>
                <w:rFonts w:ascii="Times New Roman" w:hAnsi="Times New Roman" w:cs="Times New Roman"/>
                <w:color w:val="231F20"/>
                <w:sz w:val="19"/>
                <w:szCs w:val="19"/>
              </w:rPr>
              <w:t>.</w:t>
            </w:r>
          </w:p>
          <w:p w14:paraId="65BCC230" w14:textId="77777777" w:rsidR="001D35E4" w:rsidRPr="005A1BF1" w:rsidRDefault="00090523">
            <w:pPr>
              <w:pStyle w:val="TableParagraph"/>
              <w:spacing w:before="71" w:line="280" w:lineRule="atLeast"/>
              <w:rPr>
                <w:rFonts w:ascii="Times New Roman" w:hAnsi="Times New Roman" w:cs="Times New Roman"/>
                <w:sz w:val="19"/>
                <w:szCs w:val="19"/>
              </w:rPr>
            </w:pPr>
            <w:r w:rsidRPr="005A1BF1">
              <w:rPr>
                <w:rFonts w:ascii="Times New Roman" w:hAnsi="Times New Roman" w:cs="Times New Roman"/>
                <w:color w:val="231F20"/>
                <w:sz w:val="19"/>
                <w:szCs w:val="19"/>
              </w:rPr>
              <w:t xml:space="preserve">Any applications for exemption from the scheme must be supplied in writing to the Department between </w:t>
            </w:r>
            <w:r w:rsidRPr="005A1BF1">
              <w:rPr>
                <w:rFonts w:ascii="Times New Roman" w:hAnsi="Times New Roman" w:cs="Times New Roman"/>
                <w:b/>
                <w:color w:val="231F20"/>
                <w:sz w:val="19"/>
                <w:szCs w:val="19"/>
              </w:rPr>
              <w:t>late July and 1 September</w:t>
            </w:r>
            <w:r w:rsidRPr="005A1BF1">
              <w:rPr>
                <w:rFonts w:ascii="Times New Roman" w:hAnsi="Times New Roman" w:cs="Times New Roman"/>
                <w:color w:val="231F20"/>
                <w:sz w:val="19"/>
                <w:szCs w:val="19"/>
              </w:rPr>
              <w:t>.</w:t>
            </w:r>
          </w:p>
        </w:tc>
      </w:tr>
      <w:tr w:rsidR="001D35E4" w14:paraId="0BE85BB6" w14:textId="77777777">
        <w:trPr>
          <w:trHeight w:val="3108"/>
        </w:trPr>
        <w:tc>
          <w:tcPr>
            <w:tcW w:w="1488" w:type="dxa"/>
            <w:tcBorders>
              <w:top w:val="single" w:sz="4" w:space="0" w:color="005695"/>
              <w:bottom w:val="single" w:sz="4" w:space="0" w:color="005695"/>
            </w:tcBorders>
          </w:tcPr>
          <w:p w14:paraId="658F650A" w14:textId="77777777" w:rsidR="001D35E4" w:rsidRPr="005A1BF1" w:rsidRDefault="00090523">
            <w:pPr>
              <w:pStyle w:val="TableParagraph"/>
              <w:ind w:left="113"/>
              <w:rPr>
                <w:rFonts w:ascii="Times New Roman" w:hAnsi="Times New Roman" w:cs="Times New Roman"/>
                <w:sz w:val="19"/>
                <w:szCs w:val="19"/>
              </w:rPr>
            </w:pPr>
            <w:r w:rsidRPr="005A1BF1">
              <w:rPr>
                <w:rFonts w:ascii="Times New Roman" w:hAnsi="Times New Roman" w:cs="Times New Roman"/>
                <w:color w:val="231F20"/>
                <w:sz w:val="19"/>
                <w:szCs w:val="19"/>
              </w:rPr>
              <w:t>1 September</w:t>
            </w:r>
          </w:p>
        </w:tc>
        <w:tc>
          <w:tcPr>
            <w:tcW w:w="8149" w:type="dxa"/>
            <w:tcBorders>
              <w:top w:val="single" w:sz="4" w:space="0" w:color="005695"/>
              <w:bottom w:val="single" w:sz="4" w:space="0" w:color="005695"/>
            </w:tcBorders>
          </w:tcPr>
          <w:p w14:paraId="4924296B" w14:textId="77777777" w:rsidR="001D35E4" w:rsidRPr="005A1BF1" w:rsidRDefault="00090523">
            <w:pPr>
              <w:pStyle w:val="TableParagraph"/>
              <w:spacing w:line="280" w:lineRule="auto"/>
              <w:ind w:right="143"/>
              <w:rPr>
                <w:rFonts w:ascii="Times New Roman" w:hAnsi="Times New Roman" w:cs="Times New Roman"/>
                <w:sz w:val="19"/>
                <w:szCs w:val="19"/>
              </w:rPr>
            </w:pPr>
            <w:r w:rsidRPr="005A1BF1">
              <w:rPr>
                <w:rFonts w:ascii="Times New Roman" w:hAnsi="Times New Roman" w:cs="Times New Roman"/>
                <w:color w:val="231F20"/>
                <w:sz w:val="19"/>
                <w:szCs w:val="19"/>
              </w:rPr>
              <w:t>Liable parties must join a co-regulatory arrangement and supply their import summary to their chosen arrangement by this date. A liable party that hasn’t met its obligation to become a member of a co-regulatory arrangement may be subject to substantial civil penalties. These penalties increase for every day that the liable party remains non-compliant.</w:t>
            </w:r>
          </w:p>
          <w:p w14:paraId="0B55C039" w14:textId="77777777" w:rsidR="001D35E4" w:rsidRPr="005A1BF1" w:rsidRDefault="00090523">
            <w:pPr>
              <w:pStyle w:val="TableParagraph"/>
              <w:spacing w:before="110" w:line="280" w:lineRule="auto"/>
              <w:rPr>
                <w:rFonts w:ascii="Times New Roman" w:hAnsi="Times New Roman" w:cs="Times New Roman"/>
                <w:sz w:val="19"/>
                <w:szCs w:val="19"/>
              </w:rPr>
            </w:pPr>
            <w:r w:rsidRPr="005A1BF1">
              <w:rPr>
                <w:rFonts w:ascii="Times New Roman" w:hAnsi="Times New Roman" w:cs="Times New Roman"/>
                <w:color w:val="231F20"/>
                <w:sz w:val="19"/>
                <w:szCs w:val="19"/>
              </w:rPr>
              <w:t>If a liable party leaves a co-regulatory arrangement during a financial year, it must join another arrangement in that financial year. A liable party that has not met its obligation to be a member of an approved co-regulatory arrangement remains liable in the following year.</w:t>
            </w:r>
          </w:p>
          <w:p w14:paraId="73BBEFB8" w14:textId="77777777" w:rsidR="001D35E4" w:rsidRPr="005A1BF1" w:rsidRDefault="00090523">
            <w:pPr>
              <w:pStyle w:val="TableParagraph"/>
              <w:spacing w:before="71" w:line="280" w:lineRule="atLeast"/>
              <w:ind w:right="447"/>
              <w:rPr>
                <w:rFonts w:ascii="Times New Roman" w:hAnsi="Times New Roman" w:cs="Times New Roman"/>
                <w:sz w:val="19"/>
                <w:szCs w:val="19"/>
              </w:rPr>
            </w:pPr>
            <w:r w:rsidRPr="005A1BF1">
              <w:rPr>
                <w:rFonts w:ascii="Times New Roman" w:hAnsi="Times New Roman" w:cs="Times New Roman"/>
                <w:color w:val="231F20"/>
                <w:sz w:val="19"/>
                <w:szCs w:val="19"/>
              </w:rPr>
              <w:t>Liable parties should provide their co-regulatory arrangement with details of their exports as soon as they can. A co-regulatory arrangement may take a liable party’s exports into account when determining their membership fee.</w:t>
            </w:r>
          </w:p>
        </w:tc>
      </w:tr>
      <w:tr w:rsidR="001D35E4" w14:paraId="7477C7BE" w14:textId="77777777">
        <w:trPr>
          <w:trHeight w:val="641"/>
        </w:trPr>
        <w:tc>
          <w:tcPr>
            <w:tcW w:w="1488" w:type="dxa"/>
            <w:tcBorders>
              <w:top w:val="single" w:sz="4" w:space="0" w:color="005695"/>
              <w:bottom w:val="single" w:sz="4" w:space="0" w:color="005695"/>
            </w:tcBorders>
          </w:tcPr>
          <w:p w14:paraId="6C12FDF3" w14:textId="77777777" w:rsidR="001D35E4" w:rsidRPr="005A1BF1" w:rsidRDefault="00090523">
            <w:pPr>
              <w:pStyle w:val="TableParagraph"/>
              <w:ind w:left="113"/>
              <w:rPr>
                <w:rFonts w:ascii="Times New Roman" w:hAnsi="Times New Roman" w:cs="Times New Roman"/>
                <w:sz w:val="19"/>
                <w:szCs w:val="19"/>
              </w:rPr>
            </w:pPr>
            <w:r w:rsidRPr="005A1BF1">
              <w:rPr>
                <w:rFonts w:ascii="Times New Roman" w:hAnsi="Times New Roman" w:cs="Times New Roman"/>
                <w:color w:val="231F20"/>
                <w:sz w:val="19"/>
                <w:szCs w:val="19"/>
              </w:rPr>
              <w:t>8 September</w:t>
            </w:r>
          </w:p>
        </w:tc>
        <w:tc>
          <w:tcPr>
            <w:tcW w:w="8149" w:type="dxa"/>
            <w:tcBorders>
              <w:top w:val="single" w:sz="4" w:space="0" w:color="005695"/>
              <w:bottom w:val="single" w:sz="4" w:space="0" w:color="005695"/>
            </w:tcBorders>
          </w:tcPr>
          <w:p w14:paraId="2FA55342" w14:textId="77777777" w:rsidR="001D35E4" w:rsidRPr="005A1BF1" w:rsidRDefault="00090523">
            <w:pPr>
              <w:pStyle w:val="TableParagraph"/>
              <w:spacing w:before="28" w:line="280" w:lineRule="atLeast"/>
              <w:ind w:right="409"/>
              <w:rPr>
                <w:rFonts w:ascii="Times New Roman" w:hAnsi="Times New Roman" w:cs="Times New Roman"/>
                <w:sz w:val="19"/>
                <w:szCs w:val="19"/>
              </w:rPr>
            </w:pPr>
            <w:r w:rsidRPr="005A1BF1">
              <w:rPr>
                <w:rFonts w:ascii="Times New Roman" w:hAnsi="Times New Roman" w:cs="Times New Roman"/>
                <w:color w:val="231F20"/>
                <w:sz w:val="19"/>
                <w:szCs w:val="19"/>
              </w:rPr>
              <w:t>Co-regulatory arrangements are required to provide their membership lists to the Department. Non-members can then expect follow up contact from the Department to encourage compliance.</w:t>
            </w:r>
          </w:p>
        </w:tc>
      </w:tr>
      <w:tr w:rsidR="001D35E4" w14:paraId="1F133EF1" w14:textId="77777777">
        <w:trPr>
          <w:trHeight w:val="2268"/>
        </w:trPr>
        <w:tc>
          <w:tcPr>
            <w:tcW w:w="1488" w:type="dxa"/>
            <w:tcBorders>
              <w:top w:val="single" w:sz="4" w:space="0" w:color="005695"/>
              <w:bottom w:val="single" w:sz="4" w:space="0" w:color="005695"/>
            </w:tcBorders>
          </w:tcPr>
          <w:p w14:paraId="3236A9C7" w14:textId="77777777" w:rsidR="001D35E4" w:rsidRPr="005A1BF1" w:rsidRDefault="00090523">
            <w:pPr>
              <w:pStyle w:val="TableParagraph"/>
              <w:ind w:left="113"/>
              <w:rPr>
                <w:rFonts w:ascii="Times New Roman" w:hAnsi="Times New Roman" w:cs="Times New Roman"/>
                <w:sz w:val="19"/>
                <w:szCs w:val="19"/>
              </w:rPr>
            </w:pPr>
            <w:r w:rsidRPr="005A1BF1">
              <w:rPr>
                <w:rFonts w:ascii="Times New Roman" w:hAnsi="Times New Roman" w:cs="Times New Roman"/>
                <w:color w:val="231F20"/>
                <w:sz w:val="19"/>
                <w:szCs w:val="19"/>
              </w:rPr>
              <w:t>15 September</w:t>
            </w:r>
          </w:p>
        </w:tc>
        <w:tc>
          <w:tcPr>
            <w:tcW w:w="8149" w:type="dxa"/>
            <w:tcBorders>
              <w:top w:val="single" w:sz="4" w:space="0" w:color="005695"/>
              <w:bottom w:val="single" w:sz="4" w:space="0" w:color="005695"/>
            </w:tcBorders>
          </w:tcPr>
          <w:p w14:paraId="761C048B" w14:textId="77777777" w:rsidR="001D35E4" w:rsidRPr="005A1BF1" w:rsidRDefault="00090523">
            <w:pPr>
              <w:pStyle w:val="TableParagraph"/>
              <w:spacing w:line="280" w:lineRule="auto"/>
              <w:rPr>
                <w:rFonts w:ascii="Times New Roman" w:hAnsi="Times New Roman" w:cs="Times New Roman"/>
                <w:sz w:val="19"/>
                <w:szCs w:val="19"/>
              </w:rPr>
            </w:pPr>
            <w:r w:rsidRPr="005A1BF1">
              <w:rPr>
                <w:rFonts w:ascii="Times New Roman" w:hAnsi="Times New Roman" w:cs="Times New Roman"/>
                <w:color w:val="231F20"/>
                <w:sz w:val="19"/>
                <w:szCs w:val="19"/>
              </w:rPr>
              <w:t>Co-regulatory arrangements are required to provide their audited export report to the Department on behalf of their members by this date.</w:t>
            </w:r>
          </w:p>
          <w:p w14:paraId="2BE72CC0" w14:textId="77777777" w:rsidR="001D35E4" w:rsidRPr="005A1BF1" w:rsidRDefault="00090523">
            <w:pPr>
              <w:pStyle w:val="TableParagraph"/>
              <w:spacing w:before="101" w:line="280" w:lineRule="auto"/>
              <w:ind w:right="447"/>
              <w:rPr>
                <w:rFonts w:ascii="Times New Roman" w:hAnsi="Times New Roman" w:cs="Times New Roman"/>
                <w:sz w:val="19"/>
                <w:szCs w:val="19"/>
              </w:rPr>
            </w:pPr>
            <w:r w:rsidRPr="005A1BF1">
              <w:rPr>
                <w:rFonts w:ascii="Times New Roman" w:hAnsi="Times New Roman" w:cs="Times New Roman"/>
                <w:color w:val="231F20"/>
                <w:sz w:val="19"/>
                <w:szCs w:val="19"/>
              </w:rPr>
              <w:t xml:space="preserve">A liable party must be a member of a co-regulatory arrangement before </w:t>
            </w:r>
            <w:r w:rsidRPr="005A1BF1">
              <w:rPr>
                <w:rFonts w:ascii="Times New Roman" w:hAnsi="Times New Roman" w:cs="Times New Roman"/>
                <w:b/>
                <w:color w:val="231F20"/>
                <w:sz w:val="19"/>
                <w:szCs w:val="19"/>
              </w:rPr>
              <w:t xml:space="preserve">15 September </w:t>
            </w:r>
            <w:r w:rsidRPr="005A1BF1">
              <w:rPr>
                <w:rFonts w:ascii="Times New Roman" w:hAnsi="Times New Roman" w:cs="Times New Roman"/>
                <w:color w:val="231F20"/>
                <w:sz w:val="19"/>
                <w:szCs w:val="19"/>
              </w:rPr>
              <w:t xml:space="preserve">and </w:t>
            </w:r>
            <w:r w:rsidRPr="005A1BF1">
              <w:rPr>
                <w:rFonts w:ascii="Times New Roman" w:hAnsi="Times New Roman" w:cs="Times New Roman"/>
                <w:sz w:val="19"/>
                <w:szCs w:val="19"/>
              </w:rPr>
              <w:t xml:space="preserve">have </w:t>
            </w:r>
            <w:r w:rsidRPr="005A1BF1">
              <w:rPr>
                <w:rFonts w:ascii="Times New Roman" w:hAnsi="Times New Roman" w:cs="Times New Roman"/>
                <w:color w:val="231F20"/>
                <w:sz w:val="19"/>
                <w:szCs w:val="19"/>
              </w:rPr>
              <w:t>exported television or computer products in the previous financial year for these products to be counted under the scheme.</w:t>
            </w:r>
          </w:p>
          <w:p w14:paraId="5EAC9D16" w14:textId="77777777" w:rsidR="001D35E4" w:rsidRPr="005A1BF1" w:rsidRDefault="00090523">
            <w:pPr>
              <w:pStyle w:val="TableParagraph"/>
              <w:spacing w:before="111" w:line="280" w:lineRule="auto"/>
              <w:ind w:right="417"/>
              <w:rPr>
                <w:rFonts w:ascii="Times New Roman" w:hAnsi="Times New Roman" w:cs="Times New Roman"/>
                <w:sz w:val="19"/>
                <w:szCs w:val="19"/>
              </w:rPr>
            </w:pPr>
            <w:r w:rsidRPr="005A1BF1">
              <w:rPr>
                <w:rFonts w:ascii="Times New Roman" w:hAnsi="Times New Roman" w:cs="Times New Roman"/>
                <w:color w:val="231F20"/>
                <w:sz w:val="19"/>
                <w:szCs w:val="19"/>
              </w:rPr>
              <w:t>Liable parties must submit their export data to their co-regulatory arrangement—the Department cannot accept export data from liable parties.</w:t>
            </w:r>
          </w:p>
        </w:tc>
      </w:tr>
      <w:tr w:rsidR="001D35E4" w14:paraId="48C9E95B" w14:textId="77777777">
        <w:trPr>
          <w:trHeight w:val="921"/>
        </w:trPr>
        <w:tc>
          <w:tcPr>
            <w:tcW w:w="1488" w:type="dxa"/>
            <w:tcBorders>
              <w:top w:val="single" w:sz="4" w:space="0" w:color="005695"/>
              <w:bottom w:val="single" w:sz="4" w:space="0" w:color="005695"/>
            </w:tcBorders>
          </w:tcPr>
          <w:p w14:paraId="4062773F" w14:textId="77777777" w:rsidR="001D35E4" w:rsidRPr="005A1BF1" w:rsidRDefault="00090523">
            <w:pPr>
              <w:pStyle w:val="TableParagraph"/>
              <w:ind w:left="113"/>
              <w:rPr>
                <w:rFonts w:ascii="Times New Roman" w:hAnsi="Times New Roman" w:cs="Times New Roman"/>
                <w:sz w:val="19"/>
                <w:szCs w:val="19"/>
              </w:rPr>
            </w:pPr>
            <w:r w:rsidRPr="005A1BF1">
              <w:rPr>
                <w:rFonts w:ascii="Times New Roman" w:hAnsi="Times New Roman" w:cs="Times New Roman"/>
                <w:color w:val="231F20"/>
                <w:sz w:val="19"/>
                <w:szCs w:val="19"/>
              </w:rPr>
              <w:t>31 October</w:t>
            </w:r>
          </w:p>
        </w:tc>
        <w:tc>
          <w:tcPr>
            <w:tcW w:w="8149" w:type="dxa"/>
            <w:tcBorders>
              <w:top w:val="single" w:sz="4" w:space="0" w:color="005695"/>
              <w:bottom w:val="single" w:sz="4" w:space="0" w:color="005695"/>
            </w:tcBorders>
          </w:tcPr>
          <w:p w14:paraId="1C85819B" w14:textId="77777777" w:rsidR="001D35E4" w:rsidRPr="005A1BF1" w:rsidRDefault="00090523">
            <w:pPr>
              <w:pStyle w:val="TableParagraph"/>
              <w:spacing w:before="28" w:line="280" w:lineRule="atLeast"/>
              <w:rPr>
                <w:rFonts w:ascii="Times New Roman" w:hAnsi="Times New Roman" w:cs="Times New Roman"/>
                <w:sz w:val="19"/>
                <w:szCs w:val="19"/>
              </w:rPr>
            </w:pPr>
            <w:r w:rsidRPr="005A1BF1">
              <w:rPr>
                <w:rFonts w:ascii="Times New Roman" w:hAnsi="Times New Roman" w:cs="Times New Roman"/>
                <w:color w:val="231F20"/>
                <w:sz w:val="19"/>
                <w:szCs w:val="19"/>
              </w:rPr>
              <w:t>Changes to the Department of Home Affairs data after this date will not be taken into account in the assessment of a corporation’s liability, except where the amount of goods for which the party is liable has increased as a result of the changes.</w:t>
            </w:r>
          </w:p>
        </w:tc>
      </w:tr>
      <w:tr w:rsidR="001D35E4" w14:paraId="39D60C41" w14:textId="77777777">
        <w:trPr>
          <w:trHeight w:val="1201"/>
        </w:trPr>
        <w:tc>
          <w:tcPr>
            <w:tcW w:w="1488" w:type="dxa"/>
            <w:tcBorders>
              <w:top w:val="single" w:sz="4" w:space="0" w:color="005695"/>
              <w:bottom w:val="single" w:sz="4" w:space="0" w:color="005695"/>
            </w:tcBorders>
          </w:tcPr>
          <w:p w14:paraId="050A1DEE" w14:textId="77777777" w:rsidR="001D35E4" w:rsidRPr="005A1BF1" w:rsidRDefault="00090523">
            <w:pPr>
              <w:pStyle w:val="TableParagraph"/>
              <w:ind w:left="113"/>
              <w:rPr>
                <w:rFonts w:ascii="Times New Roman" w:hAnsi="Times New Roman" w:cs="Times New Roman"/>
                <w:sz w:val="19"/>
                <w:szCs w:val="19"/>
              </w:rPr>
            </w:pPr>
            <w:r w:rsidRPr="005A1BF1">
              <w:rPr>
                <w:rFonts w:ascii="Times New Roman" w:hAnsi="Times New Roman" w:cs="Times New Roman"/>
                <w:color w:val="231F20"/>
                <w:sz w:val="19"/>
                <w:szCs w:val="19"/>
              </w:rPr>
              <w:t>Mid November</w:t>
            </w:r>
          </w:p>
        </w:tc>
        <w:tc>
          <w:tcPr>
            <w:tcW w:w="8149" w:type="dxa"/>
            <w:tcBorders>
              <w:top w:val="single" w:sz="4" w:space="0" w:color="005695"/>
              <w:bottom w:val="single" w:sz="4" w:space="0" w:color="005695"/>
            </w:tcBorders>
          </w:tcPr>
          <w:p w14:paraId="702AED14" w14:textId="77777777" w:rsidR="001D35E4" w:rsidRPr="00C162B8" w:rsidRDefault="00090523">
            <w:pPr>
              <w:pStyle w:val="TableParagraph"/>
              <w:spacing w:before="28" w:line="280" w:lineRule="atLeast"/>
              <w:ind w:right="145"/>
              <w:rPr>
                <w:rFonts w:ascii="Times New Roman" w:hAnsi="Times New Roman" w:cs="Times New Roman"/>
                <w:color w:val="595959" w:themeColor="text1" w:themeTint="A6"/>
                <w:sz w:val="19"/>
                <w:szCs w:val="19"/>
              </w:rPr>
            </w:pPr>
            <w:r w:rsidRPr="00C162B8">
              <w:rPr>
                <w:rFonts w:ascii="Times New Roman" w:hAnsi="Times New Roman" w:cs="Times New Roman"/>
                <w:color w:val="595959" w:themeColor="text1" w:themeTint="A6"/>
                <w:sz w:val="19"/>
                <w:szCs w:val="19"/>
              </w:rPr>
              <w:t>Updated Statements of Advice will be provided to those liable parties that have amended their</w:t>
            </w:r>
            <w:r w:rsidRPr="00C162B8">
              <w:rPr>
                <w:rFonts w:ascii="Times New Roman" w:hAnsi="Times New Roman" w:cs="Times New Roman"/>
                <w:color w:val="595959" w:themeColor="text1" w:themeTint="A6"/>
                <w:spacing w:val="-20"/>
                <w:sz w:val="19"/>
                <w:szCs w:val="19"/>
              </w:rPr>
              <w:t xml:space="preserve"> </w:t>
            </w:r>
            <w:r w:rsidRPr="00C162B8">
              <w:rPr>
                <w:rFonts w:ascii="Times New Roman" w:hAnsi="Times New Roman" w:cs="Times New Roman"/>
                <w:color w:val="595959" w:themeColor="text1" w:themeTint="A6"/>
                <w:sz w:val="19"/>
                <w:szCs w:val="19"/>
              </w:rPr>
              <w:t xml:space="preserve">import declarations with the Department of Home Affairs. These revised Statements should be provided to the liable </w:t>
            </w:r>
            <w:r w:rsidRPr="00C162B8">
              <w:rPr>
                <w:rFonts w:ascii="Times New Roman" w:hAnsi="Times New Roman" w:cs="Times New Roman"/>
                <w:color w:val="595959" w:themeColor="text1" w:themeTint="A6"/>
                <w:spacing w:val="-4"/>
                <w:sz w:val="19"/>
                <w:szCs w:val="19"/>
              </w:rPr>
              <w:t xml:space="preserve">party’s </w:t>
            </w:r>
            <w:r w:rsidRPr="00C162B8">
              <w:rPr>
                <w:rFonts w:ascii="Times New Roman" w:hAnsi="Times New Roman" w:cs="Times New Roman"/>
                <w:color w:val="595959" w:themeColor="text1" w:themeTint="A6"/>
                <w:sz w:val="19"/>
                <w:szCs w:val="19"/>
              </w:rPr>
              <w:t>co-regulatory arrangement to signal a change in the amount of products imported by</w:t>
            </w:r>
            <w:r w:rsidRPr="00C162B8">
              <w:rPr>
                <w:rFonts w:ascii="Times New Roman" w:hAnsi="Times New Roman" w:cs="Times New Roman"/>
                <w:color w:val="595959" w:themeColor="text1" w:themeTint="A6"/>
                <w:spacing w:val="-1"/>
                <w:sz w:val="19"/>
                <w:szCs w:val="19"/>
              </w:rPr>
              <w:t xml:space="preserve"> </w:t>
            </w:r>
            <w:r w:rsidRPr="00C162B8">
              <w:rPr>
                <w:rFonts w:ascii="Times New Roman" w:hAnsi="Times New Roman" w:cs="Times New Roman"/>
                <w:color w:val="595959" w:themeColor="text1" w:themeTint="A6"/>
                <w:sz w:val="19"/>
                <w:szCs w:val="19"/>
              </w:rPr>
              <w:t>them.</w:t>
            </w:r>
          </w:p>
        </w:tc>
      </w:tr>
    </w:tbl>
    <w:p w14:paraId="63A0FA58" w14:textId="77777777" w:rsidR="001D35E4" w:rsidRDefault="001D35E4">
      <w:pPr>
        <w:spacing w:line="280" w:lineRule="atLeast"/>
        <w:rPr>
          <w:sz w:val="20"/>
        </w:rPr>
        <w:sectPr w:rsidR="001D35E4" w:rsidSect="00FB0D43">
          <w:headerReference w:type="default" r:id="rId22"/>
          <w:pgSz w:w="11910" w:h="16840"/>
          <w:pgMar w:top="1276" w:right="0" w:bottom="600" w:left="0" w:header="1176" w:footer="406" w:gutter="0"/>
          <w:cols w:space="720"/>
        </w:sectPr>
      </w:pPr>
    </w:p>
    <w:p w14:paraId="5B0D86E2" w14:textId="77777777" w:rsidR="004527D2" w:rsidRPr="004527D2" w:rsidRDefault="004527D2">
      <w:pPr>
        <w:pStyle w:val="BodyText"/>
        <w:spacing w:before="185" w:line="280" w:lineRule="auto"/>
        <w:ind w:left="1133" w:right="1713"/>
        <w:rPr>
          <w:rFonts w:ascii="Myriad Pro" w:hAnsi="Myriad Pro"/>
          <w:color w:val="336699"/>
          <w:sz w:val="32"/>
          <w:szCs w:val="32"/>
        </w:rPr>
      </w:pPr>
      <w:r w:rsidRPr="004527D2">
        <w:rPr>
          <w:rFonts w:ascii="Myriad Pro" w:hAnsi="Myriad Pro"/>
          <w:color w:val="336699"/>
          <w:sz w:val="32"/>
          <w:szCs w:val="32"/>
        </w:rPr>
        <w:lastRenderedPageBreak/>
        <w:t>Further information</w:t>
      </w:r>
    </w:p>
    <w:p w14:paraId="31B0EEEA" w14:textId="30FC6352" w:rsidR="001D35E4" w:rsidRPr="005A1BF1" w:rsidRDefault="00090523">
      <w:pPr>
        <w:pStyle w:val="BodyText"/>
        <w:spacing w:before="185" w:line="280" w:lineRule="auto"/>
        <w:ind w:left="1133" w:right="1713"/>
        <w:rPr>
          <w:rFonts w:ascii="Times New Roman" w:hAnsi="Times New Roman" w:cs="Times New Roman"/>
          <w:sz w:val="19"/>
          <w:szCs w:val="19"/>
        </w:rPr>
      </w:pPr>
      <w:r w:rsidRPr="005A1BF1">
        <w:rPr>
          <w:rFonts w:ascii="Times New Roman" w:hAnsi="Times New Roman" w:cs="Times New Roman"/>
          <w:color w:val="231F20"/>
          <w:sz w:val="19"/>
          <w:szCs w:val="19"/>
        </w:rPr>
        <w:t xml:space="preserve">For more information on the National Television and Computer Recycling Scheme visit </w:t>
      </w:r>
      <w:r w:rsidRPr="005A1BF1">
        <w:rPr>
          <w:rFonts w:ascii="Times New Roman" w:hAnsi="Times New Roman" w:cs="Times New Roman"/>
          <w:color w:val="005695"/>
          <w:sz w:val="19"/>
          <w:szCs w:val="19"/>
          <w:u w:val="single" w:color="005695"/>
        </w:rPr>
        <w:t>environment.gov.au/</w:t>
      </w:r>
      <w:proofErr w:type="spellStart"/>
      <w:r w:rsidRPr="005A1BF1">
        <w:rPr>
          <w:rFonts w:ascii="Times New Roman" w:hAnsi="Times New Roman" w:cs="Times New Roman"/>
          <w:color w:val="005695"/>
          <w:sz w:val="19"/>
          <w:szCs w:val="19"/>
          <w:u w:val="single" w:color="005695"/>
        </w:rPr>
        <w:t>ewaste</w:t>
      </w:r>
      <w:proofErr w:type="spellEnd"/>
      <w:r w:rsidRPr="005A1BF1">
        <w:rPr>
          <w:rFonts w:ascii="Times New Roman" w:hAnsi="Times New Roman" w:cs="Times New Roman"/>
          <w:color w:val="231F20"/>
          <w:sz w:val="19"/>
          <w:szCs w:val="19"/>
        </w:rPr>
        <w:t xml:space="preserve">, </w:t>
      </w:r>
      <w:hyperlink r:id="rId23">
        <w:r w:rsidRPr="005A1BF1">
          <w:rPr>
            <w:rFonts w:ascii="Times New Roman" w:hAnsi="Times New Roman" w:cs="Times New Roman"/>
            <w:color w:val="231F20"/>
            <w:sz w:val="19"/>
            <w:szCs w:val="19"/>
          </w:rPr>
          <w:t>contact ewaste@environment.gov.au</w:t>
        </w:r>
      </w:hyperlink>
      <w:r w:rsidRPr="005A1BF1">
        <w:rPr>
          <w:rFonts w:ascii="Times New Roman" w:hAnsi="Times New Roman" w:cs="Times New Roman"/>
          <w:color w:val="231F20"/>
          <w:sz w:val="19"/>
          <w:szCs w:val="19"/>
        </w:rPr>
        <w:t xml:space="preserve"> or call 1800 332 783.</w:t>
      </w:r>
    </w:p>
    <w:p w14:paraId="6BCA64E4" w14:textId="77777777" w:rsidR="001D35E4" w:rsidRPr="005A1BF1" w:rsidRDefault="00090523">
      <w:pPr>
        <w:pStyle w:val="BodyText"/>
        <w:spacing w:before="168"/>
        <w:ind w:left="1133"/>
        <w:rPr>
          <w:rFonts w:ascii="Times New Roman" w:hAnsi="Times New Roman" w:cs="Times New Roman"/>
          <w:sz w:val="19"/>
          <w:szCs w:val="19"/>
        </w:rPr>
      </w:pPr>
      <w:r w:rsidRPr="005A1BF1">
        <w:rPr>
          <w:rFonts w:ascii="Times New Roman" w:hAnsi="Times New Roman" w:cs="Times New Roman"/>
          <w:color w:val="231F20"/>
          <w:sz w:val="19"/>
          <w:szCs w:val="19"/>
        </w:rPr>
        <w:t>Factsheet last updated on 16/7/18.</w:t>
      </w:r>
    </w:p>
    <w:p w14:paraId="4E8D6F85" w14:textId="77777777" w:rsidR="001D35E4" w:rsidRDefault="001D35E4">
      <w:pPr>
        <w:pStyle w:val="BodyText"/>
        <w:rPr>
          <w:sz w:val="24"/>
        </w:rPr>
      </w:pPr>
    </w:p>
    <w:p w14:paraId="3DBE92CA" w14:textId="77777777" w:rsidR="001D35E4" w:rsidRDefault="001D35E4">
      <w:pPr>
        <w:pStyle w:val="BodyText"/>
        <w:rPr>
          <w:sz w:val="24"/>
        </w:rPr>
      </w:pPr>
    </w:p>
    <w:p w14:paraId="53121CC8" w14:textId="77777777" w:rsidR="001D35E4" w:rsidRDefault="001D35E4">
      <w:pPr>
        <w:pStyle w:val="BodyText"/>
        <w:rPr>
          <w:sz w:val="24"/>
        </w:rPr>
      </w:pPr>
    </w:p>
    <w:p w14:paraId="78E716D8" w14:textId="77777777" w:rsidR="001D35E4" w:rsidRDefault="001D35E4">
      <w:pPr>
        <w:pStyle w:val="BodyText"/>
        <w:rPr>
          <w:sz w:val="24"/>
        </w:rPr>
      </w:pPr>
    </w:p>
    <w:p w14:paraId="546455C7" w14:textId="77777777" w:rsidR="001D35E4" w:rsidRDefault="001D35E4">
      <w:pPr>
        <w:pStyle w:val="BodyText"/>
        <w:rPr>
          <w:sz w:val="24"/>
        </w:rPr>
      </w:pPr>
    </w:p>
    <w:p w14:paraId="283B9022" w14:textId="77777777" w:rsidR="001D35E4" w:rsidRDefault="001D35E4">
      <w:pPr>
        <w:pStyle w:val="BodyText"/>
        <w:rPr>
          <w:sz w:val="24"/>
        </w:rPr>
      </w:pPr>
    </w:p>
    <w:p w14:paraId="10151DDB" w14:textId="77777777" w:rsidR="001D35E4" w:rsidRDefault="001D35E4">
      <w:pPr>
        <w:pStyle w:val="BodyText"/>
        <w:rPr>
          <w:sz w:val="24"/>
        </w:rPr>
      </w:pPr>
    </w:p>
    <w:p w14:paraId="15270233" w14:textId="77777777" w:rsidR="001D35E4" w:rsidRDefault="001D35E4">
      <w:pPr>
        <w:pStyle w:val="BodyText"/>
        <w:rPr>
          <w:sz w:val="24"/>
        </w:rPr>
      </w:pPr>
    </w:p>
    <w:p w14:paraId="148C1561" w14:textId="77777777" w:rsidR="001D35E4" w:rsidRDefault="001D35E4">
      <w:pPr>
        <w:pStyle w:val="BodyText"/>
        <w:rPr>
          <w:sz w:val="24"/>
        </w:rPr>
      </w:pPr>
    </w:p>
    <w:p w14:paraId="5D1CDC37" w14:textId="77777777" w:rsidR="001D35E4" w:rsidRDefault="001D35E4">
      <w:pPr>
        <w:pStyle w:val="BodyText"/>
        <w:rPr>
          <w:sz w:val="24"/>
        </w:rPr>
      </w:pPr>
    </w:p>
    <w:p w14:paraId="373909BD" w14:textId="77777777" w:rsidR="001D35E4" w:rsidRDefault="001D35E4">
      <w:pPr>
        <w:pStyle w:val="BodyText"/>
        <w:rPr>
          <w:sz w:val="24"/>
        </w:rPr>
      </w:pPr>
    </w:p>
    <w:p w14:paraId="223776BF" w14:textId="77777777" w:rsidR="001D35E4" w:rsidRDefault="001D35E4">
      <w:pPr>
        <w:pStyle w:val="BodyText"/>
        <w:rPr>
          <w:sz w:val="24"/>
        </w:rPr>
      </w:pPr>
    </w:p>
    <w:p w14:paraId="44D3441E" w14:textId="77777777" w:rsidR="001D35E4" w:rsidRDefault="001D35E4">
      <w:pPr>
        <w:pStyle w:val="BodyText"/>
        <w:rPr>
          <w:sz w:val="24"/>
        </w:rPr>
      </w:pPr>
    </w:p>
    <w:p w14:paraId="77E91EB8" w14:textId="77777777" w:rsidR="001D35E4" w:rsidRDefault="001D35E4">
      <w:pPr>
        <w:pStyle w:val="BodyText"/>
        <w:rPr>
          <w:sz w:val="24"/>
        </w:rPr>
      </w:pPr>
    </w:p>
    <w:p w14:paraId="454C614B" w14:textId="77777777" w:rsidR="001D35E4" w:rsidRDefault="001D35E4">
      <w:pPr>
        <w:pStyle w:val="BodyText"/>
        <w:rPr>
          <w:sz w:val="24"/>
        </w:rPr>
      </w:pPr>
    </w:p>
    <w:p w14:paraId="1E3D5C2E" w14:textId="77777777" w:rsidR="001D35E4" w:rsidRDefault="001D35E4">
      <w:pPr>
        <w:pStyle w:val="BodyText"/>
        <w:rPr>
          <w:sz w:val="24"/>
        </w:rPr>
      </w:pPr>
    </w:p>
    <w:p w14:paraId="330613B3" w14:textId="77777777" w:rsidR="001D35E4" w:rsidRDefault="001D35E4">
      <w:pPr>
        <w:pStyle w:val="BodyText"/>
        <w:rPr>
          <w:sz w:val="24"/>
        </w:rPr>
      </w:pPr>
    </w:p>
    <w:p w14:paraId="0B2E7C58" w14:textId="77777777" w:rsidR="001D35E4" w:rsidRDefault="001D35E4">
      <w:pPr>
        <w:pStyle w:val="BodyText"/>
        <w:rPr>
          <w:sz w:val="24"/>
        </w:rPr>
      </w:pPr>
    </w:p>
    <w:p w14:paraId="1164E5EF" w14:textId="77777777" w:rsidR="001D35E4" w:rsidRDefault="001D35E4">
      <w:pPr>
        <w:pStyle w:val="BodyText"/>
        <w:rPr>
          <w:sz w:val="24"/>
        </w:rPr>
      </w:pPr>
    </w:p>
    <w:p w14:paraId="66D5AA82" w14:textId="77777777" w:rsidR="001D35E4" w:rsidRDefault="001D35E4">
      <w:pPr>
        <w:pStyle w:val="BodyText"/>
        <w:rPr>
          <w:sz w:val="24"/>
        </w:rPr>
      </w:pPr>
    </w:p>
    <w:p w14:paraId="2DFB2F45" w14:textId="77777777" w:rsidR="001D35E4" w:rsidRDefault="001D35E4">
      <w:pPr>
        <w:pStyle w:val="BodyText"/>
        <w:rPr>
          <w:sz w:val="24"/>
        </w:rPr>
      </w:pPr>
    </w:p>
    <w:p w14:paraId="18512F14" w14:textId="77777777" w:rsidR="001D35E4" w:rsidRDefault="001D35E4">
      <w:pPr>
        <w:pStyle w:val="BodyText"/>
        <w:rPr>
          <w:sz w:val="24"/>
        </w:rPr>
      </w:pPr>
    </w:p>
    <w:p w14:paraId="7D87D0E7" w14:textId="77777777" w:rsidR="001D35E4" w:rsidRDefault="001D35E4">
      <w:pPr>
        <w:pStyle w:val="BodyText"/>
        <w:rPr>
          <w:sz w:val="24"/>
        </w:rPr>
      </w:pPr>
    </w:p>
    <w:p w14:paraId="5E66286D" w14:textId="77777777" w:rsidR="001D35E4" w:rsidRDefault="001D35E4">
      <w:pPr>
        <w:pStyle w:val="BodyText"/>
        <w:rPr>
          <w:sz w:val="24"/>
        </w:rPr>
      </w:pPr>
    </w:p>
    <w:p w14:paraId="1029B6D7" w14:textId="77777777" w:rsidR="001D35E4" w:rsidRDefault="001D35E4">
      <w:pPr>
        <w:pStyle w:val="BodyText"/>
        <w:rPr>
          <w:sz w:val="24"/>
        </w:rPr>
      </w:pPr>
    </w:p>
    <w:p w14:paraId="2B581665" w14:textId="77777777" w:rsidR="001D35E4" w:rsidRDefault="001D35E4">
      <w:pPr>
        <w:pStyle w:val="BodyText"/>
        <w:rPr>
          <w:sz w:val="24"/>
        </w:rPr>
      </w:pPr>
    </w:p>
    <w:p w14:paraId="6D5FF4AF" w14:textId="77777777" w:rsidR="001D35E4" w:rsidRDefault="001D35E4">
      <w:pPr>
        <w:pStyle w:val="BodyText"/>
        <w:rPr>
          <w:sz w:val="24"/>
        </w:rPr>
      </w:pPr>
    </w:p>
    <w:p w14:paraId="153ACF2B" w14:textId="77777777" w:rsidR="001D35E4" w:rsidRDefault="001D35E4">
      <w:pPr>
        <w:pStyle w:val="BodyText"/>
        <w:rPr>
          <w:sz w:val="24"/>
        </w:rPr>
      </w:pPr>
    </w:p>
    <w:p w14:paraId="0C2A6630" w14:textId="77777777" w:rsidR="001D35E4" w:rsidRDefault="001D35E4">
      <w:pPr>
        <w:pStyle w:val="BodyText"/>
        <w:rPr>
          <w:sz w:val="24"/>
        </w:rPr>
      </w:pPr>
    </w:p>
    <w:p w14:paraId="519EF071" w14:textId="77777777" w:rsidR="001D35E4" w:rsidRDefault="001D35E4">
      <w:pPr>
        <w:pStyle w:val="BodyText"/>
        <w:rPr>
          <w:sz w:val="24"/>
        </w:rPr>
      </w:pPr>
    </w:p>
    <w:p w14:paraId="597AF0F2" w14:textId="77777777" w:rsidR="001D35E4" w:rsidRDefault="001D35E4">
      <w:pPr>
        <w:pStyle w:val="BodyText"/>
        <w:rPr>
          <w:sz w:val="24"/>
        </w:rPr>
      </w:pPr>
    </w:p>
    <w:p w14:paraId="5C7A6235" w14:textId="77777777" w:rsidR="001D35E4" w:rsidRDefault="001D35E4">
      <w:pPr>
        <w:pStyle w:val="BodyText"/>
        <w:rPr>
          <w:sz w:val="24"/>
        </w:rPr>
      </w:pPr>
    </w:p>
    <w:p w14:paraId="5E16737A" w14:textId="77777777" w:rsidR="001D35E4" w:rsidRDefault="001D35E4">
      <w:pPr>
        <w:pStyle w:val="BodyText"/>
        <w:rPr>
          <w:sz w:val="24"/>
        </w:rPr>
      </w:pPr>
    </w:p>
    <w:p w14:paraId="1E590290" w14:textId="77777777" w:rsidR="001D35E4" w:rsidRDefault="001D35E4">
      <w:pPr>
        <w:pStyle w:val="BodyText"/>
        <w:rPr>
          <w:sz w:val="24"/>
        </w:rPr>
      </w:pPr>
    </w:p>
    <w:p w14:paraId="57C40FB9" w14:textId="77777777" w:rsidR="001D35E4" w:rsidRDefault="001D35E4">
      <w:pPr>
        <w:pStyle w:val="BodyText"/>
        <w:rPr>
          <w:sz w:val="24"/>
        </w:rPr>
      </w:pPr>
    </w:p>
    <w:p w14:paraId="179C1C01" w14:textId="77777777" w:rsidR="001D35E4" w:rsidRDefault="001D35E4">
      <w:pPr>
        <w:pStyle w:val="BodyText"/>
        <w:rPr>
          <w:sz w:val="24"/>
        </w:rPr>
      </w:pPr>
    </w:p>
    <w:p w14:paraId="5AEB0623" w14:textId="77777777" w:rsidR="001D35E4" w:rsidRDefault="001D35E4">
      <w:pPr>
        <w:pStyle w:val="BodyText"/>
        <w:rPr>
          <w:sz w:val="24"/>
        </w:rPr>
      </w:pPr>
    </w:p>
    <w:p w14:paraId="05575A44" w14:textId="77777777" w:rsidR="001D35E4" w:rsidRDefault="001D35E4">
      <w:pPr>
        <w:pStyle w:val="BodyText"/>
        <w:rPr>
          <w:sz w:val="24"/>
        </w:rPr>
      </w:pPr>
    </w:p>
    <w:p w14:paraId="032E8540" w14:textId="77777777" w:rsidR="001D35E4" w:rsidRDefault="001D35E4">
      <w:pPr>
        <w:pStyle w:val="BodyText"/>
        <w:rPr>
          <w:sz w:val="24"/>
        </w:rPr>
      </w:pPr>
    </w:p>
    <w:p w14:paraId="2ABA919D" w14:textId="48142BAD" w:rsidR="001D35E4" w:rsidRPr="005A1BF1" w:rsidRDefault="00111297">
      <w:pPr>
        <w:pStyle w:val="BodyText"/>
        <w:spacing w:before="7"/>
        <w:rPr>
          <w:rFonts w:ascii="Times New Roman" w:hAnsi="Times New Roman" w:cs="Times New Roman"/>
          <w:sz w:val="24"/>
        </w:rPr>
      </w:pPr>
      <w:r>
        <w:rPr>
          <w:rFonts w:ascii="Times New Roman" w:hAnsi="Times New Roman" w:cs="Times New Roman"/>
          <w:sz w:val="22"/>
        </w:rPr>
        <w:pict w14:anchorId="0AF9E8B3">
          <v:group id="_x0000_s1026" style="position:absolute;margin-left:212.5pt;margin-top:11.25pt;width:41.75pt;height:14.6pt;z-index:251661312;mso-position-horizontal-relative:page" coordorigin="3992,-139" coordsize="835,292">
            <v:rect id="_x0000_s1035" style="position:absolute;left:3993;top:-112;width:829;height:258" fillcolor="#bcbec0" stroked="f"/>
            <v:line id="_x0000_s1034" style="position:absolute" from="3993,-118" to="4822,-118" strokecolor="#bcbec0" strokeweight=".7pt"/>
            <v:line id="_x0000_s1033" style="position:absolute" from="3994,-129" to="4822,-129" strokecolor="#bcbec0" strokeweight=".4pt"/>
            <v:line id="_x0000_s1032" style="position:absolute" from="3994,-134" to="4576,-134" strokecolor="#bcbec0" strokeweight=".1pt"/>
            <v:shape id="_x0000_s1031" style="position:absolute;left:4812;top:-136;width:10;height:2" coordorigin="4812,-136" coordsize="10,2" path="m4822,-136r-10,2l4822,-134r,-2xe" fillcolor="#bcbec0" stroked="f">
              <v:path arrowok="t"/>
            </v:shape>
            <v:shape id="_x0000_s1030" style="position:absolute;left:3991;top:-139;width:835;height:292" coordorigin="3992,-139" coordsize="835,292" o:spt="100" adj="0,,0" path="m4819,-139r-820,l3992,-132r,283l3993,153r831,l4826,151r,-21l4135,130r-34,-5l4071,112,4046,92,4027,66r-28,l3999,-128r3,-4l4826,-132r,l4819,-139xm4826,-132r-11,l4819,-128r,194l4243,66r-19,26l4198,112r-30,13l4135,130r691,l4826,-132xe" fillcolor="#231f20" stroked="f">
              <v:stroke joinstyle="round"/>
              <v:formulas/>
              <v:path arrowok="t" o:connecttype="segments"/>
            </v:shape>
            <v:shape id="_x0000_s1029" style="position:absolute;left:4482;top:88;width:85;height:47" coordorigin="4483,89" coordsize="85,47" o:spt="100" adj="0,,0" path="m4522,118r-1,-2l4520,114r-2,-2l4516,110r-3,l4515,109r2,-2l4517,107r2,-3l4519,102r,-5l4519,97r,-1l4518,93r-1,-1l4514,90r-2,l4511,89r,29l4511,122r,1l4510,125r,l4508,126r,l4506,127r-1,l4493,127r,-13l4506,114r2,1l4511,117r,1l4511,89r-1,l4510,104r-1,1l4507,107r-2,l4493,107r,-10l4503,97r1,l4506,97r1,l4508,98r1,l4509,100r1,4l4510,89r-1,l4507,89r-24,l4483,135r24,l4509,134r4,-1l4515,133r3,-3l4519,129r2,-2l4521,126r,-1l4522,118t46,-29l4556,89r-10,18l4535,89r-12,l4540,117r,18l4550,135r1,-18l4557,107r11,-18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026;top:-112;width:218;height:218">
              <v:imagedata r:id="rId24" o:title=""/>
            </v:shape>
            <v:shape id="_x0000_s1027" type="#_x0000_t75" style="position:absolute;left:4441;top:-116;width:162;height:162">
              <v:imagedata r:id="rId25" o:title=""/>
            </v:shape>
            <w10:wrap anchorx="page"/>
          </v:group>
        </w:pict>
      </w:r>
    </w:p>
    <w:p w14:paraId="5270F1B4" w14:textId="51AF2B12" w:rsidR="001D35E4" w:rsidRPr="005A1BF1" w:rsidRDefault="00090523">
      <w:pPr>
        <w:ind w:left="1133"/>
        <w:rPr>
          <w:rFonts w:ascii="Times New Roman" w:hAnsi="Times New Roman" w:cs="Times New Roman"/>
          <w:b/>
          <w:sz w:val="18"/>
        </w:rPr>
      </w:pPr>
      <w:r w:rsidRPr="005A1BF1">
        <w:rPr>
          <w:rFonts w:ascii="Times New Roman" w:hAnsi="Times New Roman" w:cs="Times New Roman"/>
          <w:b/>
          <w:color w:val="808285"/>
          <w:sz w:val="18"/>
        </w:rPr>
        <w:t>© Commonwealth of Australia, 2018.</w:t>
      </w:r>
    </w:p>
    <w:p w14:paraId="51F563AD" w14:textId="77777777" w:rsidR="001D35E4" w:rsidRPr="005A1BF1" w:rsidRDefault="00090523">
      <w:pPr>
        <w:spacing w:before="89"/>
        <w:ind w:left="1133"/>
        <w:rPr>
          <w:rFonts w:ascii="Times New Roman" w:hAnsi="Times New Roman" w:cs="Times New Roman"/>
          <w:sz w:val="18"/>
        </w:rPr>
      </w:pPr>
      <w:r w:rsidRPr="005A1BF1">
        <w:rPr>
          <w:rFonts w:ascii="Times New Roman" w:hAnsi="Times New Roman" w:cs="Times New Roman"/>
          <w:color w:val="808285"/>
          <w:sz w:val="18"/>
        </w:rPr>
        <w:lastRenderedPageBreak/>
        <w:t>This fact sheet is licensed by Commonwealth of Australia under a Creative Commons Attribution 4.0 International licence.</w:t>
      </w:r>
    </w:p>
    <w:p w14:paraId="4DFDC328" w14:textId="77777777" w:rsidR="001D35E4" w:rsidRPr="005A1BF1" w:rsidRDefault="00090523">
      <w:pPr>
        <w:spacing w:before="89" w:line="244" w:lineRule="auto"/>
        <w:ind w:left="1133" w:right="1834"/>
        <w:rPr>
          <w:rFonts w:ascii="Times New Roman" w:hAnsi="Times New Roman" w:cs="Times New Roman"/>
          <w:sz w:val="18"/>
        </w:rPr>
      </w:pPr>
      <w:r w:rsidRPr="005A1BF1">
        <w:rPr>
          <w:rFonts w:ascii="Times New Roman" w:hAnsi="Times New Roman" w:cs="Times New Roman"/>
          <w:color w:val="808285"/>
          <w:sz w:val="18"/>
        </w:rPr>
        <w:t>The views and opinions expressed in this publication are those of the authors and do not necessarily reflect those of the Australian Government or the Minister for the Environment and Energy.</w:t>
      </w:r>
    </w:p>
    <w:sectPr w:rsidR="001D35E4" w:rsidRPr="005A1BF1">
      <w:headerReference w:type="default" r:id="rId26"/>
      <w:pgSz w:w="11910" w:h="16840"/>
      <w:pgMar w:top="1560" w:right="0" w:bottom="600" w:left="0" w:header="1176" w:footer="4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164D" w14:textId="77777777" w:rsidR="00DE5644" w:rsidRDefault="00090523">
      <w:r>
        <w:separator/>
      </w:r>
    </w:p>
  </w:endnote>
  <w:endnote w:type="continuationSeparator" w:id="0">
    <w:p w14:paraId="71000867" w14:textId="77777777" w:rsidR="00DE5644" w:rsidRDefault="0009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altName w:val="Georgia"/>
    <w:panose1 w:val="02020502060506020403"/>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Semibold">
    <w:altName w:val="Times New Roman"/>
    <w:panose1 w:val="020B0603030403020204"/>
    <w:charset w:val="00"/>
    <w:family w:val="roman"/>
    <w:pitch w:val="variable"/>
  </w:font>
  <w:font w:name="Myriad Pro">
    <w:altName w:val="Corbel"/>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FA719" w14:textId="77777777" w:rsidR="00111297" w:rsidRDefault="00111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CC46" w14:textId="77777777" w:rsidR="001D35E4" w:rsidRDefault="00111297">
    <w:pPr>
      <w:pStyle w:val="BodyText"/>
      <w:spacing w:line="14" w:lineRule="auto"/>
    </w:pPr>
    <w:r>
      <w:pict w14:anchorId="7B718F4B">
        <v:rect id="_x0000_s2057" style="position:absolute;margin-left:0;margin-top:813.5pt;width:595.25pt;height:28.3pt;z-index:-7912;mso-position-horizontal-relative:page;mso-position-vertical-relative:page" fillcolor="#005695" stroked="f">
          <w10:wrap anchorx="page" anchory="page"/>
        </v:rect>
      </w:pict>
    </w:r>
    <w:r>
      <w:pict w14:anchorId="4E932C2D">
        <v:shapetype id="_x0000_t202" coordsize="21600,21600" o:spt="202" path="m,l,21600r21600,l21600,xe">
          <v:stroke joinstyle="miter"/>
          <v:path gradientshapeok="t" o:connecttype="rect"/>
        </v:shapetype>
        <v:shape id="_x0000_s2056" type="#_x0000_t202" style="position:absolute;margin-left:55.65pt;margin-top:820.55pt;width:90.55pt;height:14.4pt;z-index:-7888;mso-position-horizontal-relative:page;mso-position-vertical-relative:page" filled="f" stroked="f">
          <v:textbox inset="0,0,0,0">
            <w:txbxContent>
              <w:p w14:paraId="6B5F9FB2" w14:textId="77777777" w:rsidR="001D35E4" w:rsidRDefault="00090523">
                <w:pPr>
                  <w:spacing w:before="28"/>
                  <w:ind w:left="20"/>
                  <w:rPr>
                    <w:rFonts w:ascii="Myriad Pro"/>
                    <w:sz w:val="20"/>
                  </w:rPr>
                </w:pPr>
                <w:r>
                  <w:rPr>
                    <w:rFonts w:ascii="Myriad Pro"/>
                    <w:b/>
                    <w:color w:val="FFFFFF"/>
                    <w:sz w:val="20"/>
                  </w:rPr>
                  <w:t>environment</w:t>
                </w:r>
                <w:r>
                  <w:rPr>
                    <w:rFonts w:ascii="Myriad Pro"/>
                    <w:color w:val="FFFFFF"/>
                    <w:sz w:val="20"/>
                  </w:rPr>
                  <w:t>.gov.au</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FF3F6" w14:textId="77777777" w:rsidR="00111297" w:rsidRDefault="001112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3DEB" w14:textId="77777777" w:rsidR="001D35E4" w:rsidRDefault="00111297">
    <w:pPr>
      <w:pStyle w:val="BodyText"/>
      <w:spacing w:line="14" w:lineRule="auto"/>
    </w:pPr>
    <w:r>
      <w:pict w14:anchorId="503EFE38">
        <v:rect id="_x0000_s2053" style="position:absolute;margin-left:0;margin-top:813.5pt;width:595.25pt;height:28.3pt;z-index:-7816;mso-position-horizontal-relative:page;mso-position-vertical-relative:page" fillcolor="#005695" stroked="f">
          <w10:wrap anchorx="page" anchory="page"/>
        </v:rect>
      </w:pict>
    </w:r>
    <w:r>
      <w:pict w14:anchorId="1BAB8DB4">
        <v:line id="_x0000_s2052" style="position:absolute;z-index:-7792;mso-position-horizontal-relative:page;mso-position-vertical-relative:page" from="0,808.55pt" to="595.25pt,808.55pt" strokecolor="#005695" strokeweight="2pt">
          <w10:wrap anchorx="page" anchory="page"/>
        </v:line>
      </w:pict>
    </w:r>
    <w:r>
      <w:pict w14:anchorId="1F67E053">
        <v:shapetype id="_x0000_t202" coordsize="21600,21600" o:spt="202" path="m,l,21600r21600,l21600,xe">
          <v:stroke joinstyle="miter"/>
          <v:path gradientshapeok="t" o:connecttype="rect"/>
        </v:shapetype>
        <v:shape id="_x0000_s2051" type="#_x0000_t202" style="position:absolute;margin-left:55.65pt;margin-top:820.55pt;width:90.55pt;height:14.4pt;z-index:-7768;mso-position-horizontal-relative:page;mso-position-vertical-relative:page" filled="f" stroked="f">
          <v:textbox inset="0,0,0,0">
            <w:txbxContent>
              <w:p w14:paraId="59C1D99F" w14:textId="77777777" w:rsidR="001D35E4" w:rsidRDefault="00090523">
                <w:pPr>
                  <w:spacing w:before="28"/>
                  <w:ind w:left="20"/>
                  <w:rPr>
                    <w:rFonts w:ascii="Myriad Pro"/>
                    <w:sz w:val="20"/>
                  </w:rPr>
                </w:pPr>
                <w:r>
                  <w:rPr>
                    <w:rFonts w:ascii="Myriad Pro"/>
                    <w:b/>
                    <w:color w:val="FFFFFF"/>
                    <w:sz w:val="20"/>
                  </w:rPr>
                  <w:t>environment</w:t>
                </w:r>
                <w:r>
                  <w:rPr>
                    <w:rFonts w:ascii="Myriad Pro"/>
                    <w:color w:val="FFFFFF"/>
                    <w:sz w:val="20"/>
                  </w:rPr>
                  <w:t>.gov.au</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0D134" w14:textId="77777777" w:rsidR="00DE5644" w:rsidRDefault="00090523">
      <w:r>
        <w:separator/>
      </w:r>
    </w:p>
  </w:footnote>
  <w:footnote w:type="continuationSeparator" w:id="0">
    <w:p w14:paraId="6371D139" w14:textId="77777777" w:rsidR="00DE5644" w:rsidRDefault="00090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FFA01" w14:textId="77777777" w:rsidR="00111297" w:rsidRDefault="00111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DEDB2" w14:textId="77777777" w:rsidR="00111297" w:rsidRDefault="00111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009A" w14:textId="77777777" w:rsidR="00111297" w:rsidRDefault="001112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CF4F7" w14:textId="49B5B4AE" w:rsidR="001D35E4" w:rsidRDefault="001D35E4">
    <w:pPr>
      <w:pStyle w:val="BodyText"/>
      <w:spacing w:line="14"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71AB" w14:textId="43239FED" w:rsidR="001D35E4" w:rsidRDefault="001D35E4">
    <w:pPr>
      <w:pStyle w:val="BodyText"/>
      <w:spacing w:line="14"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493EE" w14:textId="3E7163F3" w:rsidR="001D35E4" w:rsidRDefault="001D35E4">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7280D"/>
    <w:multiLevelType w:val="hybridMultilevel"/>
    <w:tmpl w:val="745A09B4"/>
    <w:lvl w:ilvl="0" w:tplc="9E187560">
      <w:numFmt w:val="bullet"/>
      <w:lvlText w:val="•"/>
      <w:lvlJc w:val="left"/>
      <w:pPr>
        <w:ind w:left="1417" w:hanging="284"/>
      </w:pPr>
      <w:rPr>
        <w:rFonts w:ascii="Adobe Garamond Pro" w:eastAsia="Adobe Garamond Pro" w:hAnsi="Adobe Garamond Pro" w:cs="Adobe Garamond Pro" w:hint="default"/>
        <w:color w:val="231F20"/>
        <w:spacing w:val="-3"/>
        <w:w w:val="99"/>
        <w:sz w:val="20"/>
        <w:szCs w:val="20"/>
        <w:lang w:val="en-GB" w:eastAsia="en-GB" w:bidi="en-GB"/>
      </w:rPr>
    </w:lvl>
    <w:lvl w:ilvl="1" w:tplc="48D0E2A4">
      <w:numFmt w:val="bullet"/>
      <w:lvlText w:val="•"/>
      <w:lvlJc w:val="left"/>
      <w:pPr>
        <w:ind w:left="1859" w:hanging="284"/>
      </w:pPr>
      <w:rPr>
        <w:rFonts w:hint="default"/>
        <w:lang w:val="en-GB" w:eastAsia="en-GB" w:bidi="en-GB"/>
      </w:rPr>
    </w:lvl>
    <w:lvl w:ilvl="2" w:tplc="4EA473C2">
      <w:numFmt w:val="bullet"/>
      <w:lvlText w:val="•"/>
      <w:lvlJc w:val="left"/>
      <w:pPr>
        <w:ind w:left="2298" w:hanging="284"/>
      </w:pPr>
      <w:rPr>
        <w:rFonts w:hint="default"/>
        <w:lang w:val="en-GB" w:eastAsia="en-GB" w:bidi="en-GB"/>
      </w:rPr>
    </w:lvl>
    <w:lvl w:ilvl="3" w:tplc="5BE00EDA">
      <w:numFmt w:val="bullet"/>
      <w:lvlText w:val="•"/>
      <w:lvlJc w:val="left"/>
      <w:pPr>
        <w:ind w:left="2737" w:hanging="284"/>
      </w:pPr>
      <w:rPr>
        <w:rFonts w:hint="default"/>
        <w:lang w:val="en-GB" w:eastAsia="en-GB" w:bidi="en-GB"/>
      </w:rPr>
    </w:lvl>
    <w:lvl w:ilvl="4" w:tplc="3C4A67E4">
      <w:numFmt w:val="bullet"/>
      <w:lvlText w:val="•"/>
      <w:lvlJc w:val="left"/>
      <w:pPr>
        <w:ind w:left="3176" w:hanging="284"/>
      </w:pPr>
      <w:rPr>
        <w:rFonts w:hint="default"/>
        <w:lang w:val="en-GB" w:eastAsia="en-GB" w:bidi="en-GB"/>
      </w:rPr>
    </w:lvl>
    <w:lvl w:ilvl="5" w:tplc="14AA3ABC">
      <w:numFmt w:val="bullet"/>
      <w:lvlText w:val="•"/>
      <w:lvlJc w:val="left"/>
      <w:pPr>
        <w:ind w:left="3615" w:hanging="284"/>
      </w:pPr>
      <w:rPr>
        <w:rFonts w:hint="default"/>
        <w:lang w:val="en-GB" w:eastAsia="en-GB" w:bidi="en-GB"/>
      </w:rPr>
    </w:lvl>
    <w:lvl w:ilvl="6" w:tplc="CADAC4D2">
      <w:numFmt w:val="bullet"/>
      <w:lvlText w:val="•"/>
      <w:lvlJc w:val="left"/>
      <w:pPr>
        <w:ind w:left="4054" w:hanging="284"/>
      </w:pPr>
      <w:rPr>
        <w:rFonts w:hint="default"/>
        <w:lang w:val="en-GB" w:eastAsia="en-GB" w:bidi="en-GB"/>
      </w:rPr>
    </w:lvl>
    <w:lvl w:ilvl="7" w:tplc="6590E5B6">
      <w:numFmt w:val="bullet"/>
      <w:lvlText w:val="•"/>
      <w:lvlJc w:val="left"/>
      <w:pPr>
        <w:ind w:left="4493" w:hanging="284"/>
      </w:pPr>
      <w:rPr>
        <w:rFonts w:hint="default"/>
        <w:lang w:val="en-GB" w:eastAsia="en-GB" w:bidi="en-GB"/>
      </w:rPr>
    </w:lvl>
    <w:lvl w:ilvl="8" w:tplc="177C7900">
      <w:numFmt w:val="bullet"/>
      <w:lvlText w:val="•"/>
      <w:lvlJc w:val="left"/>
      <w:pPr>
        <w:ind w:left="4933" w:hanging="284"/>
      </w:pPr>
      <w:rPr>
        <w:rFonts w:hint="default"/>
        <w:lang w:val="en-GB" w:eastAsia="en-GB" w:bidi="en-GB"/>
      </w:rPr>
    </w:lvl>
  </w:abstractNum>
  <w:abstractNum w:abstractNumId="1" w15:restartNumberingAfterBreak="0">
    <w:nsid w:val="3976253F"/>
    <w:multiLevelType w:val="hybridMultilevel"/>
    <w:tmpl w:val="4690625A"/>
    <w:lvl w:ilvl="0" w:tplc="76F07674">
      <w:numFmt w:val="bullet"/>
      <w:lvlText w:val="•"/>
      <w:lvlJc w:val="left"/>
      <w:pPr>
        <w:ind w:left="526" w:hanging="284"/>
      </w:pPr>
      <w:rPr>
        <w:rFonts w:ascii="Adobe Garamond Pro" w:eastAsia="Adobe Garamond Pro" w:hAnsi="Adobe Garamond Pro" w:cs="Adobe Garamond Pro" w:hint="default"/>
        <w:color w:val="231F20"/>
        <w:w w:val="100"/>
        <w:sz w:val="20"/>
        <w:szCs w:val="20"/>
        <w:lang w:val="en-GB" w:eastAsia="en-GB" w:bidi="en-GB"/>
      </w:rPr>
    </w:lvl>
    <w:lvl w:ilvl="1" w:tplc="D104405A">
      <w:numFmt w:val="bullet"/>
      <w:lvlText w:val="•"/>
      <w:lvlJc w:val="left"/>
      <w:pPr>
        <w:ind w:left="1073" w:hanging="284"/>
      </w:pPr>
      <w:rPr>
        <w:rFonts w:hint="default"/>
        <w:lang w:val="en-GB" w:eastAsia="en-GB" w:bidi="en-GB"/>
      </w:rPr>
    </w:lvl>
    <w:lvl w:ilvl="2" w:tplc="43FECCF4">
      <w:numFmt w:val="bullet"/>
      <w:lvlText w:val="•"/>
      <w:lvlJc w:val="left"/>
      <w:pPr>
        <w:ind w:left="1626" w:hanging="284"/>
      </w:pPr>
      <w:rPr>
        <w:rFonts w:hint="default"/>
        <w:lang w:val="en-GB" w:eastAsia="en-GB" w:bidi="en-GB"/>
      </w:rPr>
    </w:lvl>
    <w:lvl w:ilvl="3" w:tplc="6AC48020">
      <w:numFmt w:val="bullet"/>
      <w:lvlText w:val="•"/>
      <w:lvlJc w:val="left"/>
      <w:pPr>
        <w:ind w:left="2180" w:hanging="284"/>
      </w:pPr>
      <w:rPr>
        <w:rFonts w:hint="default"/>
        <w:lang w:val="en-GB" w:eastAsia="en-GB" w:bidi="en-GB"/>
      </w:rPr>
    </w:lvl>
    <w:lvl w:ilvl="4" w:tplc="DDCEE336">
      <w:numFmt w:val="bullet"/>
      <w:lvlText w:val="•"/>
      <w:lvlJc w:val="left"/>
      <w:pPr>
        <w:ind w:left="2733" w:hanging="284"/>
      </w:pPr>
      <w:rPr>
        <w:rFonts w:hint="default"/>
        <w:lang w:val="en-GB" w:eastAsia="en-GB" w:bidi="en-GB"/>
      </w:rPr>
    </w:lvl>
    <w:lvl w:ilvl="5" w:tplc="140A2F6E">
      <w:numFmt w:val="bullet"/>
      <w:lvlText w:val="•"/>
      <w:lvlJc w:val="left"/>
      <w:pPr>
        <w:ind w:left="3287" w:hanging="284"/>
      </w:pPr>
      <w:rPr>
        <w:rFonts w:hint="default"/>
        <w:lang w:val="en-GB" w:eastAsia="en-GB" w:bidi="en-GB"/>
      </w:rPr>
    </w:lvl>
    <w:lvl w:ilvl="6" w:tplc="082CCFF6">
      <w:numFmt w:val="bullet"/>
      <w:lvlText w:val="•"/>
      <w:lvlJc w:val="left"/>
      <w:pPr>
        <w:ind w:left="3840" w:hanging="284"/>
      </w:pPr>
      <w:rPr>
        <w:rFonts w:hint="default"/>
        <w:lang w:val="en-GB" w:eastAsia="en-GB" w:bidi="en-GB"/>
      </w:rPr>
    </w:lvl>
    <w:lvl w:ilvl="7" w:tplc="AE7C763E">
      <w:numFmt w:val="bullet"/>
      <w:lvlText w:val="•"/>
      <w:lvlJc w:val="left"/>
      <w:pPr>
        <w:ind w:left="4393" w:hanging="284"/>
      </w:pPr>
      <w:rPr>
        <w:rFonts w:hint="default"/>
        <w:lang w:val="en-GB" w:eastAsia="en-GB" w:bidi="en-GB"/>
      </w:rPr>
    </w:lvl>
    <w:lvl w:ilvl="8" w:tplc="CE041022">
      <w:numFmt w:val="bullet"/>
      <w:lvlText w:val="•"/>
      <w:lvlJc w:val="left"/>
      <w:pPr>
        <w:ind w:left="4947" w:hanging="284"/>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D35E4"/>
    <w:rsid w:val="00090523"/>
    <w:rsid w:val="00111297"/>
    <w:rsid w:val="001D35E4"/>
    <w:rsid w:val="00246525"/>
    <w:rsid w:val="00443C84"/>
    <w:rsid w:val="004527D2"/>
    <w:rsid w:val="005A1BF1"/>
    <w:rsid w:val="005F7CA1"/>
    <w:rsid w:val="0062266A"/>
    <w:rsid w:val="00756BAD"/>
    <w:rsid w:val="00816598"/>
    <w:rsid w:val="00A41BD0"/>
    <w:rsid w:val="00B2404E"/>
    <w:rsid w:val="00C162B8"/>
    <w:rsid w:val="00CB78C9"/>
    <w:rsid w:val="00DE5644"/>
    <w:rsid w:val="00F43BEB"/>
    <w:rsid w:val="00FB0D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7921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dobe Garamond Pro" w:eastAsia="Adobe Garamond Pro" w:hAnsi="Adobe Garamond Pro" w:cs="Adobe Garamond Pro"/>
      <w:lang w:val="en-GB" w:eastAsia="en-GB" w:bidi="en-GB"/>
    </w:rPr>
  </w:style>
  <w:style w:type="paragraph" w:styleId="Heading1">
    <w:name w:val="heading 1"/>
    <w:basedOn w:val="Normal"/>
    <w:uiPriority w:val="1"/>
    <w:qFormat/>
    <w:pPr>
      <w:spacing w:before="27"/>
      <w:ind w:left="20"/>
      <w:outlineLvl w:val="0"/>
    </w:pPr>
    <w:rPr>
      <w:rFonts w:ascii="MyriadPro-Semibold" w:eastAsia="MyriadPro-Semibold" w:hAnsi="MyriadPro-Semibold" w:cs="MyriadPro-Semibold"/>
      <w:b/>
      <w:bCs/>
      <w:sz w:val="32"/>
      <w:szCs w:val="32"/>
    </w:rPr>
  </w:style>
  <w:style w:type="paragraph" w:styleId="Heading2">
    <w:name w:val="heading 2"/>
    <w:basedOn w:val="Normal"/>
    <w:uiPriority w:val="1"/>
    <w:qFormat/>
    <w:pPr>
      <w:ind w:left="1133"/>
      <w:outlineLvl w:val="1"/>
    </w:pPr>
    <w:rPr>
      <w:rFonts w:ascii="Myriad Pro" w:eastAsia="Myriad Pro" w:hAnsi="Myriad Pro" w:cs="Myriad Pr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7"/>
      <w:ind w:left="526" w:hanging="284"/>
    </w:pPr>
  </w:style>
  <w:style w:type="paragraph" w:customStyle="1" w:styleId="TableParagraph">
    <w:name w:val="Table Paragraph"/>
    <w:basedOn w:val="Normal"/>
    <w:uiPriority w:val="1"/>
    <w:qFormat/>
    <w:pPr>
      <w:spacing w:before="68"/>
      <w:ind w:left="180"/>
    </w:pPr>
  </w:style>
  <w:style w:type="paragraph" w:styleId="Header">
    <w:name w:val="header"/>
    <w:basedOn w:val="Normal"/>
    <w:link w:val="HeaderChar"/>
    <w:uiPriority w:val="99"/>
    <w:unhideWhenUsed/>
    <w:rsid w:val="00A41BD0"/>
    <w:pPr>
      <w:tabs>
        <w:tab w:val="center" w:pos="4320"/>
        <w:tab w:val="right" w:pos="8640"/>
      </w:tabs>
    </w:pPr>
  </w:style>
  <w:style w:type="character" w:customStyle="1" w:styleId="HeaderChar">
    <w:name w:val="Header Char"/>
    <w:basedOn w:val="DefaultParagraphFont"/>
    <w:link w:val="Header"/>
    <w:uiPriority w:val="99"/>
    <w:rsid w:val="00A41BD0"/>
    <w:rPr>
      <w:rFonts w:ascii="Adobe Garamond Pro" w:eastAsia="Adobe Garamond Pro" w:hAnsi="Adobe Garamond Pro" w:cs="Adobe Garamond Pro"/>
      <w:lang w:val="en-GB" w:eastAsia="en-GB" w:bidi="en-GB"/>
    </w:rPr>
  </w:style>
  <w:style w:type="paragraph" w:styleId="Footer">
    <w:name w:val="footer"/>
    <w:basedOn w:val="Normal"/>
    <w:link w:val="FooterChar"/>
    <w:uiPriority w:val="99"/>
    <w:unhideWhenUsed/>
    <w:rsid w:val="00A41BD0"/>
    <w:pPr>
      <w:tabs>
        <w:tab w:val="center" w:pos="4320"/>
        <w:tab w:val="right" w:pos="8640"/>
      </w:tabs>
    </w:pPr>
  </w:style>
  <w:style w:type="character" w:customStyle="1" w:styleId="FooterChar">
    <w:name w:val="Footer Char"/>
    <w:basedOn w:val="DefaultParagraphFont"/>
    <w:link w:val="Footer"/>
    <w:uiPriority w:val="99"/>
    <w:rsid w:val="00A41BD0"/>
    <w:rPr>
      <w:rFonts w:ascii="Adobe Garamond Pro" w:eastAsia="Adobe Garamond Pro" w:hAnsi="Adobe Garamond Pro" w:cs="Adobe Garamond Pro"/>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legislation.gov.au/Series/F2011L02266"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ewaste@environment.gov.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environment.gov.au/protection/national-waste-policy/television-and-computer-recycling-scheme/coreg-arrange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3DB0-012E-4CCD-A7F8-4B8D0AED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E4601729.dotm</Template>
  <TotalTime>0</TotalTime>
  <Pages>5</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National Television and Computer Recycling Scheme–liable parties</vt:lpstr>
    </vt:vector>
  </TitlesOfParts>
  <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Television and Computer Recycling Scheme–liable parties</dc:title>
  <dc:creator/>
  <cp:lastModifiedBy/>
  <cp:revision>1</cp:revision>
  <dcterms:created xsi:type="dcterms:W3CDTF">2018-07-23T06:04:00Z</dcterms:created>
  <dcterms:modified xsi:type="dcterms:W3CDTF">2018-07-23T06:04:00Z</dcterms:modified>
</cp:coreProperties>
</file>