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3560" w14:textId="64AD9894" w:rsidR="00445487" w:rsidRPr="00445487" w:rsidRDefault="000E1E7D" w:rsidP="00445487">
      <w:pPr>
        <w:pStyle w:val="Date"/>
      </w:pPr>
      <w:r>
        <w:t>March 2021</w:t>
      </w:r>
    </w:p>
    <w:p w14:paraId="4D4F9025" w14:textId="77777777" w:rsidR="00445487" w:rsidRPr="00445487" w:rsidRDefault="00445487" w:rsidP="00445487">
      <w:pPr>
        <w:pStyle w:val="Series"/>
      </w:pPr>
      <w:r w:rsidRPr="00445487">
        <w:t>Improving agricultural export legislation</w:t>
      </w:r>
    </w:p>
    <w:p w14:paraId="7F9BEB62" w14:textId="349877A9" w:rsidR="00EA0513" w:rsidRDefault="00EA0513" w:rsidP="00EA0513">
      <w:pPr>
        <w:pStyle w:val="Heading1"/>
        <w:spacing w:before="240"/>
      </w:pPr>
      <w:r>
        <w:t xml:space="preserve">Plant rules – overview of changes for </w:t>
      </w:r>
      <w:r w:rsidR="00722831">
        <w:t>a</w:t>
      </w:r>
      <w:r w:rsidR="00E75EC5">
        <w:t xml:space="preserve">ccredited </w:t>
      </w:r>
      <w:r w:rsidR="00722831">
        <w:t>p</w:t>
      </w:r>
      <w:r w:rsidR="00E75EC5">
        <w:t>roperties</w:t>
      </w:r>
    </w:p>
    <w:p w14:paraId="1BA21C12" w14:textId="69012D78" w:rsidR="00EA0513" w:rsidRPr="00466F30" w:rsidRDefault="00EA0513" w:rsidP="00EA0513">
      <w:pPr>
        <w:pStyle w:val="Heading2"/>
      </w:pPr>
      <w:bookmarkStart w:id="0" w:name="_Hlk64459583"/>
      <w:r>
        <w:t xml:space="preserve">Key </w:t>
      </w:r>
      <w:r w:rsidR="00785FAC">
        <w:t>p</w:t>
      </w:r>
      <w:r>
        <w:t>oints</w:t>
      </w:r>
    </w:p>
    <w:p w14:paraId="351B8F9E" w14:textId="59462600" w:rsidR="00EA0513" w:rsidRPr="009F6ACF" w:rsidRDefault="00EA0513" w:rsidP="00EA0513">
      <w:pPr>
        <w:pStyle w:val="ListBullet"/>
      </w:pPr>
      <w:r w:rsidRPr="009F6ACF">
        <w:t>On 28</w:t>
      </w:r>
      <w:r w:rsidR="00DD7ECE">
        <w:t> </w:t>
      </w:r>
      <w:r w:rsidRPr="009F6ACF">
        <w:t>March</w:t>
      </w:r>
      <w:r w:rsidR="00DD7ECE">
        <w:t> </w:t>
      </w:r>
      <w:r w:rsidRPr="009F6ACF">
        <w:t>2021, Australia's export legislation is changing.</w:t>
      </w:r>
    </w:p>
    <w:p w14:paraId="7D617943" w14:textId="55D5D861" w:rsidR="00EA0513" w:rsidRDefault="00EA0513" w:rsidP="00EA0513">
      <w:pPr>
        <w:pStyle w:val="ListBullet"/>
      </w:pPr>
      <w:r>
        <w:t>The new legislation will continue to achieve the regulatory outcomes expected by our trading partners. It will also be easier to understand and use.</w:t>
      </w:r>
    </w:p>
    <w:p w14:paraId="1F75E984" w14:textId="27CDC8ED" w:rsidR="00EA0513" w:rsidRDefault="00DD7ECE" w:rsidP="00EA0513">
      <w:pPr>
        <w:pStyle w:val="ListBullet"/>
      </w:pPr>
      <w:r>
        <w:t>T</w:t>
      </w:r>
      <w:r w:rsidR="00EA0513">
        <w:t xml:space="preserve">he new legislation looks different, </w:t>
      </w:r>
      <w:r>
        <w:t xml:space="preserve">but </w:t>
      </w:r>
      <w:r w:rsidR="00EA0513">
        <w:t>it is not designed to add regulatory burden or change how industry do business in the short term.</w:t>
      </w:r>
    </w:p>
    <w:p w14:paraId="64AA4E97" w14:textId="113D245B" w:rsidR="00932BFF" w:rsidRDefault="006110FE" w:rsidP="00EA0513">
      <w:pPr>
        <w:pStyle w:val="ListBullet"/>
      </w:pPr>
      <w:r>
        <w:t>It</w:t>
      </w:r>
      <w:r w:rsidR="00EA0513">
        <w:t xml:space="preserve"> will support Australia’s plant agricultural industries to innovate and pursue opportunities for efficiency.</w:t>
      </w:r>
    </w:p>
    <w:p w14:paraId="61FE1406" w14:textId="240166B0" w:rsidR="00EA0513" w:rsidRPr="00BA68AE" w:rsidRDefault="00EA0513" w:rsidP="00EA0513">
      <w:pPr>
        <w:pStyle w:val="ListBullet"/>
      </w:pPr>
      <w:r w:rsidRPr="00BA68AE">
        <w:t xml:space="preserve">The new export legislation consists of the </w:t>
      </w:r>
      <w:r w:rsidRPr="00816711">
        <w:rPr>
          <w:i/>
          <w:iCs/>
        </w:rPr>
        <w:t>Export Control Act 2020</w:t>
      </w:r>
      <w:r w:rsidRPr="00BA68AE">
        <w:t xml:space="preserve"> and the Export Control Rules 202</w:t>
      </w:r>
      <w:r w:rsidR="004E0274">
        <w:t>1</w:t>
      </w:r>
      <w:r w:rsidRPr="00BA68AE">
        <w:t>.</w:t>
      </w:r>
    </w:p>
    <w:p w14:paraId="57F8D1F8" w14:textId="018BCDCB" w:rsidR="00EA0513" w:rsidRDefault="00EA0513" w:rsidP="00EA0513">
      <w:pPr>
        <w:pStyle w:val="ListBullet"/>
      </w:pPr>
      <w:r w:rsidRPr="00BA68AE">
        <w:t xml:space="preserve">The Export Control (Plants and Plant Products) Rules 2021 (plant rules) will </w:t>
      </w:r>
      <w:r w:rsidR="00EE735E">
        <w:t>set the specific requirements for</w:t>
      </w:r>
      <w:r w:rsidRPr="00BA68AE">
        <w:t xml:space="preserve"> the export of plants and plant products.</w:t>
      </w:r>
    </w:p>
    <w:p w14:paraId="4D85AF80" w14:textId="77777777" w:rsidR="00785FAC" w:rsidRPr="00820F5E" w:rsidRDefault="00785FAC" w:rsidP="00785FAC">
      <w:pPr>
        <w:pStyle w:val="ListBullet"/>
      </w:pPr>
      <w:r w:rsidRPr="00820F5E">
        <w:t xml:space="preserve">Accredited properties are covered in Chapter 3 of the </w:t>
      </w:r>
      <w:r w:rsidRPr="00820F5E">
        <w:rPr>
          <w:i/>
          <w:iCs/>
        </w:rPr>
        <w:t>Export Control Act 2020</w:t>
      </w:r>
      <w:r w:rsidRPr="00820F5E">
        <w:t xml:space="preserve"> and the plant</w:t>
      </w:r>
      <w:r>
        <w:t xml:space="preserve"> </w:t>
      </w:r>
      <w:r w:rsidRPr="00820F5E">
        <w:t>rules.</w:t>
      </w:r>
    </w:p>
    <w:p w14:paraId="186C6A29" w14:textId="5EFE3907" w:rsidR="003A7D96" w:rsidRPr="00466F30" w:rsidRDefault="00BF4C94" w:rsidP="003A7D96">
      <w:pPr>
        <w:pStyle w:val="Heading2"/>
      </w:pPr>
      <w:r>
        <w:t>Changes</w:t>
      </w:r>
      <w:r w:rsidR="00DD7ECE">
        <w:t xml:space="preserve"> for</w:t>
      </w:r>
      <w:r w:rsidR="00EA0513">
        <w:t xml:space="preserve"> </w:t>
      </w:r>
      <w:r w:rsidR="00722831">
        <w:t>a</w:t>
      </w:r>
      <w:r w:rsidR="00EA0513">
        <w:t xml:space="preserve">ccredited </w:t>
      </w:r>
      <w:r w:rsidR="00722831">
        <w:t>p</w:t>
      </w:r>
      <w:r w:rsidR="00EA0513">
        <w:t>roperties</w:t>
      </w:r>
    </w:p>
    <w:p w14:paraId="430F4CDB" w14:textId="005B1751" w:rsidR="00785FAC" w:rsidRDefault="00785FAC" w:rsidP="00DD7ECE">
      <w:bookmarkStart w:id="1" w:name="_Hlk64458939"/>
      <w:r>
        <w:t>All horticulture property accreditations</w:t>
      </w:r>
      <w:r w:rsidR="009D17B6">
        <w:t xml:space="preserve"> including</w:t>
      </w:r>
      <w:r>
        <w:t xml:space="preserve"> operations and markets will </w:t>
      </w:r>
      <w:r w:rsidR="00E4519A">
        <w:t xml:space="preserve">automatically </w:t>
      </w:r>
      <w:r>
        <w:t>transition when the new legislation commences.</w:t>
      </w:r>
    </w:p>
    <w:p w14:paraId="3D044D05" w14:textId="116F6D49" w:rsidR="00785FAC" w:rsidRDefault="004B3B42" w:rsidP="00DD7ECE">
      <w:r>
        <w:t xml:space="preserve">Accredited properties must continue implementing </w:t>
      </w:r>
      <w:r w:rsidR="0070780E">
        <w:t xml:space="preserve">the </w:t>
      </w:r>
      <w:r w:rsidR="00785FAC">
        <w:t xml:space="preserve">systems, </w:t>
      </w:r>
      <w:proofErr w:type="gramStart"/>
      <w:r w:rsidR="00785FAC">
        <w:t>operations</w:t>
      </w:r>
      <w:proofErr w:type="gramEnd"/>
      <w:r w:rsidR="00785FAC">
        <w:t xml:space="preserve"> and procedures (management systems) that are currently in place.</w:t>
      </w:r>
    </w:p>
    <w:p w14:paraId="7AC03E6A" w14:textId="67FF45AF" w:rsidR="00932BFF" w:rsidRDefault="00BC774E" w:rsidP="005D1E7F">
      <w:r>
        <w:t>The department reviewed</w:t>
      </w:r>
      <w:r w:rsidR="00932BFF">
        <w:t xml:space="preserve"> Accredited Properties policies in consultation with industry</w:t>
      </w:r>
      <w:r>
        <w:t xml:space="preserve">, </w:t>
      </w:r>
      <w:r w:rsidR="00932BFF">
        <w:t>alongside the development of new export legislation.</w:t>
      </w:r>
    </w:p>
    <w:p w14:paraId="2B3978E3" w14:textId="5006A1B7" w:rsidR="0070780E" w:rsidRDefault="0070780E" w:rsidP="00DD7ECE">
      <w:r>
        <w:t xml:space="preserve">The following </w:t>
      </w:r>
      <w:r w:rsidR="00861F08">
        <w:t>instructional material</w:t>
      </w:r>
      <w:r>
        <w:t xml:space="preserve"> ha</w:t>
      </w:r>
      <w:r w:rsidR="00861F08">
        <w:t>s</w:t>
      </w:r>
      <w:r>
        <w:t xml:space="preserve"> been updated</w:t>
      </w:r>
      <w:r w:rsidR="00E50A16">
        <w:t xml:space="preserve"> and will be enforced from 28</w:t>
      </w:r>
      <w:r w:rsidR="00DD7ECE">
        <w:t> </w:t>
      </w:r>
      <w:r w:rsidR="00E50A16">
        <w:t>March</w:t>
      </w:r>
      <w:r w:rsidR="00DD7ECE">
        <w:t> </w:t>
      </w:r>
      <w:r w:rsidR="00E50A16">
        <w:t>2021</w:t>
      </w:r>
      <w:r>
        <w:t>:</w:t>
      </w:r>
    </w:p>
    <w:p w14:paraId="6DD4E687" w14:textId="77777777" w:rsidR="0070780E" w:rsidRPr="00DD7ECE" w:rsidRDefault="00785FAC" w:rsidP="00DD7ECE">
      <w:pPr>
        <w:pStyle w:val="ListBullet"/>
      </w:pPr>
      <w:r w:rsidRPr="00DD7ECE">
        <w:t>Guideline: Management of horticulture export accredited properties</w:t>
      </w:r>
    </w:p>
    <w:p w14:paraId="669F81B3" w14:textId="2976CF76" w:rsidR="0070780E" w:rsidRDefault="00785FAC" w:rsidP="00DD7ECE">
      <w:pPr>
        <w:pStyle w:val="ListBullet"/>
      </w:pPr>
      <w:r w:rsidRPr="00DD7ECE">
        <w:t>Guideline: Audit of horticulture export accredited properties</w:t>
      </w:r>
    </w:p>
    <w:p w14:paraId="6238BCCF" w14:textId="4A12CF3D" w:rsidR="00861F08" w:rsidRDefault="00861F08" w:rsidP="00DD7ECE">
      <w:pPr>
        <w:pStyle w:val="ListBullet"/>
      </w:pPr>
      <w:r>
        <w:t xml:space="preserve">Relevant performance standards </w:t>
      </w:r>
      <w:r w:rsidR="00932BFF">
        <w:t>for farms, packhouses and crop monitors</w:t>
      </w:r>
    </w:p>
    <w:p w14:paraId="4EA53ABD" w14:textId="2E9AF4D2" w:rsidR="00932BFF" w:rsidRPr="00DD7ECE" w:rsidRDefault="00932BFF" w:rsidP="00DD7ECE">
      <w:pPr>
        <w:pStyle w:val="ListBullet"/>
      </w:pPr>
      <w:r>
        <w:t>Application forms for plant export accreditation of farms and packhouses.</w:t>
      </w:r>
    </w:p>
    <w:p w14:paraId="786A74DF" w14:textId="77777777" w:rsidR="00E50A16" w:rsidRDefault="00E50A16" w:rsidP="00DD7ECE">
      <w:r>
        <w:lastRenderedPageBreak/>
        <w:t>The department will continue to audit accredited properties for compliance with:</w:t>
      </w:r>
    </w:p>
    <w:p w14:paraId="399687D4" w14:textId="77777777" w:rsidR="00BC774E" w:rsidRDefault="00E50A16" w:rsidP="00DD7ECE">
      <w:pPr>
        <w:pStyle w:val="ListBullet"/>
      </w:pPr>
      <w:r w:rsidRPr="00DD7ECE">
        <w:t>importing country requirements</w:t>
      </w:r>
    </w:p>
    <w:p w14:paraId="0DA626E3" w14:textId="472140F6" w:rsidR="00E50A16" w:rsidRPr="00DD7ECE" w:rsidRDefault="00D70BEC" w:rsidP="00DD7ECE">
      <w:pPr>
        <w:pStyle w:val="ListBullet"/>
      </w:pPr>
      <w:r>
        <w:t>departmental policies</w:t>
      </w:r>
    </w:p>
    <w:p w14:paraId="07BEA8AB" w14:textId="3EE7F178" w:rsidR="00E50A16" w:rsidRPr="00DD7ECE" w:rsidRDefault="00E50A16" w:rsidP="00DD7ECE">
      <w:pPr>
        <w:pStyle w:val="ListBullet"/>
      </w:pPr>
      <w:r w:rsidRPr="00DD7ECE">
        <w:t>approved management systems</w:t>
      </w:r>
      <w:r w:rsidR="00BC774E">
        <w:t>.</w:t>
      </w:r>
    </w:p>
    <w:bookmarkEnd w:id="1"/>
    <w:p w14:paraId="166315BE" w14:textId="4A3E3236" w:rsidR="00816711" w:rsidRPr="00466F30" w:rsidRDefault="00816711" w:rsidP="00816711">
      <w:pPr>
        <w:pStyle w:val="Heading2"/>
      </w:pPr>
      <w:r>
        <w:t>Changes to instructional material</w:t>
      </w:r>
    </w:p>
    <w:p w14:paraId="07C782BD" w14:textId="0A60C6B1" w:rsidR="00932BFF" w:rsidRDefault="00785FAC" w:rsidP="00DD7ECE">
      <w:r w:rsidRPr="0089209C">
        <w:t xml:space="preserve">The main changes to instructional material </w:t>
      </w:r>
      <w:r w:rsidR="0070780E">
        <w:t xml:space="preserve">for </w:t>
      </w:r>
      <w:r w:rsidR="0070780E" w:rsidRPr="0089209C">
        <w:t xml:space="preserve">accredited properties </w:t>
      </w:r>
      <w:r w:rsidR="00932BFF">
        <w:t>are outlined below.</w:t>
      </w:r>
    </w:p>
    <w:p w14:paraId="5C2AAEC0" w14:textId="01A51AE9" w:rsidR="00932BFF" w:rsidRDefault="00932BFF" w:rsidP="00F31453">
      <w:pPr>
        <w:pStyle w:val="Heading3"/>
      </w:pPr>
      <w:r>
        <w:t>Guideline: Management of horticulture export accredited properties</w:t>
      </w:r>
    </w:p>
    <w:p w14:paraId="3123A185" w14:textId="5B073FEB" w:rsidR="00932BFF" w:rsidRDefault="00932BFF">
      <w:r>
        <w:t>The updated guideline clarifies:</w:t>
      </w:r>
    </w:p>
    <w:p w14:paraId="5801E369" w14:textId="78062D7D" w:rsidR="00303E43" w:rsidRDefault="00303E43" w:rsidP="00303E43">
      <w:pPr>
        <w:pStyle w:val="ListBullet"/>
      </w:pPr>
      <w:r>
        <w:t>a trust cannot be listed as the applicant or property manager for accreditation</w:t>
      </w:r>
    </w:p>
    <w:p w14:paraId="5B7E1A52" w14:textId="77777777" w:rsidR="00303E43" w:rsidRDefault="00303E43" w:rsidP="00303E43">
      <w:pPr>
        <w:pStyle w:val="ListBullet"/>
      </w:pPr>
      <w:r>
        <w:t>the minimum requirements for property maps</w:t>
      </w:r>
    </w:p>
    <w:p w14:paraId="2B0B534E" w14:textId="200BFBC2" w:rsidR="00932BFF" w:rsidRPr="0089209C" w:rsidRDefault="00303E43" w:rsidP="00932BFF">
      <w:pPr>
        <w:pStyle w:val="ListBullet"/>
      </w:pPr>
      <w:r>
        <w:t>requirements for packhouses for packaging and trade description (</w:t>
      </w:r>
      <w:proofErr w:type="gramStart"/>
      <w:r>
        <w:t>e.g.</w:t>
      </w:r>
      <w:proofErr w:type="gramEnd"/>
      <w:r>
        <w:t xml:space="preserve"> labelling)</w:t>
      </w:r>
    </w:p>
    <w:p w14:paraId="6817B792" w14:textId="74F0F3B0" w:rsidR="00FD7C00" w:rsidRDefault="00FD7C00" w:rsidP="00FD7C00">
      <w:pPr>
        <w:pStyle w:val="ListBullet"/>
      </w:pPr>
      <w:r w:rsidRPr="0089209C">
        <w:t>documented system</w:t>
      </w:r>
      <w:r>
        <w:t>s</w:t>
      </w:r>
      <w:r w:rsidRPr="0089209C">
        <w:t xml:space="preserve"> </w:t>
      </w:r>
      <w:r>
        <w:t>for</w:t>
      </w:r>
      <w:r w:rsidRPr="0089209C">
        <w:t xml:space="preserve"> training, traceability, hygiene (including waste removal) and pest control</w:t>
      </w:r>
      <w:r w:rsidR="001D0AA7">
        <w:t xml:space="preserve"> at packhouses</w:t>
      </w:r>
    </w:p>
    <w:p w14:paraId="122AE637" w14:textId="77777777" w:rsidR="00FD7C00" w:rsidRDefault="00FD7C00" w:rsidP="00FD7C00">
      <w:pPr>
        <w:pStyle w:val="ListBullet"/>
      </w:pPr>
      <w:r>
        <w:t xml:space="preserve">requirements for </w:t>
      </w:r>
      <w:r w:rsidRPr="0089209C">
        <w:t>maintain</w:t>
      </w:r>
      <w:r>
        <w:t>ing</w:t>
      </w:r>
      <w:r w:rsidRPr="0089209C">
        <w:t xml:space="preserve"> the security </w:t>
      </w:r>
      <w:r>
        <w:t>and</w:t>
      </w:r>
      <w:r w:rsidRPr="0089209C">
        <w:t xml:space="preserve"> integrity of goods</w:t>
      </w:r>
      <w:r>
        <w:t>, including transfer records</w:t>
      </w:r>
    </w:p>
    <w:p w14:paraId="3D2F11D6" w14:textId="77777777" w:rsidR="00FD7C00" w:rsidRDefault="00FD7C00" w:rsidP="00FD7C00">
      <w:pPr>
        <w:pStyle w:val="ListBullet"/>
      </w:pPr>
      <w:r>
        <w:t>the requirement for farms to record harvest dates for accredited blocks</w:t>
      </w:r>
    </w:p>
    <w:p w14:paraId="28D13DBF" w14:textId="5AC194B5" w:rsidR="00FD7C00" w:rsidRDefault="00FD7C00" w:rsidP="00FD7C00">
      <w:pPr>
        <w:pStyle w:val="ListBullet"/>
      </w:pPr>
      <w:r>
        <w:t>training requirements for farms only apply to staff packing in-field for export, unless the protocol agreement state</w:t>
      </w:r>
      <w:r w:rsidR="00513842">
        <w:t>s</w:t>
      </w:r>
      <w:r>
        <w:t xml:space="preserve"> otherwise</w:t>
      </w:r>
    </w:p>
    <w:p w14:paraId="435DEB64" w14:textId="29A659AA" w:rsidR="00303E43" w:rsidRDefault="00303E43" w:rsidP="00932BFF">
      <w:pPr>
        <w:pStyle w:val="ListBullet"/>
      </w:pPr>
      <w:r>
        <w:t>the processes for voluntary and department-initiated variation, suspension</w:t>
      </w:r>
      <w:r w:rsidR="00DB2538">
        <w:t>,</w:t>
      </w:r>
      <w:r>
        <w:t xml:space="preserve"> and revocation of accreditation.</w:t>
      </w:r>
    </w:p>
    <w:p w14:paraId="257A8517" w14:textId="4A52FB2C" w:rsidR="00FD7C00" w:rsidRDefault="00FD7C00" w:rsidP="00F31453">
      <w:r>
        <w:t>The updated guideline also removes the requirements for farm</w:t>
      </w:r>
      <w:r w:rsidR="005D1E7F">
        <w:t>s to</w:t>
      </w:r>
      <w:r>
        <w:t>:</w:t>
      </w:r>
    </w:p>
    <w:p w14:paraId="3986EF9D" w14:textId="3D4E00BA" w:rsidR="00FD7C00" w:rsidRPr="005D1E7F" w:rsidRDefault="005E7EC7" w:rsidP="00FD7C00">
      <w:pPr>
        <w:pStyle w:val="ListBullet"/>
      </w:pPr>
      <w:r w:rsidRPr="005D1E7F">
        <w:t xml:space="preserve">have a documented </w:t>
      </w:r>
      <w:r w:rsidR="00FD7C00" w:rsidRPr="005D1E7F">
        <w:t>pest and disease management program</w:t>
      </w:r>
      <w:r w:rsidRPr="002178AF">
        <w:t xml:space="preserve">. </w:t>
      </w:r>
      <w:r w:rsidR="005D1E7F" w:rsidRPr="005D1E7F">
        <w:t xml:space="preserve">Farms must still manage </w:t>
      </w:r>
      <w:r w:rsidR="005D1E7F" w:rsidRPr="00F31453">
        <w:t>p</w:t>
      </w:r>
      <w:r w:rsidR="00090233" w:rsidRPr="002178AF">
        <w:t xml:space="preserve">ests and diseases </w:t>
      </w:r>
      <w:r w:rsidR="005D1E7F" w:rsidRPr="00F31453">
        <w:t>and retain</w:t>
      </w:r>
      <w:r w:rsidR="00090233" w:rsidRPr="002178AF">
        <w:t xml:space="preserve"> associated records</w:t>
      </w:r>
    </w:p>
    <w:p w14:paraId="071F410C" w14:textId="3676D492" w:rsidR="00FD7C00" w:rsidRDefault="00E431D7" w:rsidP="00FD7C00">
      <w:pPr>
        <w:pStyle w:val="ListBullet"/>
      </w:pPr>
      <w:r>
        <w:t>provide</w:t>
      </w:r>
      <w:r w:rsidR="005D1E7F">
        <w:t xml:space="preserve"> </w:t>
      </w:r>
      <w:r w:rsidR="00FD7C00">
        <w:t>records of active ingredient and target pest in chemical control (spray diaries) where an industry or state practice exists for the farm</w:t>
      </w:r>
    </w:p>
    <w:p w14:paraId="571546AB" w14:textId="1ECBAAFB" w:rsidR="00FD7C00" w:rsidRDefault="005D1E7F" w:rsidP="00FD7C00">
      <w:pPr>
        <w:pStyle w:val="ListBullet"/>
      </w:pPr>
      <w:r>
        <w:t xml:space="preserve">provide evidence of </w:t>
      </w:r>
      <w:r w:rsidR="00FD7C00">
        <w:t>calibration of spray equipment.</w:t>
      </w:r>
    </w:p>
    <w:p w14:paraId="76EC1452" w14:textId="10E15FC4" w:rsidR="00932BFF" w:rsidRPr="00D70BEC" w:rsidRDefault="00932BFF" w:rsidP="00F31453">
      <w:pPr>
        <w:pStyle w:val="Heading3"/>
      </w:pPr>
      <w:r w:rsidRPr="00DB2538">
        <w:t>Performance standards for farms, pac</w:t>
      </w:r>
      <w:r w:rsidRPr="00D70BEC">
        <w:t>khouses and crop monitors</w:t>
      </w:r>
    </w:p>
    <w:p w14:paraId="3D07F859" w14:textId="487CFCD4" w:rsidR="00932BFF" w:rsidRPr="00D70BEC" w:rsidRDefault="00932BFF" w:rsidP="00932BFF">
      <w:pPr>
        <w:pStyle w:val="ListBullet"/>
      </w:pPr>
      <w:r w:rsidRPr="00D70BEC">
        <w:t>A non-compliance rating has been assigned to each performance standard</w:t>
      </w:r>
      <w:r w:rsidR="00FC3521">
        <w:t>.</w:t>
      </w:r>
    </w:p>
    <w:p w14:paraId="232B9479" w14:textId="4C36B938" w:rsidR="00FD7C00" w:rsidRDefault="00FC3521" w:rsidP="00FD7C00">
      <w:pPr>
        <w:pStyle w:val="ListBullet"/>
      </w:pPr>
      <w:r>
        <w:t>A n</w:t>
      </w:r>
      <w:r w:rsidR="00932BFF" w:rsidRPr="00D70BEC">
        <w:t xml:space="preserve">ew column </w:t>
      </w:r>
      <w:r w:rsidR="00932BFF" w:rsidRPr="00D70BEC">
        <w:rPr>
          <w:i/>
          <w:iCs/>
        </w:rPr>
        <w:t xml:space="preserve">Examples of evidence </w:t>
      </w:r>
      <w:r w:rsidR="00932BFF" w:rsidRPr="00D70BEC">
        <w:t>provides guidance on the evidence required to comply with the guidelines and assist with preparation of documented systems</w:t>
      </w:r>
      <w:r>
        <w:t>.</w:t>
      </w:r>
    </w:p>
    <w:p w14:paraId="1523B2F8" w14:textId="7A6AC3E9" w:rsidR="00FD7C00" w:rsidRPr="00FD7C00" w:rsidRDefault="00FD7C00" w:rsidP="00FD7C00">
      <w:pPr>
        <w:pStyle w:val="ListBullet"/>
      </w:pPr>
      <w:r>
        <w:t xml:space="preserve">Updated to reflect the changes to the </w:t>
      </w:r>
      <w:r w:rsidRPr="00FD7C00">
        <w:t>Guideline: Management of horticulture export accredited properties.</w:t>
      </w:r>
    </w:p>
    <w:p w14:paraId="7E2E7A2D" w14:textId="4E171197" w:rsidR="00303E43" w:rsidRDefault="00303E43" w:rsidP="00F31453">
      <w:pPr>
        <w:pStyle w:val="Heading3"/>
      </w:pPr>
      <w:r>
        <w:lastRenderedPageBreak/>
        <w:t>Guideline: Audit of horticulture export accredited properties</w:t>
      </w:r>
    </w:p>
    <w:p w14:paraId="4231E4F0" w14:textId="55C0545B" w:rsidR="00303E43" w:rsidRPr="00DD7ECE" w:rsidRDefault="00D70BEC" w:rsidP="00303E43">
      <w:pPr>
        <w:pStyle w:val="ListBullet"/>
      </w:pPr>
      <w:r>
        <w:t>Updated to reflect current audit processes and when pre-season and in-season audits will occur.</w:t>
      </w:r>
    </w:p>
    <w:p w14:paraId="74F18AD7" w14:textId="1EEA89C4" w:rsidR="000E455C" w:rsidRDefault="00D750D0">
      <w:pPr>
        <w:pStyle w:val="Heading2"/>
      </w:pPr>
      <w:r>
        <w:t>Further information</w:t>
      </w:r>
    </w:p>
    <w:p w14:paraId="07CA809D" w14:textId="01473FC2" w:rsidR="001C5253" w:rsidRDefault="001C5253" w:rsidP="001C5253">
      <w:pPr>
        <w:rPr>
          <w:rStyle w:val="Hyperlink"/>
        </w:rPr>
      </w:pPr>
      <w:r>
        <w:rPr>
          <w:lang w:eastAsia="ja-JP"/>
        </w:rPr>
        <w:t xml:space="preserve">Email </w:t>
      </w:r>
      <w:hyperlink r:id="rId11" w:history="1">
        <w:r w:rsidR="00FC3521">
          <w:rPr>
            <w:rStyle w:val="Hyperlink"/>
            <w:lang w:eastAsia="ja-JP"/>
          </w:rPr>
          <w:t>horticultureexports@awe.gov.au</w:t>
        </w:r>
      </w:hyperlink>
      <w:hyperlink r:id="rId12" w:history="1"/>
    </w:p>
    <w:p w14:paraId="7EB4CB37" w14:textId="77777777" w:rsidR="001C5253" w:rsidRDefault="001C5253" w:rsidP="001C5253">
      <w:pPr>
        <w:rPr>
          <w:rStyle w:val="Hyperlink"/>
        </w:rPr>
      </w:pPr>
      <w:r>
        <w:rPr>
          <w:lang w:eastAsia="ja-JP"/>
        </w:rPr>
        <w:t xml:space="preserve">Web </w:t>
      </w:r>
      <w:hyperlink r:id="rId13" w:history="1">
        <w:r w:rsidRPr="00ED3E19">
          <w:rPr>
            <w:rStyle w:val="Hyperlink"/>
          </w:rPr>
          <w:t>awe.gov.au/new-plant-export-legislation</w:t>
        </w:r>
      </w:hyperlink>
    </w:p>
    <w:p w14:paraId="74792FF6" w14:textId="47F86B59" w:rsidR="006D4C9E" w:rsidRDefault="003C0B43">
      <w:pPr>
        <w:rPr>
          <w:lang w:eastAsia="ja-JP"/>
        </w:rPr>
      </w:pPr>
      <w:hyperlink r:id="rId14" w:history="1">
        <w:r w:rsidR="004B1B2F" w:rsidRPr="003112C4">
          <w:rPr>
            <w:rStyle w:val="Hyperlink"/>
          </w:rPr>
          <w:t>Plant Export Operations Manual:</w:t>
        </w:r>
      </w:hyperlink>
      <w:r w:rsidR="004B1B2F">
        <w:rPr>
          <w:rStyle w:val="Hyperlink"/>
          <w:color w:val="auto"/>
        </w:rPr>
        <w:t xml:space="preserve"> </w:t>
      </w:r>
      <w:r w:rsidR="004B1B2F" w:rsidRPr="002A615F">
        <w:t xml:space="preserve">Guideline: Management of </w:t>
      </w:r>
      <w:r w:rsidR="004B1B2F">
        <w:t>horticulture</w:t>
      </w:r>
      <w:r w:rsidR="004B1B2F" w:rsidRPr="002A615F">
        <w:t xml:space="preserve"> export </w:t>
      </w:r>
      <w:r w:rsidR="004B1B2F">
        <w:t>accredited properties</w:t>
      </w:r>
      <w:r w:rsidR="00303E43">
        <w:t xml:space="preserve">; </w:t>
      </w:r>
      <w:r w:rsidR="004B1B2F" w:rsidRPr="002A615F">
        <w:t xml:space="preserve">Guideline: Audit of </w:t>
      </w:r>
      <w:r w:rsidR="004B1B2F">
        <w:t xml:space="preserve">horticulture </w:t>
      </w:r>
      <w:r w:rsidR="004B1B2F" w:rsidRPr="002A615F">
        <w:t xml:space="preserve">export </w:t>
      </w:r>
      <w:r w:rsidR="004B1B2F">
        <w:t>accredited properties</w:t>
      </w:r>
      <w:bookmarkEnd w:id="0"/>
      <w:r w:rsidR="00303E43">
        <w:t xml:space="preserve">; </w:t>
      </w:r>
      <w:r w:rsidR="00D70BEC">
        <w:t>and r</w:t>
      </w:r>
      <w:r w:rsidR="00303E43">
        <w:t>elevant performance standards</w:t>
      </w:r>
    </w:p>
    <w:p w14:paraId="3C088050" w14:textId="13E444D4" w:rsidR="000E455C" w:rsidRDefault="00D750D0" w:rsidP="00BE7ED9">
      <w:pPr>
        <w:pStyle w:val="Normalsmall"/>
        <w:spacing w:before="480"/>
        <w:rPr>
          <w:lang w:eastAsia="ja-JP"/>
        </w:rPr>
      </w:pPr>
      <w:r>
        <w:rPr>
          <w:lang w:eastAsia="ja-JP"/>
        </w:rPr>
        <w:t>© Commonwealth of Australia 20</w:t>
      </w:r>
      <w:r w:rsidR="00D30F4A">
        <w:rPr>
          <w:lang w:eastAsia="ja-JP"/>
        </w:rPr>
        <w:t>2</w:t>
      </w:r>
      <w:r w:rsidR="006D4C9E">
        <w:rPr>
          <w:lang w:eastAsia="ja-JP"/>
        </w:rPr>
        <w:t>1</w:t>
      </w:r>
    </w:p>
    <w:p w14:paraId="3926E0CA" w14:textId="3B5860CD" w:rsidR="006E5CC7" w:rsidRPr="00DD7ECE" w:rsidRDefault="00D750D0" w:rsidP="00B60F8C">
      <w:pPr>
        <w:pStyle w:val="Normalsmall"/>
        <w:rPr>
          <w:lang w:eastAsia="ja-JP"/>
        </w:rPr>
      </w:pP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6E5CC7" w:rsidRPr="00DD7ECE" w:rsidSect="00D4039B">
      <w:headerReference w:type="default" r:id="rId15"/>
      <w:footerReference w:type="default" r:id="rId16"/>
      <w:headerReference w:type="first" r:id="rId17"/>
      <w:pgSz w:w="11906" w:h="16838"/>
      <w:pgMar w:top="2127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E6F93" w14:textId="77777777" w:rsidR="000E455C" w:rsidRDefault="00D750D0">
      <w:r>
        <w:separator/>
      </w:r>
    </w:p>
    <w:p w14:paraId="1F0B3D4F" w14:textId="77777777" w:rsidR="000E455C" w:rsidRDefault="000E455C"/>
    <w:p w14:paraId="0D3BD08D" w14:textId="77777777" w:rsidR="000E455C" w:rsidRDefault="000E455C"/>
  </w:endnote>
  <w:endnote w:type="continuationSeparator" w:id="0">
    <w:p w14:paraId="38619959" w14:textId="77777777" w:rsidR="000E455C" w:rsidRDefault="00D750D0">
      <w:r>
        <w:continuationSeparator/>
      </w:r>
    </w:p>
    <w:p w14:paraId="1344B2F7" w14:textId="77777777" w:rsidR="000E455C" w:rsidRDefault="000E455C"/>
    <w:p w14:paraId="4D927A15" w14:textId="77777777" w:rsidR="000E455C" w:rsidRDefault="000E455C"/>
  </w:endnote>
  <w:endnote w:type="continuationNotice" w:id="1">
    <w:p w14:paraId="6263542F" w14:textId="77777777" w:rsidR="000E455C" w:rsidRDefault="000E455C">
      <w:pPr>
        <w:pStyle w:val="Footer"/>
      </w:pPr>
    </w:p>
    <w:p w14:paraId="17A18CF5" w14:textId="77777777" w:rsidR="000E455C" w:rsidRDefault="000E455C"/>
    <w:p w14:paraId="2BA94C7A" w14:textId="77777777" w:rsidR="000E455C" w:rsidRDefault="000E4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A3A4" w14:textId="02C25F36" w:rsidR="000E455C" w:rsidRDefault="00D750D0">
    <w:pPr>
      <w:pStyle w:val="Footer"/>
    </w:pPr>
    <w:r>
      <w:t>Department of Agriculture</w:t>
    </w:r>
    <w:r w:rsidR="009A7764">
      <w:t xml:space="preserve">, </w:t>
    </w:r>
    <w:proofErr w:type="gramStart"/>
    <w:r w:rsidR="009A7764">
      <w:t>Water</w:t>
    </w:r>
    <w:proofErr w:type="gramEnd"/>
    <w:r w:rsidR="009A7764">
      <w:t xml:space="preserve"> and the Environment</w:t>
    </w:r>
  </w:p>
  <w:p w14:paraId="5B637164" w14:textId="77777777" w:rsidR="000E455C" w:rsidRDefault="00D750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113A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43F11" w14:textId="77777777" w:rsidR="000E455C" w:rsidRDefault="00D750D0">
      <w:r>
        <w:separator/>
      </w:r>
    </w:p>
    <w:p w14:paraId="46342832" w14:textId="77777777" w:rsidR="000E455C" w:rsidRDefault="000E455C"/>
    <w:p w14:paraId="59F6E8C5" w14:textId="77777777" w:rsidR="000E455C" w:rsidRDefault="000E455C"/>
  </w:footnote>
  <w:footnote w:type="continuationSeparator" w:id="0">
    <w:p w14:paraId="47F88FDE" w14:textId="77777777" w:rsidR="000E455C" w:rsidRDefault="00D750D0">
      <w:r>
        <w:continuationSeparator/>
      </w:r>
    </w:p>
    <w:p w14:paraId="25B40B7F" w14:textId="77777777" w:rsidR="000E455C" w:rsidRDefault="000E455C"/>
    <w:p w14:paraId="0729C46F" w14:textId="77777777" w:rsidR="000E455C" w:rsidRDefault="000E455C"/>
  </w:footnote>
  <w:footnote w:type="continuationNotice" w:id="1">
    <w:p w14:paraId="7E892AD1" w14:textId="77777777" w:rsidR="000E455C" w:rsidRDefault="000E455C">
      <w:pPr>
        <w:pStyle w:val="Footer"/>
      </w:pPr>
    </w:p>
    <w:p w14:paraId="6F3C933A" w14:textId="77777777" w:rsidR="000E455C" w:rsidRDefault="000E455C"/>
    <w:p w14:paraId="01E9094B" w14:textId="77777777" w:rsidR="000E455C" w:rsidRDefault="000E4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BC9B4" w14:textId="36B41537" w:rsidR="000E455C" w:rsidRDefault="00816711" w:rsidP="00AA4CFA">
    <w:pPr>
      <w:pStyle w:val="Header"/>
    </w:pPr>
    <w:r>
      <w:t>Plant Rules – overview of changes for accredited properties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8F459" w14:textId="2206FCBD" w:rsidR="000E455C" w:rsidRDefault="00D30F4A" w:rsidP="00D30F4A">
    <w:pPr>
      <w:pStyle w:val="Header"/>
      <w:tabs>
        <w:tab w:val="clear" w:pos="4820"/>
        <w:tab w:val="left" w:pos="2200"/>
      </w:tabs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61312" behindDoc="1" locked="0" layoutInCell="1" allowOverlap="1" wp14:anchorId="6CE93D9B" wp14:editId="5E394472">
          <wp:simplePos x="0" y="0"/>
          <wp:positionH relativeFrom="page">
            <wp:posOffset>-20320</wp:posOffset>
          </wp:positionH>
          <wp:positionV relativeFrom="paragraph">
            <wp:posOffset>-361950</wp:posOffset>
          </wp:positionV>
          <wp:extent cx="7630160" cy="21812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60" cy="218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F9C0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05C61"/>
    <w:multiLevelType w:val="hybridMultilevel"/>
    <w:tmpl w:val="8C2E5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28D5"/>
    <w:multiLevelType w:val="multilevel"/>
    <w:tmpl w:val="BE78A4F8"/>
    <w:numStyleLink w:val="Numberlist"/>
  </w:abstractNum>
  <w:abstractNum w:abstractNumId="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475DB6"/>
    <w:multiLevelType w:val="hybridMultilevel"/>
    <w:tmpl w:val="FAECD9AA"/>
    <w:lvl w:ilvl="0" w:tplc="4D7E4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CC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0E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83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A5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E2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62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83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2C1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F529C"/>
    <w:multiLevelType w:val="multilevel"/>
    <w:tmpl w:val="E5185C44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70642E7"/>
    <w:multiLevelType w:val="multilevel"/>
    <w:tmpl w:val="C0947DC4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2" w15:restartNumberingAfterBreak="0">
    <w:nsid w:val="5AA12966"/>
    <w:multiLevelType w:val="multilevel"/>
    <w:tmpl w:val="A9A6E414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4" w15:restartNumberingAfterBreak="0">
    <w:nsid w:val="7A0F764F"/>
    <w:multiLevelType w:val="hybridMultilevel"/>
    <w:tmpl w:val="1360B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 w:numId="12">
    <w:abstractNumId w:val="14"/>
  </w:num>
  <w:num w:numId="13">
    <w:abstractNumId w:val="9"/>
  </w:num>
  <w:num w:numId="14">
    <w:abstractNumId w:val="6"/>
  </w:num>
  <w:num w:numId="1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21590"/>
    <w:rsid w:val="00054835"/>
    <w:rsid w:val="00066D0B"/>
    <w:rsid w:val="0008202E"/>
    <w:rsid w:val="00090233"/>
    <w:rsid w:val="00096471"/>
    <w:rsid w:val="000D068A"/>
    <w:rsid w:val="000E1E7D"/>
    <w:rsid w:val="000E455C"/>
    <w:rsid w:val="00104CBF"/>
    <w:rsid w:val="00131592"/>
    <w:rsid w:val="00190D7E"/>
    <w:rsid w:val="001A6968"/>
    <w:rsid w:val="001C5253"/>
    <w:rsid w:val="001D0AA7"/>
    <w:rsid w:val="001D0EF3"/>
    <w:rsid w:val="002178AF"/>
    <w:rsid w:val="002C7338"/>
    <w:rsid w:val="002D3FA6"/>
    <w:rsid w:val="002E284D"/>
    <w:rsid w:val="00303E43"/>
    <w:rsid w:val="00323CBE"/>
    <w:rsid w:val="003A7D96"/>
    <w:rsid w:val="003C0B43"/>
    <w:rsid w:val="004113AF"/>
    <w:rsid w:val="00445487"/>
    <w:rsid w:val="004659B9"/>
    <w:rsid w:val="004B1B2F"/>
    <w:rsid w:val="004B3B42"/>
    <w:rsid w:val="004B52E3"/>
    <w:rsid w:val="004E0274"/>
    <w:rsid w:val="005019D0"/>
    <w:rsid w:val="00505017"/>
    <w:rsid w:val="00513842"/>
    <w:rsid w:val="00542B45"/>
    <w:rsid w:val="00553E9D"/>
    <w:rsid w:val="0055447F"/>
    <w:rsid w:val="00587707"/>
    <w:rsid w:val="005D1E7F"/>
    <w:rsid w:val="005D4009"/>
    <w:rsid w:val="005E7EC7"/>
    <w:rsid w:val="006110FE"/>
    <w:rsid w:val="006156DF"/>
    <w:rsid w:val="00625D8D"/>
    <w:rsid w:val="00630FED"/>
    <w:rsid w:val="00697878"/>
    <w:rsid w:val="006D4C9E"/>
    <w:rsid w:val="006E5CC7"/>
    <w:rsid w:val="006E6D6C"/>
    <w:rsid w:val="0070464B"/>
    <w:rsid w:val="0070780E"/>
    <w:rsid w:val="00722831"/>
    <w:rsid w:val="00785FAC"/>
    <w:rsid w:val="00816711"/>
    <w:rsid w:val="008342BF"/>
    <w:rsid w:val="00861F08"/>
    <w:rsid w:val="0087320D"/>
    <w:rsid w:val="00884562"/>
    <w:rsid w:val="008F395C"/>
    <w:rsid w:val="00902E92"/>
    <w:rsid w:val="00911F4A"/>
    <w:rsid w:val="00932BFF"/>
    <w:rsid w:val="00973DA5"/>
    <w:rsid w:val="00974CD6"/>
    <w:rsid w:val="009A6351"/>
    <w:rsid w:val="009A7764"/>
    <w:rsid w:val="009C206F"/>
    <w:rsid w:val="009C3A51"/>
    <w:rsid w:val="009C7C6A"/>
    <w:rsid w:val="009D17B6"/>
    <w:rsid w:val="00A45263"/>
    <w:rsid w:val="00A747B2"/>
    <w:rsid w:val="00AA1D89"/>
    <w:rsid w:val="00AA4CFA"/>
    <w:rsid w:val="00AA5859"/>
    <w:rsid w:val="00AC1944"/>
    <w:rsid w:val="00AE1E6E"/>
    <w:rsid w:val="00B0121B"/>
    <w:rsid w:val="00B270F3"/>
    <w:rsid w:val="00B60F8C"/>
    <w:rsid w:val="00BA313A"/>
    <w:rsid w:val="00BC774E"/>
    <w:rsid w:val="00BD4F8E"/>
    <w:rsid w:val="00BE322D"/>
    <w:rsid w:val="00BE7ED9"/>
    <w:rsid w:val="00BF37CE"/>
    <w:rsid w:val="00BF4C94"/>
    <w:rsid w:val="00C6128D"/>
    <w:rsid w:val="00C70709"/>
    <w:rsid w:val="00C765C8"/>
    <w:rsid w:val="00C91722"/>
    <w:rsid w:val="00C94883"/>
    <w:rsid w:val="00CB3471"/>
    <w:rsid w:val="00CF03E2"/>
    <w:rsid w:val="00D118B2"/>
    <w:rsid w:val="00D20C2D"/>
    <w:rsid w:val="00D30F4A"/>
    <w:rsid w:val="00D4039B"/>
    <w:rsid w:val="00D51F17"/>
    <w:rsid w:val="00D609D0"/>
    <w:rsid w:val="00D6754F"/>
    <w:rsid w:val="00D70BEC"/>
    <w:rsid w:val="00D750D0"/>
    <w:rsid w:val="00D76406"/>
    <w:rsid w:val="00D76CCF"/>
    <w:rsid w:val="00D96A73"/>
    <w:rsid w:val="00DA1457"/>
    <w:rsid w:val="00DA6794"/>
    <w:rsid w:val="00DB2538"/>
    <w:rsid w:val="00DC00AF"/>
    <w:rsid w:val="00DD7ECE"/>
    <w:rsid w:val="00E27FDA"/>
    <w:rsid w:val="00E431D7"/>
    <w:rsid w:val="00E4519A"/>
    <w:rsid w:val="00E50A16"/>
    <w:rsid w:val="00E55C5A"/>
    <w:rsid w:val="00E572AA"/>
    <w:rsid w:val="00E75EC5"/>
    <w:rsid w:val="00E95CD8"/>
    <w:rsid w:val="00EA0513"/>
    <w:rsid w:val="00EE735E"/>
    <w:rsid w:val="00F31453"/>
    <w:rsid w:val="00F41F6B"/>
    <w:rsid w:val="00F86B20"/>
    <w:rsid w:val="00FC3521"/>
    <w:rsid w:val="00FD337C"/>
    <w:rsid w:val="00FD7C00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3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7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2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9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ies">
    <w:name w:val="Series"/>
    <w:basedOn w:val="Normal"/>
    <w:qFormat/>
    <w:rsid w:val="00445487"/>
    <w:pPr>
      <w:spacing w:before="120"/>
    </w:pPr>
    <w:rPr>
      <w:rFonts w:asciiTheme="minorHAnsi" w:hAnsiTheme="minorHAnsi"/>
      <w:b/>
      <w:i/>
      <w:color w:val="5482AB"/>
      <w:sz w:val="32"/>
    </w:rPr>
  </w:style>
  <w:style w:type="paragraph" w:styleId="ListParagraph">
    <w:name w:val="List Paragraph"/>
    <w:aliases w:val="Recommendation,List Paragraph1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9A776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9A7764"/>
    <w:pPr>
      <w:spacing w:line="240" w:lineRule="auto"/>
      <w:ind w:left="283"/>
    </w:pPr>
    <w:rPr>
      <w:rFonts w:ascii="Calibri" w:eastAsia="Times New Roman" w:hAnsi="Calibri" w:cs="Times New Roman"/>
      <w:szCs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764"/>
    <w:rPr>
      <w:rFonts w:ascii="Calibri" w:eastAsia="Times New Roman" w:hAnsi="Calibri"/>
      <w:sz w:val="22"/>
      <w:szCs w:val="24"/>
      <w:lang w:eastAsia="en-US" w:bidi="en-US"/>
    </w:rPr>
  </w:style>
  <w:style w:type="character" w:customStyle="1" w:styleId="ListParagraphChar">
    <w:name w:val="List Paragraph Char"/>
    <w:aliases w:val="Recommendation Char,List Paragraph1 Char,List Paragraph11 Char,NFP GP Bulleted List Char,FooterText Char,numbered Char,Paragraphe de liste1 Char,Bulletr List Paragraph Char,列出段落 Char,列出段落1 Char,List Paragraph2 Char,Listeafsnit1 Char"/>
    <w:link w:val="ListParagraph"/>
    <w:uiPriority w:val="99"/>
    <w:locked/>
    <w:rsid w:val="002C7338"/>
    <w:rPr>
      <w:rFonts w:eastAsia="Calibri"/>
      <w:sz w:val="22"/>
      <w:szCs w:val="22"/>
      <w:lang w:eastAsia="en-US"/>
    </w:rPr>
  </w:style>
  <w:style w:type="character" w:customStyle="1" w:styleId="Bullet1Char">
    <w:name w:val="Bullet 1 Char"/>
    <w:basedOn w:val="DefaultParagraphFont"/>
    <w:link w:val="Bullet1"/>
    <w:locked/>
    <w:rsid w:val="00E75EC5"/>
    <w:rPr>
      <w:rFonts w:ascii="Arial" w:hAnsi="Arial" w:cs="Arial"/>
      <w:szCs w:val="24"/>
    </w:rPr>
  </w:style>
  <w:style w:type="paragraph" w:customStyle="1" w:styleId="Bullet1">
    <w:name w:val="Bullet 1"/>
    <w:basedOn w:val="Normal"/>
    <w:link w:val="Bullet1Char"/>
    <w:qFormat/>
    <w:rsid w:val="00E75EC5"/>
    <w:pPr>
      <w:numPr>
        <w:numId w:val="10"/>
      </w:numPr>
      <w:spacing w:before="60" w:after="60" w:line="240" w:lineRule="auto"/>
    </w:pPr>
    <w:rPr>
      <w:rFonts w:ascii="Arial" w:eastAsia="Cambria" w:hAnsi="Arial" w:cs="Arial"/>
      <w:sz w:val="20"/>
      <w:szCs w:val="24"/>
      <w:lang w:eastAsia="en-AU"/>
    </w:rPr>
  </w:style>
  <w:style w:type="paragraph" w:customStyle="1" w:styleId="Bullet2">
    <w:name w:val="Bullet 2"/>
    <w:basedOn w:val="Normal"/>
    <w:qFormat/>
    <w:rsid w:val="00E75EC5"/>
    <w:pPr>
      <w:numPr>
        <w:ilvl w:val="1"/>
        <w:numId w:val="10"/>
      </w:num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7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we.gov.au/new-plant-export-legisl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rticultureexports@awe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export/controlled-goods/plants-plant-products/plantexportsmanu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cf0e0db-f490-4122-abae-21917392c7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6F512-9CF2-448B-B6E8-AA497211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98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rules – overview of changes for accredited properties</vt:lpstr>
    </vt:vector>
  </TitlesOfParts>
  <Company>Department of Agriculture, Water and the Environment</Company>
  <LinksUpToDate>false</LinksUpToDate>
  <CharactersWithSpaces>4548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rules – overview of changes for accredited properties</dc:title>
  <dc:creator>Department of Agriculture, Water and the Environment</dc:creator>
  <cp:lastModifiedBy>Hastings, Madeline</cp:lastModifiedBy>
  <cp:revision>10</cp:revision>
  <cp:lastPrinted>2019-01-21T05:17:00Z</cp:lastPrinted>
  <dcterms:created xsi:type="dcterms:W3CDTF">2021-02-24T23:02:00Z</dcterms:created>
  <dcterms:modified xsi:type="dcterms:W3CDTF">2021-02-25T02:45:00Z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