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F3560" w14:textId="4A273522" w:rsidR="00445487" w:rsidRPr="00445487" w:rsidRDefault="00311269" w:rsidP="00445487">
      <w:pPr>
        <w:pStyle w:val="Date"/>
      </w:pPr>
      <w:r>
        <w:t>March</w:t>
      </w:r>
      <w:r w:rsidR="00A57AE7">
        <w:t> </w:t>
      </w:r>
      <w:r>
        <w:t>2021</w:t>
      </w:r>
    </w:p>
    <w:p w14:paraId="4D4F9025" w14:textId="77777777" w:rsidR="00445487" w:rsidRPr="00445487" w:rsidRDefault="00445487" w:rsidP="00445487">
      <w:pPr>
        <w:pStyle w:val="Series"/>
      </w:pPr>
      <w:r w:rsidRPr="00445487">
        <w:t>Improving agricultural export legislation</w:t>
      </w:r>
    </w:p>
    <w:p w14:paraId="4A0762F7" w14:textId="1CC4DF73" w:rsidR="003A7D96" w:rsidRDefault="00BA68AE" w:rsidP="003A7D96">
      <w:pPr>
        <w:pStyle w:val="Heading1"/>
        <w:spacing w:before="240"/>
      </w:pPr>
      <w:r>
        <w:t>Plant rules - overview of changes for registered establishments</w:t>
      </w:r>
    </w:p>
    <w:p w14:paraId="186C6A29" w14:textId="77777777" w:rsidR="003A7D96" w:rsidRPr="00466F30" w:rsidRDefault="003A7D96" w:rsidP="003A7D96">
      <w:pPr>
        <w:pStyle w:val="Heading2"/>
      </w:pPr>
      <w:r>
        <w:t>Key Points</w:t>
      </w:r>
    </w:p>
    <w:p w14:paraId="3B593F6C" w14:textId="43E2EB4D" w:rsidR="00BA68AE" w:rsidRPr="009F6ACF" w:rsidRDefault="00BA68AE" w:rsidP="009F6ACF">
      <w:pPr>
        <w:pStyle w:val="ListBullet"/>
      </w:pPr>
      <w:r w:rsidRPr="009F6ACF">
        <w:t>On 28</w:t>
      </w:r>
      <w:r w:rsidR="00A57AE7">
        <w:t> </w:t>
      </w:r>
      <w:r w:rsidRPr="009F6ACF">
        <w:t>March</w:t>
      </w:r>
      <w:r w:rsidR="00A57AE7">
        <w:t> </w:t>
      </w:r>
      <w:r w:rsidRPr="009F6ACF">
        <w:t>2021, Australia's export legislation is changing.</w:t>
      </w:r>
    </w:p>
    <w:p w14:paraId="08189AAF" w14:textId="2CAC2214" w:rsidR="00BA68AE" w:rsidRDefault="00BA68AE" w:rsidP="00BA68AE">
      <w:pPr>
        <w:pStyle w:val="ListBullet"/>
      </w:pPr>
      <w:r>
        <w:t>The new legislation will continue to achieve the regulatory outcomes expected by our trading partners. It will also be easier to understand and use.</w:t>
      </w:r>
    </w:p>
    <w:p w14:paraId="32F2E366" w14:textId="4A87CF88" w:rsidR="00BA68AE" w:rsidRDefault="00A57AE7" w:rsidP="00BA68AE">
      <w:pPr>
        <w:pStyle w:val="ListBullet"/>
      </w:pPr>
      <w:r>
        <w:t>T</w:t>
      </w:r>
      <w:r w:rsidR="00BA68AE">
        <w:t xml:space="preserve">he new legislation looks different, </w:t>
      </w:r>
      <w:r>
        <w:t xml:space="preserve">but </w:t>
      </w:r>
      <w:r w:rsidR="00BA68AE">
        <w:t xml:space="preserve">it </w:t>
      </w:r>
      <w:proofErr w:type="gramStart"/>
      <w:r w:rsidR="00BA68AE">
        <w:t>is not designed</w:t>
      </w:r>
      <w:proofErr w:type="gramEnd"/>
      <w:r w:rsidR="00BA68AE">
        <w:t xml:space="preserve"> to add regulatory burden or change how industry do business in the short term.</w:t>
      </w:r>
    </w:p>
    <w:p w14:paraId="2B0A7FE5" w14:textId="42001266" w:rsidR="00BA68AE" w:rsidRDefault="00363AD8" w:rsidP="00BA68AE">
      <w:pPr>
        <w:pStyle w:val="ListBullet"/>
      </w:pPr>
      <w:r>
        <w:t>It</w:t>
      </w:r>
      <w:r w:rsidR="00BA68AE">
        <w:t xml:space="preserve"> will support Australia’s plant agricultural industries to innovate and pursue opportunities for efficiency.</w:t>
      </w:r>
    </w:p>
    <w:p w14:paraId="046F23A3" w14:textId="2B2D458C" w:rsidR="00BA68AE" w:rsidRPr="00BA68AE" w:rsidRDefault="00BA68AE" w:rsidP="00BA68AE">
      <w:pPr>
        <w:pStyle w:val="ListBullet"/>
      </w:pPr>
      <w:r w:rsidRPr="00BA68AE">
        <w:t xml:space="preserve">The new export legislation consists of the </w:t>
      </w:r>
      <w:r w:rsidRPr="00641E64">
        <w:rPr>
          <w:i/>
          <w:iCs/>
        </w:rPr>
        <w:t>Export Control Act 2020</w:t>
      </w:r>
      <w:r w:rsidRPr="00BA68AE">
        <w:t xml:space="preserve"> and the Export Control Rules 202</w:t>
      </w:r>
      <w:r w:rsidR="00DA62F7">
        <w:t>1</w:t>
      </w:r>
      <w:r w:rsidRPr="00BA68AE">
        <w:t>.</w:t>
      </w:r>
    </w:p>
    <w:p w14:paraId="66FA7EB6" w14:textId="17A2630F" w:rsidR="00BA68AE" w:rsidRDefault="00BA68AE" w:rsidP="00BA68AE">
      <w:pPr>
        <w:pStyle w:val="ListBullet"/>
      </w:pPr>
      <w:r w:rsidRPr="00BA68AE">
        <w:t xml:space="preserve">The Export Control (Plants and Plant Products) Rules 2021 (plant rules) will </w:t>
      </w:r>
      <w:r w:rsidR="00703D0B">
        <w:t xml:space="preserve">set the specific requirements for </w:t>
      </w:r>
      <w:r w:rsidRPr="00BA68AE">
        <w:t>the export of plants and plant products.</w:t>
      </w:r>
    </w:p>
    <w:p w14:paraId="784998CB" w14:textId="3A77A42D" w:rsidR="00FC5D77" w:rsidRDefault="00FC5D77" w:rsidP="00BA68AE">
      <w:pPr>
        <w:pStyle w:val="ListBullet"/>
      </w:pPr>
      <w:r>
        <w:t xml:space="preserve">Registered establishments </w:t>
      </w:r>
      <w:proofErr w:type="gramStart"/>
      <w:r>
        <w:t>are covered</w:t>
      </w:r>
      <w:proofErr w:type="gramEnd"/>
      <w:r>
        <w:t xml:space="preserve"> in Chapter 4 of the </w:t>
      </w:r>
      <w:r w:rsidRPr="00806421">
        <w:rPr>
          <w:i/>
          <w:iCs/>
        </w:rPr>
        <w:t xml:space="preserve">Export Control Act 2020 </w:t>
      </w:r>
      <w:r>
        <w:t>and the plant rules.</w:t>
      </w:r>
    </w:p>
    <w:p w14:paraId="16E8F9EF" w14:textId="0857695F" w:rsidR="003A7D96" w:rsidRPr="00B11F46" w:rsidRDefault="0020503B" w:rsidP="00D6754F">
      <w:pPr>
        <w:pStyle w:val="Heading2"/>
      </w:pPr>
      <w:r>
        <w:t>Changes</w:t>
      </w:r>
      <w:r w:rsidR="000C2180" w:rsidRPr="00B11F46">
        <w:t xml:space="preserve"> for registered establishments</w:t>
      </w:r>
    </w:p>
    <w:p w14:paraId="75F659E1" w14:textId="60DEB993" w:rsidR="00FB17E6" w:rsidRDefault="00FB17E6" w:rsidP="00A57AE7">
      <w:r>
        <w:t xml:space="preserve">Registered establishments will </w:t>
      </w:r>
      <w:r w:rsidR="00846118">
        <w:t xml:space="preserve">automatically </w:t>
      </w:r>
      <w:r>
        <w:t xml:space="preserve">transition when the new legislation </w:t>
      </w:r>
      <w:proofErr w:type="gramStart"/>
      <w:r>
        <w:t>commences</w:t>
      </w:r>
      <w:proofErr w:type="gramEnd"/>
      <w:r>
        <w:t xml:space="preserve">. </w:t>
      </w:r>
      <w:r w:rsidR="000052FE">
        <w:t xml:space="preserve">They will </w:t>
      </w:r>
      <w:r w:rsidR="00EE4EC2">
        <w:t xml:space="preserve">continue to </w:t>
      </w:r>
      <w:proofErr w:type="gramStart"/>
      <w:r w:rsidR="00EE4EC2">
        <w:t>be registered</w:t>
      </w:r>
      <w:proofErr w:type="gramEnd"/>
      <w:r w:rsidR="00EE4EC2">
        <w:t xml:space="preserve"> for the</w:t>
      </w:r>
      <w:r w:rsidR="000052FE">
        <w:t xml:space="preserve"> same</w:t>
      </w:r>
      <w:r>
        <w:t xml:space="preserve"> operations and functions</w:t>
      </w:r>
      <w:r w:rsidR="00A6781C">
        <w:t xml:space="preserve"> they were registered for under</w:t>
      </w:r>
      <w:r w:rsidR="00C54F0C">
        <w:t xml:space="preserve"> the</w:t>
      </w:r>
      <w:r w:rsidR="00A6781C">
        <w:t xml:space="preserve"> old legislation. This could include</w:t>
      </w:r>
      <w:r>
        <w:t>:</w:t>
      </w:r>
    </w:p>
    <w:p w14:paraId="06E2F903" w14:textId="77777777" w:rsidR="00FB17E6" w:rsidRDefault="00FB17E6" w:rsidP="00A57AE7">
      <w:pPr>
        <w:pStyle w:val="ListBullet"/>
      </w:pPr>
      <w:r>
        <w:t>inspection or preparation of plants or plant products for export</w:t>
      </w:r>
    </w:p>
    <w:p w14:paraId="4C77ADB3" w14:textId="77777777" w:rsidR="00FB17E6" w:rsidRDefault="00FB17E6" w:rsidP="00A57AE7">
      <w:pPr>
        <w:pStyle w:val="ListBullet"/>
      </w:pPr>
      <w:r>
        <w:t>quality systems recognition (QSR)</w:t>
      </w:r>
    </w:p>
    <w:p w14:paraId="264F7C0D" w14:textId="77777777" w:rsidR="00FB17E6" w:rsidRDefault="00FB17E6" w:rsidP="00A57AE7">
      <w:pPr>
        <w:pStyle w:val="ListBullet"/>
      </w:pPr>
      <w:r>
        <w:t>export compliant goods storage (ECGS)</w:t>
      </w:r>
    </w:p>
    <w:p w14:paraId="5256D843" w14:textId="77777777" w:rsidR="00FB17E6" w:rsidRDefault="00FB17E6" w:rsidP="00A57AE7">
      <w:pPr>
        <w:pStyle w:val="ListBullet"/>
      </w:pPr>
      <w:r>
        <w:t>mobile bulk loading (MBL)</w:t>
      </w:r>
    </w:p>
    <w:p w14:paraId="68B35E80" w14:textId="77777777" w:rsidR="00FB17E6" w:rsidRDefault="00FB17E6" w:rsidP="00A57AE7">
      <w:pPr>
        <w:pStyle w:val="ListBullet"/>
      </w:pPr>
      <w:r>
        <w:t>automatic in-line sampling for hay or straw (AIHS)</w:t>
      </w:r>
    </w:p>
    <w:p w14:paraId="443D3E60" w14:textId="77777777" w:rsidR="00FB17E6" w:rsidRDefault="00FB17E6" w:rsidP="00A57AE7">
      <w:pPr>
        <w:pStyle w:val="ListBullet"/>
      </w:pPr>
      <w:r>
        <w:t>horticulture treatment facilities</w:t>
      </w:r>
    </w:p>
    <w:p w14:paraId="7C8EB599" w14:textId="77777777" w:rsidR="00FB17E6" w:rsidRDefault="00FB17E6" w:rsidP="00A57AE7">
      <w:pPr>
        <w:pStyle w:val="ListBullet"/>
      </w:pPr>
      <w:r>
        <w:t>facilities that process fruit fly Pest Free Area (PFA) product in a non-fruit fly PFA.</w:t>
      </w:r>
    </w:p>
    <w:p w14:paraId="16512B77" w14:textId="6D78C255" w:rsidR="00A6781C" w:rsidRDefault="000052FE" w:rsidP="00A57AE7">
      <w:bookmarkStart w:id="0" w:name="_Hlk64465669"/>
      <w:r>
        <w:t xml:space="preserve">When the new legislation </w:t>
      </w:r>
      <w:proofErr w:type="gramStart"/>
      <w:r>
        <w:t>commences</w:t>
      </w:r>
      <w:proofErr w:type="gramEnd"/>
      <w:r>
        <w:t xml:space="preserve">, </w:t>
      </w:r>
      <w:r w:rsidR="00A6781C">
        <w:t>registered establishments must continue implementing the systems, operations and procedures (management systems) that are currently in place.</w:t>
      </w:r>
    </w:p>
    <w:p w14:paraId="6E897367" w14:textId="6E70F4CC" w:rsidR="002A3873" w:rsidRDefault="00FB17E6" w:rsidP="00A57AE7">
      <w:r w:rsidRPr="00AF5865">
        <w:lastRenderedPageBreak/>
        <w:t>The department will continue to audit registered establishment</w:t>
      </w:r>
      <w:r>
        <w:t>s</w:t>
      </w:r>
      <w:r w:rsidRPr="00AF5865">
        <w:t xml:space="preserve"> on</w:t>
      </w:r>
      <w:r w:rsidR="002A3873">
        <w:t>:</w:t>
      </w:r>
    </w:p>
    <w:p w14:paraId="1B870527" w14:textId="0059755E" w:rsidR="002A3873" w:rsidRPr="00A57AE7" w:rsidRDefault="00FB17E6" w:rsidP="00A57AE7">
      <w:pPr>
        <w:pStyle w:val="ListBullet"/>
      </w:pPr>
      <w:r w:rsidRPr="00A57AE7">
        <w:t>the implementation of their management systems</w:t>
      </w:r>
    </w:p>
    <w:p w14:paraId="43F0F976" w14:textId="0A762C40" w:rsidR="002A3873" w:rsidRPr="00A57AE7" w:rsidRDefault="00FB17E6" w:rsidP="00A57AE7">
      <w:pPr>
        <w:pStyle w:val="ListBullet"/>
      </w:pPr>
      <w:r w:rsidRPr="00A57AE7">
        <w:t>record keeping</w:t>
      </w:r>
    </w:p>
    <w:p w14:paraId="0671C3AB" w14:textId="77777777" w:rsidR="002A3873" w:rsidRPr="00A57AE7" w:rsidRDefault="00FB17E6" w:rsidP="00A57AE7">
      <w:pPr>
        <w:pStyle w:val="ListBullet"/>
      </w:pPr>
      <w:r w:rsidRPr="00A57AE7">
        <w:t>compliance with departmental policies</w:t>
      </w:r>
    </w:p>
    <w:p w14:paraId="7F1326C3" w14:textId="0AEEE75B" w:rsidR="00FB17E6" w:rsidRPr="00A57AE7" w:rsidRDefault="00FB17E6" w:rsidP="00A57AE7">
      <w:pPr>
        <w:pStyle w:val="ListBullet"/>
      </w:pPr>
      <w:r w:rsidRPr="00A57AE7">
        <w:t>the condition and maintenance of the facility.</w:t>
      </w:r>
      <w:bookmarkEnd w:id="0"/>
    </w:p>
    <w:p w14:paraId="1A2F82F8" w14:textId="00FEA89A" w:rsidR="00B11F46" w:rsidRPr="002026DA" w:rsidRDefault="00B11F46" w:rsidP="002026DA">
      <w:pPr>
        <w:pStyle w:val="Heading2"/>
      </w:pPr>
      <w:r w:rsidRPr="002026DA">
        <w:t>Key changes to legislation and instructional material</w:t>
      </w:r>
    </w:p>
    <w:p w14:paraId="4F0942C8" w14:textId="2A0CA419" w:rsidR="00A6781C" w:rsidRDefault="0026612A" w:rsidP="00A57AE7">
      <w:r>
        <w:t xml:space="preserve">The sections </w:t>
      </w:r>
      <w:r w:rsidR="00C54F0C">
        <w:t xml:space="preserve">below </w:t>
      </w:r>
      <w:r>
        <w:t xml:space="preserve">outline key </w:t>
      </w:r>
      <w:r w:rsidR="00FB17E6">
        <w:t xml:space="preserve">changes that </w:t>
      </w:r>
      <w:r w:rsidR="00C54F0C">
        <w:t xml:space="preserve">affect </w:t>
      </w:r>
      <w:r w:rsidR="00FB17E6">
        <w:t>registered establishments</w:t>
      </w:r>
      <w:r>
        <w:t>.</w:t>
      </w:r>
      <w:r w:rsidR="00C54F0C">
        <w:t xml:space="preserve"> </w:t>
      </w:r>
      <w:r w:rsidR="00A6781C">
        <w:t xml:space="preserve">The changes </w:t>
      </w:r>
      <w:proofErr w:type="gramStart"/>
      <w:r w:rsidR="00C54F0C">
        <w:t>are</w:t>
      </w:r>
      <w:r w:rsidR="00A6781C">
        <w:t xml:space="preserve"> reflected</w:t>
      </w:r>
      <w:proofErr w:type="gramEnd"/>
      <w:r w:rsidR="00A6781C">
        <w:t xml:space="preserve"> in the following instructional material and will be enforced from 28</w:t>
      </w:r>
      <w:r w:rsidR="00A57AE7">
        <w:t> </w:t>
      </w:r>
      <w:r w:rsidR="00A6781C">
        <w:t>March</w:t>
      </w:r>
      <w:r w:rsidR="00A57AE7">
        <w:t> </w:t>
      </w:r>
      <w:r w:rsidR="00A6781C">
        <w:t>2021:</w:t>
      </w:r>
    </w:p>
    <w:p w14:paraId="3153C800" w14:textId="40552ABE" w:rsidR="00A6781C" w:rsidRPr="00A57AE7" w:rsidRDefault="00A6781C" w:rsidP="00A57AE7">
      <w:pPr>
        <w:pStyle w:val="ListBullet"/>
      </w:pPr>
      <w:r w:rsidRPr="00A57AE7">
        <w:t>Guideline: Management of plant export registered establishments</w:t>
      </w:r>
    </w:p>
    <w:p w14:paraId="762C7D91" w14:textId="228D5F1E" w:rsidR="00A6781C" w:rsidRPr="00A57AE7" w:rsidRDefault="00A6781C" w:rsidP="00A57AE7">
      <w:pPr>
        <w:pStyle w:val="ListBullet"/>
      </w:pPr>
      <w:r w:rsidRPr="00A57AE7">
        <w:t>Guideline: Audit of plant export registered establishments</w:t>
      </w:r>
    </w:p>
    <w:p w14:paraId="2486B779" w14:textId="40449F6D" w:rsidR="00A6781C" w:rsidRDefault="00A6781C" w:rsidP="00A57AE7">
      <w:pPr>
        <w:pStyle w:val="ListBullet"/>
      </w:pPr>
      <w:r w:rsidRPr="00A57AE7">
        <w:t>Other instructional material for specific registered operations and functions</w:t>
      </w:r>
    </w:p>
    <w:p w14:paraId="23A4FB6F" w14:textId="60B5B359" w:rsidR="0020503B" w:rsidRPr="00A57AE7" w:rsidRDefault="0020503B" w:rsidP="00A57AE7">
      <w:pPr>
        <w:pStyle w:val="ListBullet"/>
      </w:pPr>
      <w:r>
        <w:t>Performance standards for plant export registered establishments.</w:t>
      </w:r>
    </w:p>
    <w:p w14:paraId="0C6022E2" w14:textId="77777777" w:rsidR="00FB17E6" w:rsidRPr="004A47E0" w:rsidRDefault="00FB17E6" w:rsidP="00A57AE7">
      <w:pPr>
        <w:pStyle w:val="Heading3"/>
      </w:pPr>
      <w:r w:rsidRPr="004A47E0">
        <w:t>Certificate of registration</w:t>
      </w:r>
    </w:p>
    <w:p w14:paraId="794EEB33" w14:textId="7BBC3A74" w:rsidR="00A6781C" w:rsidRPr="00A57AE7" w:rsidRDefault="00A6781C" w:rsidP="00AA2F29">
      <w:r w:rsidRPr="00A57AE7">
        <w:t>Plant export registered establishment</w:t>
      </w:r>
      <w:r w:rsidR="001362F7">
        <w:t>s</w:t>
      </w:r>
      <w:r w:rsidRPr="00A57AE7">
        <w:t xml:space="preserve"> do not have to display a certificate of registration.</w:t>
      </w:r>
    </w:p>
    <w:p w14:paraId="5F26E98D" w14:textId="4A43946E" w:rsidR="00FB17E6" w:rsidRPr="00A57AE7" w:rsidRDefault="002A3873" w:rsidP="00AA2F29">
      <w:r w:rsidRPr="00A57AE7">
        <w:t>The department will continue to issue c</w:t>
      </w:r>
      <w:r w:rsidR="00FB17E6" w:rsidRPr="00A57AE7">
        <w:t>ertificates of registration</w:t>
      </w:r>
      <w:r w:rsidRPr="00A57AE7">
        <w:t>.</w:t>
      </w:r>
    </w:p>
    <w:p w14:paraId="4D4E9D07" w14:textId="77777777" w:rsidR="00FB17E6" w:rsidRPr="00A57AE7" w:rsidRDefault="00FB17E6" w:rsidP="00AA2F29">
      <w:r w:rsidRPr="00A57AE7">
        <w:t xml:space="preserve">Registered establishments must keep a copy of the certificate and provide it to inspection authorised officers if </w:t>
      </w:r>
      <w:proofErr w:type="gramStart"/>
      <w:r w:rsidRPr="00A57AE7">
        <w:t>requested</w:t>
      </w:r>
      <w:proofErr w:type="gramEnd"/>
      <w:r w:rsidRPr="00A57AE7">
        <w:t>.</w:t>
      </w:r>
    </w:p>
    <w:p w14:paraId="6172374D" w14:textId="77777777" w:rsidR="00FB17E6" w:rsidRPr="004A47E0" w:rsidRDefault="00FB17E6" w:rsidP="00A57AE7">
      <w:pPr>
        <w:pStyle w:val="Heading3"/>
      </w:pPr>
      <w:r w:rsidRPr="004A47E0">
        <w:t>Application processes and notification of changes</w:t>
      </w:r>
    </w:p>
    <w:p w14:paraId="75C08253" w14:textId="77777777" w:rsidR="00FB17E6" w:rsidRPr="00CA694A" w:rsidRDefault="00FB17E6" w:rsidP="00AA2F29">
      <w:r>
        <w:t xml:space="preserve">We have </w:t>
      </w:r>
      <w:proofErr w:type="gramStart"/>
      <w:r w:rsidRPr="00CA694A">
        <w:t>established</w:t>
      </w:r>
      <w:proofErr w:type="gramEnd"/>
      <w:r w:rsidRPr="00CA694A">
        <w:t xml:space="preserve"> a harmonised application process for registered establishment applications.</w:t>
      </w:r>
    </w:p>
    <w:p w14:paraId="7554A5EE" w14:textId="74DFDCE8" w:rsidR="00FB17E6" w:rsidRPr="00CA694A" w:rsidRDefault="007E7668" w:rsidP="00AA2F29">
      <w:r>
        <w:t>A</w:t>
      </w:r>
      <w:r w:rsidR="00FB17E6" w:rsidRPr="00CA694A">
        <w:t xml:space="preserve">pplications for new registered establishments or variations to existing registered establishments must be </w:t>
      </w:r>
      <w:proofErr w:type="gramStart"/>
      <w:r w:rsidR="00FB17E6" w:rsidRPr="00CA694A">
        <w:t>submitted</w:t>
      </w:r>
      <w:proofErr w:type="gramEnd"/>
      <w:r w:rsidR="00FB17E6" w:rsidRPr="00CA694A">
        <w:t xml:space="preserve"> to </w:t>
      </w:r>
      <w:hyperlink r:id="rId11" w:history="1">
        <w:r w:rsidR="00FB17E6" w:rsidRPr="00CA694A">
          <w:rPr>
            <w:rStyle w:val="Hyperlink"/>
          </w:rPr>
          <w:t>Certification Management Group</w:t>
        </w:r>
      </w:hyperlink>
      <w:r w:rsidR="00FB17E6" w:rsidRPr="00CA694A">
        <w:t>.</w:t>
      </w:r>
    </w:p>
    <w:p w14:paraId="4B6E9E5C" w14:textId="77777777" w:rsidR="00FB17E6" w:rsidRPr="00CA694A" w:rsidRDefault="00FB17E6" w:rsidP="00AA2F29">
      <w:r w:rsidRPr="00CA694A">
        <w:t>Variations to registration include the addition of new registered operations or registered functions.</w:t>
      </w:r>
    </w:p>
    <w:p w14:paraId="6DBE15D9" w14:textId="6FEA714C" w:rsidR="00FB17E6" w:rsidRPr="00CA694A" w:rsidRDefault="00FB17E6" w:rsidP="00AA2F29">
      <w:r w:rsidRPr="00CA694A">
        <w:t xml:space="preserve">Registered establishments must </w:t>
      </w:r>
      <w:proofErr w:type="gramStart"/>
      <w:r w:rsidRPr="00CA694A">
        <w:t>submit</w:t>
      </w:r>
      <w:proofErr w:type="gramEnd"/>
      <w:r w:rsidRPr="00CA694A">
        <w:t xml:space="preserve"> notification of changes in circumstance</w:t>
      </w:r>
      <w:r>
        <w:t>s</w:t>
      </w:r>
      <w:r w:rsidR="007E7668" w:rsidRPr="00CA694A">
        <w:t xml:space="preserve"> to Certification Management Group</w:t>
      </w:r>
      <w:r w:rsidR="007E7668">
        <w:t>. These could include</w:t>
      </w:r>
      <w:r w:rsidR="00B8527E">
        <w:t xml:space="preserve"> </w:t>
      </w:r>
      <w:r w:rsidRPr="00CA694A">
        <w:t>changes to persons in management and control or contact information.</w:t>
      </w:r>
    </w:p>
    <w:p w14:paraId="30590B49" w14:textId="1DF52704" w:rsidR="00FB17E6" w:rsidRPr="00CA694A" w:rsidRDefault="00FB17E6" w:rsidP="00AA2F29">
      <w:r w:rsidRPr="00CA694A">
        <w:t xml:space="preserve">Changes in circumstances relating to a Small Horticultural Products Registered Establishment </w:t>
      </w:r>
      <w:r>
        <w:t xml:space="preserve">must </w:t>
      </w:r>
      <w:r w:rsidRPr="00CA694A">
        <w:t xml:space="preserve">be </w:t>
      </w:r>
      <w:proofErr w:type="gramStart"/>
      <w:r w:rsidRPr="00CA694A">
        <w:t>submitted</w:t>
      </w:r>
      <w:proofErr w:type="gramEnd"/>
      <w:r w:rsidRPr="00CA694A">
        <w:t xml:space="preserve"> to the </w:t>
      </w:r>
      <w:hyperlink r:id="rId12" w:history="1">
        <w:r w:rsidRPr="00CA694A">
          <w:rPr>
            <w:rStyle w:val="Hyperlink"/>
          </w:rPr>
          <w:t>Business Systems Program</w:t>
        </w:r>
      </w:hyperlink>
      <w:r w:rsidRPr="00CA694A">
        <w:t>.</w:t>
      </w:r>
    </w:p>
    <w:p w14:paraId="627323B7" w14:textId="77777777" w:rsidR="00FB17E6" w:rsidRPr="004A47E0" w:rsidRDefault="00FB17E6" w:rsidP="000E7B48">
      <w:pPr>
        <w:pStyle w:val="Heading3"/>
        <w:spacing w:before="1920"/>
      </w:pPr>
      <w:r w:rsidRPr="004A47E0">
        <w:lastRenderedPageBreak/>
        <w:t xml:space="preserve">Updates to variation, </w:t>
      </w:r>
      <w:proofErr w:type="gramStart"/>
      <w:r w:rsidRPr="004A47E0">
        <w:t>suspension</w:t>
      </w:r>
      <w:proofErr w:type="gramEnd"/>
      <w:r w:rsidRPr="004A47E0">
        <w:t xml:space="preserve"> and revocation processes</w:t>
      </w:r>
    </w:p>
    <w:p w14:paraId="762DFD2B" w14:textId="5E5CAE63" w:rsidR="00FB17E6" w:rsidRPr="00CA694A" w:rsidRDefault="00B8527E" w:rsidP="00AA2F29">
      <w:r>
        <w:t>We have updated i</w:t>
      </w:r>
      <w:r w:rsidR="00FB17E6" w:rsidRPr="00CA694A">
        <w:t>nstructional material to clarify procedural fairness and notice requirements.</w:t>
      </w:r>
    </w:p>
    <w:p w14:paraId="5D5644B8" w14:textId="1DA21EE6" w:rsidR="00FB17E6" w:rsidRPr="00CA694A" w:rsidRDefault="00FB17E6" w:rsidP="00AA2F29">
      <w:r w:rsidRPr="00CA694A">
        <w:t xml:space="preserve">Registered establishments may apply to be varied, </w:t>
      </w:r>
      <w:proofErr w:type="gramStart"/>
      <w:r w:rsidRPr="00CA694A">
        <w:t>suspended</w:t>
      </w:r>
      <w:proofErr w:type="gramEnd"/>
      <w:r w:rsidRPr="00CA694A">
        <w:t xml:space="preserve"> or revoked.</w:t>
      </w:r>
    </w:p>
    <w:p w14:paraId="51972879" w14:textId="366144C5" w:rsidR="00FB17E6" w:rsidRPr="00CA694A" w:rsidRDefault="00B8527E" w:rsidP="00AA2F29">
      <w:r>
        <w:t xml:space="preserve">The department may vary, </w:t>
      </w:r>
      <w:proofErr w:type="gramStart"/>
      <w:r>
        <w:t>suspend</w:t>
      </w:r>
      <w:proofErr w:type="gramEnd"/>
      <w:r>
        <w:t xml:space="preserve"> or revoke r</w:t>
      </w:r>
      <w:r w:rsidR="00FB17E6" w:rsidRPr="00CA694A">
        <w:t>egistered establishments</w:t>
      </w:r>
      <w:r>
        <w:t>. Reasons may include</w:t>
      </w:r>
      <w:r w:rsidR="00A67D61">
        <w:t xml:space="preserve"> </w:t>
      </w:r>
      <w:r w:rsidR="00FB17E6" w:rsidRPr="00CA694A">
        <w:t>non-compliance</w:t>
      </w:r>
      <w:r w:rsidR="00FA045C">
        <w:t xml:space="preserve"> with requirements</w:t>
      </w:r>
      <w:r w:rsidR="00FB17E6" w:rsidRPr="00CA694A">
        <w:t xml:space="preserve"> </w:t>
      </w:r>
      <w:r>
        <w:t>or</w:t>
      </w:r>
      <w:r w:rsidRPr="00CA694A">
        <w:t xml:space="preserve"> </w:t>
      </w:r>
      <w:r w:rsidR="00FB17E6" w:rsidRPr="00CA694A">
        <w:t>overdue debt with the department.</w:t>
      </w:r>
    </w:p>
    <w:p w14:paraId="2EF89DCC" w14:textId="20F8A0B3" w:rsidR="00FB17E6" w:rsidRDefault="00FB17E6" w:rsidP="00AA2F29">
      <w:r w:rsidRPr="00CA694A">
        <w:t>Registered establishment</w:t>
      </w:r>
      <w:r>
        <w:t xml:space="preserve"> operations </w:t>
      </w:r>
      <w:r w:rsidRPr="00CA694A">
        <w:t xml:space="preserve">may be suspended </w:t>
      </w:r>
      <w:proofErr w:type="gramStart"/>
      <w:r w:rsidRPr="00CA694A">
        <w:t>immediately</w:t>
      </w:r>
      <w:proofErr w:type="gramEnd"/>
      <w:r w:rsidRPr="00CA694A">
        <w:t xml:space="preserve"> where the non-compliance is serious and urgent</w:t>
      </w:r>
      <w:r>
        <w:t>. F</w:t>
      </w:r>
      <w:r w:rsidRPr="00CA694A">
        <w:t>or example</w:t>
      </w:r>
      <w:r>
        <w:t>,</w:t>
      </w:r>
      <w:r w:rsidRPr="00CA694A">
        <w:t xml:space="preserve"> </w:t>
      </w:r>
      <w:r>
        <w:t xml:space="preserve">where a mouse plague is </w:t>
      </w:r>
      <w:proofErr w:type="gramStart"/>
      <w:r>
        <w:t>impacting</w:t>
      </w:r>
      <w:proofErr w:type="gramEnd"/>
      <w:r>
        <w:t xml:space="preserve"> hygienic operations</w:t>
      </w:r>
      <w:r w:rsidRPr="00CA694A">
        <w:t xml:space="preserve">. </w:t>
      </w:r>
      <w:r w:rsidR="00B8527E">
        <w:t>The department can lift the suspension</w:t>
      </w:r>
      <w:r>
        <w:t xml:space="preserve"> </w:t>
      </w:r>
      <w:r w:rsidRPr="00CA694A">
        <w:t xml:space="preserve">once the reason for suspension has </w:t>
      </w:r>
      <w:proofErr w:type="gramStart"/>
      <w:r w:rsidRPr="00CA694A">
        <w:t>been resolved</w:t>
      </w:r>
      <w:proofErr w:type="gramEnd"/>
      <w:r w:rsidRPr="00CA694A">
        <w:t>.</w:t>
      </w:r>
    </w:p>
    <w:p w14:paraId="7AE72C1A" w14:textId="54277F1E" w:rsidR="00FB17E6" w:rsidRPr="004A47E0" w:rsidRDefault="00FB17E6" w:rsidP="00A57AE7">
      <w:pPr>
        <w:pStyle w:val="Heading3"/>
      </w:pPr>
      <w:r w:rsidRPr="004A47E0">
        <w:t>Other updates to instructional material</w:t>
      </w:r>
    </w:p>
    <w:p w14:paraId="1193E4F3" w14:textId="7D39ACCB" w:rsidR="00FB17E6" w:rsidRPr="00CA694A" w:rsidRDefault="00FB17E6" w:rsidP="00A57AE7">
      <w:pPr>
        <w:pStyle w:val="ListBullet"/>
      </w:pPr>
      <w:r w:rsidRPr="00CA694A">
        <w:t xml:space="preserve">Harmonisation </w:t>
      </w:r>
      <w:r>
        <w:t>of</w:t>
      </w:r>
      <w:r w:rsidR="00A67D61">
        <w:t xml:space="preserve"> the</w:t>
      </w:r>
      <w:r>
        <w:t xml:space="preserve"> </w:t>
      </w:r>
      <w:r w:rsidR="00A67D61">
        <w:t xml:space="preserve">instructional material for </w:t>
      </w:r>
      <w:r w:rsidRPr="00CA694A">
        <w:t xml:space="preserve">MBL, QSR, ECGS and hay and straw automatic in-line sampling </w:t>
      </w:r>
      <w:r>
        <w:t xml:space="preserve">with </w:t>
      </w:r>
      <w:r w:rsidRPr="007C216C">
        <w:t>overarching</w:t>
      </w:r>
      <w:r>
        <w:t xml:space="preserve"> guideline.</w:t>
      </w:r>
    </w:p>
    <w:p w14:paraId="71C2E95C" w14:textId="1FEBD331" w:rsidR="00FB17E6" w:rsidRPr="00CA694A" w:rsidRDefault="00FB17E6" w:rsidP="00A57AE7">
      <w:pPr>
        <w:pStyle w:val="ListBullet"/>
      </w:pPr>
      <w:r w:rsidRPr="00CA694A">
        <w:t>Clarifying integrity and security requirements, in particular phytosanitary security</w:t>
      </w:r>
      <w:r>
        <w:t>.</w:t>
      </w:r>
    </w:p>
    <w:p w14:paraId="5D7F5945" w14:textId="77777777" w:rsidR="00FB17E6" w:rsidRPr="00CA694A" w:rsidRDefault="00FB17E6" w:rsidP="00A57AE7">
      <w:pPr>
        <w:pStyle w:val="ListBullet"/>
      </w:pPr>
      <w:r w:rsidRPr="00CA694A">
        <w:t>Clarifying the appeals and decision review policy for adverse decisions</w:t>
      </w:r>
      <w:r>
        <w:t>.</w:t>
      </w:r>
    </w:p>
    <w:p w14:paraId="799086CD" w14:textId="28A6E9AC" w:rsidR="00FB17E6" w:rsidRPr="00CA694A" w:rsidRDefault="00FB17E6" w:rsidP="00A57AE7">
      <w:pPr>
        <w:pStyle w:val="ListBullet"/>
      </w:pPr>
      <w:r w:rsidRPr="00CA694A">
        <w:t xml:space="preserve">Updates to definitions, </w:t>
      </w:r>
      <w:r w:rsidR="002A615F" w:rsidRPr="00CA694A">
        <w:t>language,</w:t>
      </w:r>
      <w:r w:rsidRPr="00CA694A">
        <w:t xml:space="preserve"> and legislative references.</w:t>
      </w:r>
    </w:p>
    <w:p w14:paraId="53C6D580" w14:textId="77777777" w:rsidR="003112C4" w:rsidRDefault="003112C4" w:rsidP="003112C4">
      <w:pPr>
        <w:pStyle w:val="Heading2"/>
      </w:pPr>
      <w:r>
        <w:t>Further information</w:t>
      </w:r>
    </w:p>
    <w:p w14:paraId="781C3EF5" w14:textId="77777777" w:rsidR="00111728" w:rsidRDefault="00111728" w:rsidP="00111728">
      <w:pPr>
        <w:rPr>
          <w:rStyle w:val="Hyperlink"/>
        </w:rPr>
      </w:pPr>
      <w:r>
        <w:rPr>
          <w:lang w:eastAsia="ja-JP"/>
        </w:rPr>
        <w:t xml:space="preserve">Email </w:t>
      </w:r>
      <w:hyperlink r:id="rId13" w:history="1">
        <w:r w:rsidRPr="00385231">
          <w:rPr>
            <w:rStyle w:val="Hyperlink"/>
          </w:rPr>
          <w:t>plantexportreform@awe.gov.au</w:t>
        </w:r>
      </w:hyperlink>
    </w:p>
    <w:p w14:paraId="6EA83663" w14:textId="77777777" w:rsidR="00111728" w:rsidRDefault="00111728" w:rsidP="00111728">
      <w:pPr>
        <w:rPr>
          <w:rStyle w:val="Hyperlink"/>
        </w:rPr>
      </w:pPr>
      <w:r>
        <w:rPr>
          <w:lang w:eastAsia="ja-JP"/>
        </w:rPr>
        <w:t xml:space="preserve">Web </w:t>
      </w:r>
      <w:hyperlink r:id="rId14" w:history="1">
        <w:r w:rsidRPr="00ED3E19">
          <w:rPr>
            <w:rStyle w:val="Hyperlink"/>
          </w:rPr>
          <w:t>awe.gov.au/new-plant-export-legislation</w:t>
        </w:r>
      </w:hyperlink>
    </w:p>
    <w:p w14:paraId="1B1379CF" w14:textId="2CF5170C" w:rsidR="003112C4" w:rsidRDefault="000E7B48" w:rsidP="003112C4">
      <w:pPr>
        <w:rPr>
          <w:lang w:eastAsia="ja-JP"/>
        </w:rPr>
      </w:pPr>
      <w:hyperlink r:id="rId15" w:history="1">
        <w:r w:rsidR="003112C4" w:rsidRPr="003112C4">
          <w:rPr>
            <w:rStyle w:val="Hyperlink"/>
          </w:rPr>
          <w:t>Plant Export Operations Manual:</w:t>
        </w:r>
      </w:hyperlink>
      <w:r w:rsidR="003112C4">
        <w:rPr>
          <w:rStyle w:val="Hyperlink"/>
          <w:color w:val="auto"/>
        </w:rPr>
        <w:t xml:space="preserve"> </w:t>
      </w:r>
      <w:r w:rsidR="003112C4" w:rsidRPr="002A615F">
        <w:t>Guideline: Management of plant export registered establishments and Guideline: Audit of plant export registered establishments</w:t>
      </w:r>
    </w:p>
    <w:p w14:paraId="0AF782FC" w14:textId="0EFF53C7" w:rsidR="003112C4" w:rsidRDefault="003112C4" w:rsidP="003112C4">
      <w:pPr>
        <w:pStyle w:val="Normalsmall"/>
        <w:spacing w:before="480"/>
        <w:rPr>
          <w:lang w:eastAsia="ja-JP"/>
        </w:rPr>
      </w:pPr>
      <w:r>
        <w:rPr>
          <w:lang w:eastAsia="ja-JP"/>
        </w:rPr>
        <w:t>© Commonwealth of Australia 2021</w:t>
      </w:r>
    </w:p>
    <w:p w14:paraId="5468C182" w14:textId="77777777" w:rsidR="003112C4" w:rsidRPr="00587707" w:rsidRDefault="003112C4" w:rsidP="003112C4">
      <w:pPr>
        <w:pStyle w:val="Normalsmall"/>
        <w:rPr>
          <w:rFonts w:asciiTheme="majorHAnsi" w:hAnsiTheme="majorHAnsi"/>
          <w:sz w:val="22"/>
          <w:szCs w:val="22"/>
          <w:lang w:eastAsia="ja-JP"/>
        </w:rPr>
      </w:pPr>
      <w:r>
        <w:rPr>
          <w:lang w:eastAsia="ja-JP"/>
        </w:rPr>
        <w:t xml:space="preserve">This work is copyright. It may </w:t>
      </w:r>
      <w:proofErr w:type="gramStart"/>
      <w:r>
        <w:rPr>
          <w:lang w:eastAsia="ja-JP"/>
        </w:rPr>
        <w:t>be reproduced</w:t>
      </w:r>
      <w:proofErr w:type="gramEnd"/>
      <w:r>
        <w:rPr>
          <w:lang w:eastAsia="ja-JP"/>
        </w:rPr>
        <w:t xml:space="preserve"> in whole or in part subject to the inclusion of an acknowledgement of the source and no commercial usage or sale.</w:t>
      </w:r>
    </w:p>
    <w:sectPr w:rsidR="003112C4" w:rsidRPr="00587707" w:rsidSect="00D4039B">
      <w:headerReference w:type="default" r:id="rId16"/>
      <w:footerReference w:type="default" r:id="rId17"/>
      <w:headerReference w:type="first" r:id="rId18"/>
      <w:pgSz w:w="11906" w:h="16838"/>
      <w:pgMar w:top="2127" w:right="1418" w:bottom="1418" w:left="1418" w:header="56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E6F93" w14:textId="77777777" w:rsidR="000E455C" w:rsidRDefault="00D750D0">
      <w:r>
        <w:separator/>
      </w:r>
    </w:p>
    <w:p w14:paraId="1F0B3D4F" w14:textId="77777777" w:rsidR="000E455C" w:rsidRDefault="000E455C"/>
    <w:p w14:paraId="0D3BD08D" w14:textId="77777777" w:rsidR="000E455C" w:rsidRDefault="000E455C"/>
  </w:endnote>
  <w:endnote w:type="continuationSeparator" w:id="0">
    <w:p w14:paraId="38619959" w14:textId="77777777" w:rsidR="000E455C" w:rsidRDefault="00D750D0">
      <w:r>
        <w:continuationSeparator/>
      </w:r>
    </w:p>
    <w:p w14:paraId="1344B2F7" w14:textId="77777777" w:rsidR="000E455C" w:rsidRDefault="000E455C"/>
    <w:p w14:paraId="4D927A15" w14:textId="77777777" w:rsidR="000E455C" w:rsidRDefault="000E455C"/>
  </w:endnote>
  <w:endnote w:type="continuationNotice" w:id="1">
    <w:p w14:paraId="6263542F" w14:textId="77777777" w:rsidR="000E455C" w:rsidRDefault="000E455C">
      <w:pPr>
        <w:pStyle w:val="Footer"/>
      </w:pPr>
    </w:p>
    <w:p w14:paraId="17A18CF5" w14:textId="77777777" w:rsidR="000E455C" w:rsidRDefault="000E455C"/>
    <w:p w14:paraId="2BA94C7A" w14:textId="77777777" w:rsidR="000E455C" w:rsidRDefault="000E4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A3A4" w14:textId="02C25F36" w:rsidR="000E455C" w:rsidRDefault="00D750D0">
    <w:pPr>
      <w:pStyle w:val="Footer"/>
    </w:pPr>
    <w:r>
      <w:t>Department of Agriculture</w:t>
    </w:r>
    <w:r w:rsidR="009A7764">
      <w:t xml:space="preserve">, </w:t>
    </w:r>
    <w:proofErr w:type="gramStart"/>
    <w:r w:rsidR="009A7764">
      <w:t>Water</w:t>
    </w:r>
    <w:proofErr w:type="gramEnd"/>
    <w:r w:rsidR="009A7764">
      <w:t xml:space="preserve"> and the Environment</w:t>
    </w:r>
  </w:p>
  <w:p w14:paraId="5B637164" w14:textId="77777777" w:rsidR="000E455C" w:rsidRDefault="00D750D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113A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43F11" w14:textId="77777777" w:rsidR="000E455C" w:rsidRDefault="00D750D0">
      <w:r>
        <w:separator/>
      </w:r>
    </w:p>
    <w:p w14:paraId="46342832" w14:textId="77777777" w:rsidR="000E455C" w:rsidRDefault="000E455C"/>
    <w:p w14:paraId="59F6E8C5" w14:textId="77777777" w:rsidR="000E455C" w:rsidRDefault="000E455C"/>
  </w:footnote>
  <w:footnote w:type="continuationSeparator" w:id="0">
    <w:p w14:paraId="47F88FDE" w14:textId="77777777" w:rsidR="000E455C" w:rsidRDefault="00D750D0">
      <w:r>
        <w:continuationSeparator/>
      </w:r>
    </w:p>
    <w:p w14:paraId="25B40B7F" w14:textId="77777777" w:rsidR="000E455C" w:rsidRDefault="000E455C"/>
    <w:p w14:paraId="0729C46F" w14:textId="77777777" w:rsidR="000E455C" w:rsidRDefault="000E455C"/>
  </w:footnote>
  <w:footnote w:type="continuationNotice" w:id="1">
    <w:p w14:paraId="7E892AD1" w14:textId="77777777" w:rsidR="000E455C" w:rsidRDefault="000E455C">
      <w:pPr>
        <w:pStyle w:val="Footer"/>
      </w:pPr>
    </w:p>
    <w:p w14:paraId="6F3C933A" w14:textId="77777777" w:rsidR="000E455C" w:rsidRDefault="000E455C"/>
    <w:p w14:paraId="01E9094B" w14:textId="77777777" w:rsidR="000E455C" w:rsidRDefault="000E4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84D2E" w14:textId="3AD10A01" w:rsidR="002026DA" w:rsidRDefault="002026DA" w:rsidP="002026DA">
    <w:pPr>
      <w:pStyle w:val="Header"/>
    </w:pPr>
    <w:r>
      <w:t>Plant rules – overview of changes for registered establishments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8F459" w14:textId="2206FCBD" w:rsidR="000E455C" w:rsidRDefault="00D30F4A" w:rsidP="00D30F4A">
    <w:pPr>
      <w:pStyle w:val="Header"/>
      <w:tabs>
        <w:tab w:val="clear" w:pos="4820"/>
        <w:tab w:val="left" w:pos="2200"/>
      </w:tabs>
      <w:jc w:val="left"/>
    </w:pPr>
    <w:r>
      <w:rPr>
        <w:noProof/>
        <w:u w:val="single"/>
        <w:lang w:eastAsia="en-AU"/>
      </w:rPr>
      <w:drawing>
        <wp:anchor distT="0" distB="0" distL="114300" distR="114300" simplePos="0" relativeHeight="251661312" behindDoc="1" locked="0" layoutInCell="1" allowOverlap="1" wp14:anchorId="6CE93D9B" wp14:editId="5E394472">
          <wp:simplePos x="0" y="0"/>
          <wp:positionH relativeFrom="page">
            <wp:posOffset>-20320</wp:posOffset>
          </wp:positionH>
          <wp:positionV relativeFrom="paragraph">
            <wp:posOffset>-361950</wp:posOffset>
          </wp:positionV>
          <wp:extent cx="7630160" cy="21812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60" cy="218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B8EA8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A8CB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005C61"/>
    <w:multiLevelType w:val="hybridMultilevel"/>
    <w:tmpl w:val="8C2E5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258BD"/>
    <w:multiLevelType w:val="hybridMultilevel"/>
    <w:tmpl w:val="318C1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4983"/>
    <w:multiLevelType w:val="hybridMultilevel"/>
    <w:tmpl w:val="EE060132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B606F"/>
    <w:multiLevelType w:val="hybridMultilevel"/>
    <w:tmpl w:val="E0560262"/>
    <w:lvl w:ilvl="0" w:tplc="B9FA63BE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28D5"/>
    <w:multiLevelType w:val="multilevel"/>
    <w:tmpl w:val="BE78A4F8"/>
    <w:numStyleLink w:val="Numberlist"/>
  </w:abstractNum>
  <w:abstractNum w:abstractNumId="8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BF5692"/>
    <w:multiLevelType w:val="hybridMultilevel"/>
    <w:tmpl w:val="C240B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069C4"/>
    <w:multiLevelType w:val="hybridMultilevel"/>
    <w:tmpl w:val="914EBF8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A5E6D62"/>
    <w:multiLevelType w:val="hybridMultilevel"/>
    <w:tmpl w:val="6A220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B2846"/>
    <w:multiLevelType w:val="hybridMultilevel"/>
    <w:tmpl w:val="A0928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642E7"/>
    <w:multiLevelType w:val="multilevel"/>
    <w:tmpl w:val="C0947DC4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5AA12966"/>
    <w:multiLevelType w:val="multilevel"/>
    <w:tmpl w:val="A9A6E414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18"/>
  </w:num>
  <w:num w:numId="5">
    <w:abstractNumId w:val="8"/>
  </w:num>
  <w:num w:numId="6">
    <w:abstractNumId w:val="16"/>
  </w:num>
  <w:num w:numId="7">
    <w:abstractNumId w:val="7"/>
  </w:num>
  <w:num w:numId="8">
    <w:abstractNumId w:val="14"/>
  </w:num>
  <w:num w:numId="9">
    <w:abstractNumId w:val="5"/>
  </w:num>
  <w:num w:numId="10">
    <w:abstractNumId w:val="1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3"/>
  </w:num>
  <w:num w:numId="17">
    <w:abstractNumId w:val="9"/>
  </w:num>
  <w:num w:numId="18">
    <w:abstractNumId w:val="11"/>
  </w:num>
  <w:num w:numId="1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5C"/>
    <w:rsid w:val="000052FE"/>
    <w:rsid w:val="00013323"/>
    <w:rsid w:val="00021590"/>
    <w:rsid w:val="00054835"/>
    <w:rsid w:val="00066D0B"/>
    <w:rsid w:val="000C2180"/>
    <w:rsid w:val="000D068A"/>
    <w:rsid w:val="000E3C65"/>
    <w:rsid w:val="000E455C"/>
    <w:rsid w:val="000E7B48"/>
    <w:rsid w:val="00111728"/>
    <w:rsid w:val="00131592"/>
    <w:rsid w:val="001362F7"/>
    <w:rsid w:val="00190D7E"/>
    <w:rsid w:val="001A6968"/>
    <w:rsid w:val="001D0EF3"/>
    <w:rsid w:val="001E304C"/>
    <w:rsid w:val="002026DA"/>
    <w:rsid w:val="0020503B"/>
    <w:rsid w:val="0026612A"/>
    <w:rsid w:val="002A3873"/>
    <w:rsid w:val="002A615F"/>
    <w:rsid w:val="002C7338"/>
    <w:rsid w:val="002E284D"/>
    <w:rsid w:val="00311269"/>
    <w:rsid w:val="003112C4"/>
    <w:rsid w:val="003617FA"/>
    <w:rsid w:val="00363AD8"/>
    <w:rsid w:val="003870EC"/>
    <w:rsid w:val="003A7D96"/>
    <w:rsid w:val="004113AF"/>
    <w:rsid w:val="004168C4"/>
    <w:rsid w:val="00445487"/>
    <w:rsid w:val="004659B9"/>
    <w:rsid w:val="00477808"/>
    <w:rsid w:val="004A47E0"/>
    <w:rsid w:val="004B52E3"/>
    <w:rsid w:val="005019D0"/>
    <w:rsid w:val="00542B45"/>
    <w:rsid w:val="00553E9D"/>
    <w:rsid w:val="0055447F"/>
    <w:rsid w:val="00587707"/>
    <w:rsid w:val="005D27DD"/>
    <w:rsid w:val="006156DF"/>
    <w:rsid w:val="00625D8D"/>
    <w:rsid w:val="00630FED"/>
    <w:rsid w:val="00641E64"/>
    <w:rsid w:val="006E6D6C"/>
    <w:rsid w:val="00703D0B"/>
    <w:rsid w:val="0070464B"/>
    <w:rsid w:val="007E7668"/>
    <w:rsid w:val="008342BF"/>
    <w:rsid w:val="00846118"/>
    <w:rsid w:val="0088047B"/>
    <w:rsid w:val="00884562"/>
    <w:rsid w:val="00902E92"/>
    <w:rsid w:val="00911F4A"/>
    <w:rsid w:val="00972AAE"/>
    <w:rsid w:val="00974CD6"/>
    <w:rsid w:val="009A7764"/>
    <w:rsid w:val="009C206F"/>
    <w:rsid w:val="009C3A51"/>
    <w:rsid w:val="009C7C6A"/>
    <w:rsid w:val="009D0ACF"/>
    <w:rsid w:val="009F6ACF"/>
    <w:rsid w:val="00A2666E"/>
    <w:rsid w:val="00A45263"/>
    <w:rsid w:val="00A57AE7"/>
    <w:rsid w:val="00A6781C"/>
    <w:rsid w:val="00A67D61"/>
    <w:rsid w:val="00A91999"/>
    <w:rsid w:val="00AA1D89"/>
    <w:rsid w:val="00AA2F29"/>
    <w:rsid w:val="00AA4CFA"/>
    <w:rsid w:val="00AC1944"/>
    <w:rsid w:val="00AE1E6E"/>
    <w:rsid w:val="00B0121B"/>
    <w:rsid w:val="00B11F46"/>
    <w:rsid w:val="00B60F8C"/>
    <w:rsid w:val="00B8527E"/>
    <w:rsid w:val="00BA313A"/>
    <w:rsid w:val="00BA68AE"/>
    <w:rsid w:val="00BB29F9"/>
    <w:rsid w:val="00BD4F8E"/>
    <w:rsid w:val="00BE7ED9"/>
    <w:rsid w:val="00BF37CE"/>
    <w:rsid w:val="00C120F8"/>
    <w:rsid w:val="00C54F0C"/>
    <w:rsid w:val="00C6128D"/>
    <w:rsid w:val="00C70709"/>
    <w:rsid w:val="00C765C8"/>
    <w:rsid w:val="00C91722"/>
    <w:rsid w:val="00CA0B8D"/>
    <w:rsid w:val="00CB3471"/>
    <w:rsid w:val="00CF03E2"/>
    <w:rsid w:val="00D118B2"/>
    <w:rsid w:val="00D30F4A"/>
    <w:rsid w:val="00D4039B"/>
    <w:rsid w:val="00D4503A"/>
    <w:rsid w:val="00D6754F"/>
    <w:rsid w:val="00D718B0"/>
    <w:rsid w:val="00D727A8"/>
    <w:rsid w:val="00D750D0"/>
    <w:rsid w:val="00D76406"/>
    <w:rsid w:val="00DA62F7"/>
    <w:rsid w:val="00DA6794"/>
    <w:rsid w:val="00DC00AF"/>
    <w:rsid w:val="00E27FDA"/>
    <w:rsid w:val="00E572AA"/>
    <w:rsid w:val="00E95CD8"/>
    <w:rsid w:val="00EE4EC2"/>
    <w:rsid w:val="00F41F6B"/>
    <w:rsid w:val="00FA045C"/>
    <w:rsid w:val="00FB17E6"/>
    <w:rsid w:val="00FC4FA0"/>
    <w:rsid w:val="00FC5D77"/>
    <w:rsid w:val="00FD337C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37CC7128"/>
  <w15:docId w15:val="{FA3EAC4F-E184-4D40-BF44-78414F3E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C8"/>
    <w:pPr>
      <w:spacing w:after="12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000000"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C6128D"/>
    <w:pPr>
      <w:keepNext/>
      <w:spacing w:before="120" w:line="240" w:lineRule="auto"/>
      <w:ind w:left="720" w:hanging="720"/>
      <w:outlineLvl w:val="1"/>
    </w:pPr>
    <w:rPr>
      <w:rFonts w:ascii="Calibri" w:eastAsiaTheme="minorEastAsia" w:hAnsi="Calibri"/>
      <w:b/>
      <w:bCs/>
      <w:color w:val="5482AB"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pPr>
      <w:keepNext/>
      <w:ind w:left="964" w:hanging="964"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pPr>
      <w:keepNext/>
      <w:keepLines/>
      <w:spacing w:after="0" w:line="240" w:lineRule="auto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HAnsi" w:hAnsi="Calibri" w:cstheme="minorBidi"/>
      <w:b/>
      <w:bCs/>
      <w:color w:val="000000"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C6128D"/>
    <w:rPr>
      <w:rFonts w:ascii="Calibri" w:eastAsiaTheme="minorEastAsia" w:hAnsi="Calibri" w:cstheme="minorBidi"/>
      <w:b/>
      <w:bCs/>
      <w:color w:val="5482A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Pr>
      <w:rFonts w:ascii="Calibri" w:eastAsiaTheme="minorHAnsi" w:hAnsi="Calibri" w:cstheme="minorBidi"/>
      <w:b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/>
      <w:bCs/>
      <w:color w:val="000000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pPr>
      <w:numPr>
        <w:numId w:val="3"/>
      </w:numPr>
      <w:spacing w:before="120"/>
    </w:pPr>
  </w:style>
  <w:style w:type="paragraph" w:styleId="TableofFigures">
    <w:name w:val="table of figures"/>
    <w:basedOn w:val="Normal"/>
    <w:next w:val="Normal"/>
    <w:uiPriority w:val="99"/>
    <w:pPr>
      <w:spacing w:before="120" w:line="240" w:lineRule="auto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3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7"/>
      </w:numPr>
      <w:tabs>
        <w:tab w:val="left" w:pos="142"/>
      </w:tabs>
      <w:spacing w:before="120"/>
    </w:pPr>
  </w:style>
  <w:style w:type="paragraph" w:styleId="ListNumber2">
    <w:name w:val="List Number 2"/>
    <w:uiPriority w:val="10"/>
    <w:qFormat/>
    <w:pPr>
      <w:numPr>
        <w:ilvl w:val="1"/>
        <w:numId w:val="7"/>
      </w:numPr>
      <w:tabs>
        <w:tab w:val="left" w:pos="567"/>
      </w:tabs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7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basedOn w:val="DefaultParagraphFont"/>
    <w:uiPriority w:val="99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Normal"/>
    <w:uiPriority w:val="15"/>
    <w:qFormat/>
    <w:pPr>
      <w:numPr>
        <w:numId w:val="2"/>
      </w:numPr>
      <w:spacing w:before="60" w:after="60" w:line="240" w:lineRule="auto"/>
      <w:ind w:left="284" w:hanging="284"/>
    </w:pPr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4"/>
      </w:numPr>
    </w:pPr>
  </w:style>
  <w:style w:type="numbering" w:customStyle="1" w:styleId="Headinglist">
    <w:name w:val="Heading list"/>
    <w:uiPriority w:val="99"/>
    <w:pPr>
      <w:numPr>
        <w:numId w:val="5"/>
      </w:numPr>
    </w:pPr>
  </w:style>
  <w:style w:type="paragraph" w:customStyle="1" w:styleId="Normalsmall">
    <w:name w:val="Normal small"/>
    <w:qFormat/>
    <w:pPr>
      <w:spacing w:after="120" w:line="276" w:lineRule="auto"/>
    </w:pPr>
    <w:rPr>
      <w:rFonts w:eastAsia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pPr>
      <w:numPr>
        <w:ilvl w:val="2"/>
        <w:numId w:val="3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pPr>
      <w:numPr>
        <w:numId w:val="6"/>
      </w:numPr>
      <w:spacing w:before="60" w:after="60"/>
      <w:ind w:left="403"/>
      <w:contextualSpacing/>
    </w:pPr>
    <w:rPr>
      <w:rFonts w:asciiTheme="minorHAnsi" w:eastAsia="Calibri" w:hAnsiTheme="minorHAnsi"/>
      <w:color w:val="000000" w:themeColor="text1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pPr>
      <w:numPr>
        <w:numId w:val="9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8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553E9D"/>
    <w:pPr>
      <w:spacing w:before="60" w:after="60"/>
    </w:pPr>
    <w:rPr>
      <w:rFonts w:asciiTheme="majorHAnsi" w:eastAsia="Times New Roman" w:hAnsiTheme="maj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pPr>
      <w:spacing w:before="600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ries">
    <w:name w:val="Series"/>
    <w:basedOn w:val="Normal"/>
    <w:qFormat/>
    <w:rsid w:val="00445487"/>
    <w:pPr>
      <w:spacing w:before="120"/>
    </w:pPr>
    <w:rPr>
      <w:rFonts w:asciiTheme="minorHAnsi" w:hAnsiTheme="minorHAnsi"/>
      <w:b/>
      <w:i/>
      <w:color w:val="5482AB"/>
      <w:sz w:val="32"/>
    </w:rPr>
  </w:style>
  <w:style w:type="paragraph" w:styleId="ListParagraph">
    <w:name w:val="List Paragraph"/>
    <w:aliases w:val="Recommendation,List Paragraph1,List Paragraph11,NFP GP Bulleted List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9A7764"/>
    <w:pPr>
      <w:spacing w:before="120" w:after="0" w:line="240" w:lineRule="auto"/>
      <w:ind w:left="720"/>
      <w:contextualSpacing/>
    </w:pPr>
    <w:rPr>
      <w:rFonts w:ascii="Cambria" w:eastAsia="Calibri" w:hAnsi="Cambria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9A7764"/>
    <w:pPr>
      <w:spacing w:line="240" w:lineRule="auto"/>
      <w:ind w:left="283"/>
    </w:pPr>
    <w:rPr>
      <w:rFonts w:ascii="Calibri" w:eastAsia="Times New Roman" w:hAnsi="Calibri" w:cs="Times New Roman"/>
      <w:szCs w:val="24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A7764"/>
    <w:rPr>
      <w:rFonts w:ascii="Calibri" w:eastAsia="Times New Roman" w:hAnsi="Calibri"/>
      <w:sz w:val="22"/>
      <w:szCs w:val="24"/>
      <w:lang w:eastAsia="en-US" w:bidi="en-US"/>
    </w:rPr>
  </w:style>
  <w:style w:type="character" w:customStyle="1" w:styleId="ListParagraphChar">
    <w:name w:val="List Paragraph Char"/>
    <w:aliases w:val="Recommendation Char,List Paragraph1 Char,List Paragraph11 Char,NFP GP Bulleted List Char,FooterText Char,numbered Char,Paragraphe de liste1 Char,Bulletr List Paragraph Char,列出段落 Char,列出段落1 Char,List Paragraph2 Char,Listeafsnit1 Char"/>
    <w:link w:val="ListParagraph"/>
    <w:uiPriority w:val="99"/>
    <w:locked/>
    <w:rsid w:val="002C7338"/>
    <w:rPr>
      <w:rFonts w:eastAsia="Calibri"/>
      <w:sz w:val="22"/>
      <w:szCs w:val="22"/>
      <w:lang w:eastAsia="en-US"/>
    </w:rPr>
  </w:style>
  <w:style w:type="character" w:customStyle="1" w:styleId="Bullet1Char">
    <w:name w:val="Bullet 1 Char"/>
    <w:basedOn w:val="DefaultParagraphFont"/>
    <w:link w:val="Bullet1"/>
    <w:locked/>
    <w:rsid w:val="00BA68AE"/>
    <w:rPr>
      <w:rFonts w:ascii="Arial" w:hAnsi="Arial" w:cs="Arial"/>
      <w:szCs w:val="24"/>
    </w:rPr>
  </w:style>
  <w:style w:type="paragraph" w:customStyle="1" w:styleId="Bullet1">
    <w:name w:val="Bullet 1"/>
    <w:basedOn w:val="Normal"/>
    <w:link w:val="Bullet1Char"/>
    <w:qFormat/>
    <w:rsid w:val="00BA68AE"/>
    <w:pPr>
      <w:numPr>
        <w:numId w:val="10"/>
      </w:numPr>
      <w:spacing w:before="60" w:after="60" w:line="240" w:lineRule="auto"/>
    </w:pPr>
    <w:rPr>
      <w:rFonts w:ascii="Arial" w:eastAsia="Cambria" w:hAnsi="Arial" w:cs="Arial"/>
      <w:sz w:val="20"/>
      <w:szCs w:val="24"/>
      <w:lang w:eastAsia="en-AU"/>
    </w:rPr>
  </w:style>
  <w:style w:type="paragraph" w:customStyle="1" w:styleId="Bullet2">
    <w:name w:val="Bullet 2"/>
    <w:basedOn w:val="Normal"/>
    <w:qFormat/>
    <w:rsid w:val="00BA68AE"/>
    <w:pPr>
      <w:numPr>
        <w:ilvl w:val="1"/>
        <w:numId w:val="10"/>
      </w:numPr>
      <w:spacing w:before="60" w:after="60" w:line="240" w:lineRule="auto"/>
    </w:pPr>
    <w:rPr>
      <w:rFonts w:ascii="Arial" w:eastAsia="Times New Roman" w:hAnsi="Arial" w:cs="Times New Roman"/>
      <w:sz w:val="20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112C4"/>
    <w:rPr>
      <w:color w:val="605E5C"/>
      <w:shd w:val="clear" w:color="auto" w:fill="E1DFDD"/>
    </w:rPr>
  </w:style>
  <w:style w:type="paragraph" w:customStyle="1" w:styleId="Preliminarycontentheading">
    <w:name w:val="Preliminary content heading"/>
    <w:link w:val="PreliminarycontentheadingChar"/>
    <w:uiPriority w:val="28"/>
    <w:qFormat/>
    <w:rsid w:val="00FB17E6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FB17E6"/>
    <w:rPr>
      <w:rFonts w:ascii="Calibri" w:eastAsia="Times New Roman" w:hAnsi="Calibri"/>
      <w:bCs/>
      <w:color w:val="000000"/>
      <w:sz w:val="56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lantexportreform@awe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estplant@agriculture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portestablishment@agriculture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griculture.gov.au/export/controlled-goods/plants-plant-products/plantexportsmanua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we.gov.au/new-plant-export-legisl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onath%20alakananda\Downloads\Standard-report-template-with-numbered-heading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B25C6BD88945B43274A2B55CC893" ma:contentTypeVersion="8" ma:contentTypeDescription="Create a new document." ma:contentTypeScope="" ma:versionID="66fa147d1a090996fdbfbd07790f31d0">
  <xsd:schema xmlns:xsd="http://www.w3.org/2001/XMLSchema" xmlns:xs="http://www.w3.org/2001/XMLSchema" xmlns:p="http://schemas.microsoft.com/office/2006/metadata/properties" xmlns:ns1="http://schemas.microsoft.com/sharepoint/v3" xmlns:ns2="7cf0e0db-f490-4122-abae-21917392c748" targetNamespace="http://schemas.microsoft.com/office/2006/metadata/properties" ma:root="true" ma:fieldsID="b4c7fdbaab2653067f148b97a858fdeb" ns1:_="" ns2:_="">
    <xsd:import namespace="http://schemas.microsoft.com/sharepoint/v3"/>
    <xsd:import namespace="7cf0e0db-f490-4122-abae-21917392c74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2:Display_x0020_as" minOccurs="0"/>
                <xsd:element ref="ns2:bb374297174b4bdba831a078c8472ed4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0e0db-f490-4122-abae-21917392c748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format="Dropdown" ma:internalName="Topic">
      <xsd:simpleType>
        <xsd:restriction base="dms:Choice">
          <xsd:enumeration value="About the Department"/>
          <xsd:enumeration value="AAIs"/>
          <xsd:enumeration value="Administrative design"/>
          <xsd:enumeration value="Awards and recognition"/>
          <xsd:enumeration value="Budget and Annual Report"/>
          <xsd:enumeration value="Building access"/>
          <xsd:enumeration value="Business Continuity"/>
          <xsd:enumeration value="Business improvement"/>
          <xsd:enumeration value="Canberra Facilities"/>
          <xsd:enumeration value="Car parking"/>
          <xsd:enumeration value="Committees and Networks"/>
          <xsd:enumeration value="Conduct and behavior"/>
          <xsd:enumeration value="Contacts"/>
          <xsd:enumeration value="Corporate and Business Plans"/>
          <xsd:enumeration value="Delegations"/>
          <xsd:enumeration value="Emergency"/>
          <xsd:enumeration value="Enterprise Agreement"/>
          <xsd:enumeration value="FaBS Service Centre"/>
          <xsd:enumeration value="Finance"/>
          <xsd:enumeration value="Finance Training"/>
          <xsd:enumeration value="FOI and Privacy"/>
          <xsd:enumeration value="Fraud and Security"/>
          <xsd:enumeration value="Grants Management"/>
          <xsd:enumeration value="Health and safety"/>
          <xsd:enumeration value="IML"/>
          <xsd:enumeration value="Information/Records Management"/>
          <xsd:enumeration value="IT Services"/>
          <xsd:enumeration value="Learning and development"/>
          <xsd:enumeration value="Leave"/>
          <xsd:enumeration value="Legal"/>
          <xsd:enumeration value="Legislation, regulation and regulatory reform"/>
          <xsd:enumeration value="Mail and Freight"/>
          <xsd:enumeration value="Media and speeches"/>
          <xsd:enumeration value="Minister"/>
          <xsd:enumeration value="Ministerial and parliamentary"/>
          <xsd:enumeration value="News and Events"/>
          <xsd:enumeration value="Office supplies"/>
          <xsd:enumeration value="Online publishing"/>
          <xsd:enumeration value="Performance Management"/>
          <xsd:enumeration value="Program and Project Management"/>
          <xsd:enumeration value="Properties, facilities and supplies"/>
          <xsd:enumeration value="Publications"/>
          <xsd:enumeration value="Recruitment"/>
          <xsd:enumeration value="Risk Management"/>
          <xsd:enumeration value="Salary"/>
          <xsd:enumeration value="Secretary and Executive"/>
          <xsd:enumeration value="Service Delivery"/>
          <xsd:enumeration value="Service Delivery Modernisation"/>
          <xsd:enumeration value="Social"/>
          <xsd:enumeration value="Social Media"/>
          <xsd:enumeration value="Staff Surveys"/>
          <xsd:enumeration value="Structure"/>
          <xsd:enumeration value="Style guides and writing"/>
          <xsd:enumeration value="Tools and Systems"/>
          <xsd:enumeration value="Travel"/>
          <xsd:enumeration value="Vehicles - Fleet"/>
          <xsd:enumeration value="Working arrangements"/>
          <xsd:enumeration value="Worklife balance"/>
          <xsd:enumeration value="Workplace diversity"/>
        </xsd:restriction>
      </xsd:simpleType>
    </xsd:element>
    <xsd:element name="Display_x0020_as" ma:index="11" nillable="true" ma:displayName="Display as" ma:default="N/A" ma:description="for identifying policies procedures, forms and templates" ma:internalName="Display_x0020_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Form"/>
                    <xsd:enumeration value="Template"/>
                    <xsd:enumeration value="Checklist"/>
                    <xsd:enumeration value="Contact"/>
                    <xsd:enumeration value="New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bb374297174b4bdba831a078c8472ed4" ma:index="12" nillable="true" ma:taxonomy="true" ma:internalName="bb374297174b4bdba831a078c8472ed4" ma:taxonomyFieldName="Document_x0020_Type" ma:displayName="Document Type" ma:default="" ma:fieldId="{bb374297-174b-4bdb-a831-a078c8472ed4}" ma:sspId="09220d36-2b40-42d2-98de-701753724435" ma:termSetId="4ce58473-0306-406e-a93f-f5dd13a02506" ma:anchorId="38d06e9b-17d5-490d-973f-9a1f4cecc264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6f63d10-0b52-4490-b9e7-721c0b21adac}" ma:internalName="TaxCatchAll" ma:showField="CatchAllData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6f63d10-0b52-4490-b9e7-721c0b21adac}" ma:internalName="TaxCatchAllLabel" ma:readOnly="true" ma:showField="CatchAllDataLabel" ma:web="7cf0e0db-f490-4122-abae-21917392c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cf0e0db-f490-4122-abae-21917392c748" xsi:nil="true"/>
    <PublishingExpirationDate xmlns="http://schemas.microsoft.com/sharepoint/v3" xsi:nil="true"/>
    <PublishingStartDate xmlns="http://schemas.microsoft.com/sharepoint/v3" xsi:nil="true"/>
    <Display_x0020_as xmlns="7cf0e0db-f490-4122-abae-21917392c748">
      <Value>Template</Value>
    </Display_x0020_as>
    <bb374297174b4bdba831a078c8472ed4 xmlns="7cf0e0db-f490-4122-abae-21917392c748">
      <Terms xmlns="http://schemas.microsoft.com/office/infopath/2007/PartnerControls"/>
    </bb374297174b4bdba831a078c8472ed4>
    <TaxCatchAll xmlns="7cf0e0db-f490-4122-abae-21917392c748"/>
  </documentManagement>
</p:properties>
</file>

<file path=customXml/itemProps1.xml><?xml version="1.0" encoding="utf-8"?>
<ds:datastoreItem xmlns:ds="http://schemas.openxmlformats.org/officeDocument/2006/customXml" ds:itemID="{B386F512-9CF2-448B-B6E8-AA4972113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F07A3-2ED5-4901-97F9-F2B2E221F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0e0db-f490-4122-abae-21917392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1CAD33-3B39-4665-A5E6-666D035120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f0e0db-f490-4122-abae-21917392c74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Standard-report-template-with-numbered-headings (1).dotx</Template>
  <TotalTime>4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rules - overview of changes for registered establishments</vt:lpstr>
    </vt:vector>
  </TitlesOfParts>
  <Company/>
  <LinksUpToDate>false</LinksUpToDate>
  <CharactersWithSpaces>5356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rules - overview of changes for registered establishments</dc:title>
  <dc:creator>Department of Agriculture, Water and the Environment</dc:creator>
  <cp:lastModifiedBy>Watters, Juanita</cp:lastModifiedBy>
  <cp:revision>6</cp:revision>
  <cp:lastPrinted>2019-01-21T05:17:00Z</cp:lastPrinted>
  <dcterms:created xsi:type="dcterms:W3CDTF">2021-02-22T05:30:00Z</dcterms:created>
  <dcterms:modified xsi:type="dcterms:W3CDTF">2021-03-03T06:03:00Z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0x0101004A7FB25C6BD88945B43274A2B55CC893</vt:lpwstr>
  </property>
</Properties>
</file>