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EC320" w14:textId="1AD8F13C" w:rsidR="000E455C" w:rsidRDefault="005E4D9B" w:rsidP="0013173D">
      <w:pPr>
        <w:pStyle w:val="Date"/>
        <w:spacing w:before="1440"/>
      </w:pPr>
      <w:r w:rsidRPr="00FB4A36">
        <w:t>January</w:t>
      </w:r>
      <w:r w:rsidR="0044304D">
        <w:t xml:space="preserve"> </w:t>
      </w:r>
      <w:r w:rsidR="00B82095" w:rsidRPr="005E4D9B">
        <w:t>20</w:t>
      </w:r>
      <w:r w:rsidR="0044304D" w:rsidRPr="005E4D9B">
        <w:t>2</w:t>
      </w:r>
      <w:r>
        <w:t>5</w:t>
      </w:r>
    </w:p>
    <w:p w14:paraId="3140573A" w14:textId="397A1CDA" w:rsidR="00D04A3C" w:rsidRPr="007B4C63" w:rsidRDefault="00CE41C1" w:rsidP="007B4C63">
      <w:pPr>
        <w:pStyle w:val="Series"/>
      </w:pPr>
      <w:r>
        <w:t>Australia’s i</w:t>
      </w:r>
      <w:r w:rsidR="00293A1A">
        <w:t>llegal logging laws</w:t>
      </w:r>
    </w:p>
    <w:p w14:paraId="0C5F132E" w14:textId="371A8703" w:rsidR="00B82095" w:rsidRPr="00220618" w:rsidRDefault="000540D3" w:rsidP="007B4C63">
      <w:pPr>
        <w:pStyle w:val="Heading1"/>
      </w:pPr>
      <w:bookmarkStart w:id="0" w:name="_Hlk187397165"/>
      <w:r>
        <w:t xml:space="preserve">Navigating New Rules: </w:t>
      </w:r>
      <w:r w:rsidR="00FE3E18">
        <w:t xml:space="preserve">Transitioning </w:t>
      </w:r>
      <w:r>
        <w:t>to new arrangements</w:t>
      </w:r>
    </w:p>
    <w:p w14:paraId="23131ED3" w14:textId="52F5C6C9" w:rsidR="00FA66D6" w:rsidRDefault="00FA66D6" w:rsidP="00E87842">
      <w:pPr>
        <w:tabs>
          <w:tab w:val="left" w:pos="6135"/>
        </w:tabs>
      </w:pPr>
      <w:bookmarkStart w:id="1" w:name="_Hlk187397143"/>
      <w:bookmarkEnd w:id="0"/>
      <w:r>
        <w:t>This factsheet provides</w:t>
      </w:r>
      <w:r w:rsidR="00DE5CB7">
        <w:t xml:space="preserve"> </w:t>
      </w:r>
      <w:r w:rsidR="00FE3E18">
        <w:t>information to support importer</w:t>
      </w:r>
      <w:r w:rsidR="00DB07BC">
        <w:t>s</w:t>
      </w:r>
      <w:r w:rsidR="00FE3E18">
        <w:t xml:space="preserve"> and </w:t>
      </w:r>
      <w:r w:rsidR="003B1694">
        <w:t xml:space="preserve">processors </w:t>
      </w:r>
      <w:r w:rsidR="00FE3E18">
        <w:t xml:space="preserve">transition to new arrangements under Australia’s </w:t>
      </w:r>
      <w:r>
        <w:t>illegal logging laws</w:t>
      </w:r>
      <w:r w:rsidR="00A15966">
        <w:t xml:space="preserve"> from </w:t>
      </w:r>
      <w:r w:rsidR="00A15966" w:rsidRPr="00921FCC">
        <w:rPr>
          <w:b/>
          <w:bCs/>
        </w:rPr>
        <w:t>3 March 2025</w:t>
      </w:r>
      <w:r>
        <w:t>.</w:t>
      </w:r>
      <w:r w:rsidR="00DE5CB7">
        <w:t xml:space="preserve"> </w:t>
      </w:r>
    </w:p>
    <w:bookmarkEnd w:id="1"/>
    <w:p w14:paraId="3F33715A" w14:textId="21189154" w:rsidR="00293A1A" w:rsidRDefault="00A15966" w:rsidP="00E87842">
      <w:pPr>
        <w:tabs>
          <w:tab w:val="left" w:pos="6135"/>
        </w:tabs>
      </w:pPr>
      <w:r>
        <w:t>These</w:t>
      </w:r>
      <w:r w:rsidR="00293A1A">
        <w:t xml:space="preserve"> laws</w:t>
      </w:r>
      <w:r>
        <w:t xml:space="preserve"> </w:t>
      </w:r>
      <w:r w:rsidR="00CE41C1">
        <w:t xml:space="preserve">have been reformed to ensure they remain effective </w:t>
      </w:r>
      <w:r w:rsidR="00293A1A">
        <w:t>to combat illegal logging and promote the trade of legal timber products</w:t>
      </w:r>
      <w:r w:rsidR="00CE41C1">
        <w:t xml:space="preserve"> in Australia</w:t>
      </w:r>
      <w:r w:rsidR="00293A1A">
        <w:t xml:space="preserve">. </w:t>
      </w:r>
      <w:r w:rsidR="00CE41C1">
        <w:t>As of 3 March, t</w:t>
      </w:r>
      <w:r w:rsidR="005E4D9B">
        <w:t>he</w:t>
      </w:r>
      <w:r w:rsidR="00CE41C1">
        <w:t xml:space="preserve"> reformed laws</w:t>
      </w:r>
      <w:r w:rsidR="005E4D9B">
        <w:t xml:space="preserve"> </w:t>
      </w:r>
      <w:r w:rsidR="00CE41C1">
        <w:t>will be</w:t>
      </w:r>
      <w:r w:rsidR="00293A1A">
        <w:t xml:space="preserve"> set out in two pieces of legislation:</w:t>
      </w:r>
    </w:p>
    <w:p w14:paraId="3B33558D" w14:textId="77777777" w:rsidR="00F03D8C" w:rsidRPr="00F03D8C" w:rsidRDefault="004C5565" w:rsidP="00FE3E18">
      <w:pPr>
        <w:pStyle w:val="ListBullet"/>
        <w:rPr>
          <w:rStyle w:val="Hyperlink"/>
          <w:color w:val="auto"/>
          <w:u w:val="none"/>
        </w:rPr>
      </w:pPr>
      <w:r>
        <w:rPr>
          <w:rStyle w:val="Hyperlink"/>
          <w:i/>
          <w:iCs/>
        </w:rPr>
        <w:t xml:space="preserve"> </w:t>
      </w:r>
      <w:hyperlink r:id="rId11" w:history="1">
        <w:r w:rsidRPr="00CE2CA7">
          <w:rPr>
            <w:rStyle w:val="Hyperlink"/>
            <w:i/>
            <w:iCs/>
          </w:rPr>
          <w:t>Illegal</w:t>
        </w:r>
        <w:r w:rsidR="00C9244B" w:rsidRPr="00CE2CA7">
          <w:rPr>
            <w:rStyle w:val="Hyperlink"/>
            <w:i/>
            <w:iCs/>
          </w:rPr>
          <w:t xml:space="preserve"> Logging Prohibition Amendment (Strengthening Measures to Prevent Illegal Timber Trade) Act 2024</w:t>
        </w:r>
      </w:hyperlink>
      <w:r w:rsidR="00C9244B">
        <w:rPr>
          <w:rStyle w:val="Hyperlink"/>
          <w:i/>
          <w:iCs/>
        </w:rPr>
        <w:t xml:space="preserve"> </w:t>
      </w:r>
      <w:r w:rsidR="00C9244B">
        <w:rPr>
          <w:rStyle w:val="Hyperlink"/>
        </w:rPr>
        <w:t>(Amendment Act)</w:t>
      </w:r>
    </w:p>
    <w:p w14:paraId="18D20302" w14:textId="53B7548C" w:rsidR="00FE3E18" w:rsidRDefault="00293A1A" w:rsidP="00FE3E18">
      <w:pPr>
        <w:pStyle w:val="ListBullet"/>
      </w:pPr>
      <w:hyperlink r:id="rId12" w:history="1">
        <w:r w:rsidRPr="00B47849">
          <w:rPr>
            <w:rStyle w:val="Hyperlink"/>
          </w:rPr>
          <w:t>Illegal Logging Prohibition Rules 20</w:t>
        </w:r>
        <w:r w:rsidR="00FA66D6" w:rsidRPr="00B47849">
          <w:rPr>
            <w:rStyle w:val="Hyperlink"/>
          </w:rPr>
          <w:t>24</w:t>
        </w:r>
      </w:hyperlink>
      <w:r w:rsidR="00C9244B">
        <w:rPr>
          <w:rStyle w:val="Hyperlink"/>
        </w:rPr>
        <w:t xml:space="preserve"> (the Rules).</w:t>
      </w:r>
    </w:p>
    <w:p w14:paraId="096E2531" w14:textId="4D479DF9" w:rsidR="00293A1A" w:rsidRDefault="00293A1A" w:rsidP="00CE2CA7">
      <w:r>
        <w:t xml:space="preserve">If you import wood, pulp or paper products into Australia, or process </w:t>
      </w:r>
      <w:r w:rsidR="003B1694">
        <w:t>Australian-</w:t>
      </w:r>
      <w:r>
        <w:t>grown raw logs, these laws</w:t>
      </w:r>
      <w:r w:rsidR="00FA66D6">
        <w:t xml:space="preserve"> may</w:t>
      </w:r>
      <w:r>
        <w:t xml:space="preserve"> affect you.</w:t>
      </w:r>
    </w:p>
    <w:p w14:paraId="0653C9DE" w14:textId="77788848" w:rsidR="00FE3E18" w:rsidRDefault="005E4D9B" w:rsidP="00921FCC">
      <w:pPr>
        <w:pStyle w:val="Heading2"/>
      </w:pPr>
      <w:r>
        <w:t>What</w:t>
      </w:r>
      <w:r w:rsidR="00D0176E">
        <w:t>’s</w:t>
      </w:r>
      <w:r>
        <w:t xml:space="preserve"> changing for importers and processors?</w:t>
      </w:r>
    </w:p>
    <w:p w14:paraId="367ABAFC" w14:textId="2310630F" w:rsidR="00921FCC" w:rsidRPr="00921FCC" w:rsidRDefault="00921FCC" w:rsidP="00CE2CA7">
      <w:r>
        <w:t xml:space="preserve">From </w:t>
      </w:r>
      <w:r w:rsidRPr="000F3499">
        <w:rPr>
          <w:b/>
          <w:bCs/>
        </w:rPr>
        <w:t>3 March 2025</w:t>
      </w:r>
      <w:r>
        <w:t xml:space="preserve"> </w:t>
      </w:r>
      <w:r w:rsidR="00321F0E">
        <w:t>t</w:t>
      </w:r>
      <w:r w:rsidRPr="00921FCC">
        <w:t xml:space="preserve">he </w:t>
      </w:r>
      <w:r w:rsidR="00321F0E">
        <w:t>R</w:t>
      </w:r>
      <w:r w:rsidRPr="00921FCC">
        <w:t xml:space="preserve">ules will replace the </w:t>
      </w:r>
      <w:r w:rsidR="006370F2">
        <w:t xml:space="preserve">existing </w:t>
      </w:r>
      <w:r w:rsidRPr="00921FCC">
        <w:t xml:space="preserve">Illegal Logging Prohibition Regulation 2012 (the Regulation) and introduce changes to due diligence requirements. </w:t>
      </w:r>
      <w:r w:rsidR="00D0176E">
        <w:t>It</w:t>
      </w:r>
      <w:r w:rsidRPr="00921FCC">
        <w:t xml:space="preserve"> is up to you to understand your responsibilities as an importer</w:t>
      </w:r>
      <w:r w:rsidR="006370F2">
        <w:t xml:space="preserve"> of</w:t>
      </w:r>
      <w:r w:rsidRPr="00921FCC">
        <w:t xml:space="preserve"> </w:t>
      </w:r>
      <w:r w:rsidR="006370F2" w:rsidRPr="00921FCC">
        <w:t>timber and/or timber products</w:t>
      </w:r>
      <w:r w:rsidR="006370F2">
        <w:t xml:space="preserve">, </w:t>
      </w:r>
      <w:r w:rsidRPr="00921FCC">
        <w:t xml:space="preserve">or </w:t>
      </w:r>
      <w:r w:rsidR="006370F2">
        <w:t xml:space="preserve">a </w:t>
      </w:r>
      <w:r w:rsidRPr="00921FCC">
        <w:t xml:space="preserve">processor of </w:t>
      </w:r>
      <w:r w:rsidR="006370F2">
        <w:t>Australian-grown</w:t>
      </w:r>
      <w:r w:rsidR="006370F2" w:rsidRPr="00921FCC">
        <w:t xml:space="preserve"> </w:t>
      </w:r>
      <w:r w:rsidRPr="00921FCC">
        <w:t xml:space="preserve">raw logs. </w:t>
      </w:r>
    </w:p>
    <w:p w14:paraId="2ED672F2" w14:textId="77777777" w:rsidR="006370F2" w:rsidRDefault="00321F0E" w:rsidP="00CE2CA7">
      <w:r w:rsidRPr="000F3499">
        <w:t>The fundamental steps of your due diligence requirements will remain unchanged</w:t>
      </w:r>
      <w:r w:rsidR="006370F2">
        <w:t>, that is:</w:t>
      </w:r>
    </w:p>
    <w:p w14:paraId="18CB35E3" w14:textId="1D0C7D89" w:rsidR="006370F2" w:rsidRDefault="00321F0E" w:rsidP="00CE2CA7">
      <w:pPr>
        <w:pStyle w:val="ListBullet"/>
      </w:pPr>
      <w:r w:rsidRPr="000F3499">
        <w:t xml:space="preserve">a written due diligence system </w:t>
      </w:r>
    </w:p>
    <w:p w14:paraId="0DCB2E9A" w14:textId="49668A8D" w:rsidR="006370F2" w:rsidRDefault="00321F0E" w:rsidP="00CE2CA7">
      <w:pPr>
        <w:pStyle w:val="ListBullet"/>
      </w:pPr>
      <w:r w:rsidRPr="000F3499">
        <w:t xml:space="preserve">information gathering </w:t>
      </w:r>
    </w:p>
    <w:p w14:paraId="5C681D47" w14:textId="15F3CE4F" w:rsidR="006370F2" w:rsidRDefault="00321F0E" w:rsidP="00CE2CA7">
      <w:pPr>
        <w:pStyle w:val="ListBullet"/>
      </w:pPr>
      <w:r w:rsidRPr="000F3499">
        <w:t xml:space="preserve">risk assessment </w:t>
      </w:r>
    </w:p>
    <w:p w14:paraId="38E4DD14" w14:textId="14580FF4" w:rsidR="006370F2" w:rsidRDefault="00321F0E" w:rsidP="00CE2CA7">
      <w:pPr>
        <w:pStyle w:val="ListBullet"/>
      </w:pPr>
      <w:r w:rsidRPr="000F3499">
        <w:t xml:space="preserve">risk mitigation </w:t>
      </w:r>
    </w:p>
    <w:p w14:paraId="0A2D7B73" w14:textId="722FF8F2" w:rsidR="006370F2" w:rsidRPr="006370F2" w:rsidRDefault="00321F0E" w:rsidP="00CE2CA7">
      <w:pPr>
        <w:pStyle w:val="ListBullet"/>
      </w:pPr>
      <w:r w:rsidRPr="000F3499">
        <w:t xml:space="preserve">record keeping. </w:t>
      </w:r>
    </w:p>
    <w:p w14:paraId="6FE844D4" w14:textId="7BD40AB1" w:rsidR="00321F0E" w:rsidRPr="000F3499" w:rsidRDefault="00321F0E" w:rsidP="00CE2CA7">
      <w:r w:rsidRPr="000F3499">
        <w:t>The requirement to respond to a request for information from the department also remains the same.</w:t>
      </w:r>
      <w:r w:rsidR="00655D99">
        <w:t xml:space="preserve"> </w:t>
      </w:r>
      <w:r w:rsidRPr="000F3499">
        <w:t>However, there are key changes to some</w:t>
      </w:r>
      <w:r w:rsidR="006370F2">
        <w:t xml:space="preserve"> </w:t>
      </w:r>
      <w:r w:rsidRPr="000F3499">
        <w:t xml:space="preserve">steps: </w:t>
      </w:r>
    </w:p>
    <w:p w14:paraId="3CA55926" w14:textId="77777777" w:rsidR="00321F0E" w:rsidRDefault="00321F0E" w:rsidP="00CE2CA7">
      <w:pPr>
        <w:pStyle w:val="ListBullet"/>
      </w:pPr>
      <w:r>
        <w:t xml:space="preserve">The three risk assessment methods in the current Regulation (Country Specific Guidelines or State Specific Guidelines, Timber Legality Frameworks and Regulated Risk Factors) will be replaced with </w:t>
      </w:r>
      <w:r w:rsidRPr="00BA2715">
        <w:rPr>
          <w:b/>
          <w:bCs/>
        </w:rPr>
        <w:t>two distinct risk assessment pathways</w:t>
      </w:r>
      <w:r>
        <w:t xml:space="preserve"> for:</w:t>
      </w:r>
    </w:p>
    <w:p w14:paraId="2E59E272" w14:textId="77777777" w:rsidR="00321F0E" w:rsidRDefault="00321F0E" w:rsidP="00CE2CA7">
      <w:pPr>
        <w:pStyle w:val="ListNumber"/>
      </w:pPr>
      <w:r>
        <w:t xml:space="preserve">Certified timber and timber products/raw logs  </w:t>
      </w:r>
    </w:p>
    <w:p w14:paraId="4950E882" w14:textId="77777777" w:rsidR="00321F0E" w:rsidRDefault="00321F0E" w:rsidP="00CE2CA7">
      <w:pPr>
        <w:pStyle w:val="ListNumber"/>
      </w:pPr>
      <w:r>
        <w:lastRenderedPageBreak/>
        <w:t>Non-certified timber and timber products/raw logs.</w:t>
      </w:r>
    </w:p>
    <w:p w14:paraId="3FF4ACCD" w14:textId="565CF0ED" w:rsidR="00321F0E" w:rsidRDefault="00321F0E" w:rsidP="00CE2CA7">
      <w:pPr>
        <w:pStyle w:val="ListBullet"/>
      </w:pPr>
      <w:r>
        <w:t xml:space="preserve">There </w:t>
      </w:r>
      <w:r w:rsidR="00B42539">
        <w:t>is</w:t>
      </w:r>
      <w:r>
        <w:t xml:space="preserve"> a new </w:t>
      </w:r>
      <w:r w:rsidRPr="00BA2715">
        <w:rPr>
          <w:b/>
          <w:bCs/>
        </w:rPr>
        <w:t>repeat due diligence exception</w:t>
      </w:r>
      <w:r>
        <w:t xml:space="preserve">. This will allow you to rely on a previous risk assessment and risk mitigation measures if you import or process the same timber, timber products, or raw logs from the same supplier within a </w:t>
      </w:r>
      <w:proofErr w:type="gramStart"/>
      <w:r>
        <w:t>12 month</w:t>
      </w:r>
      <w:proofErr w:type="gramEnd"/>
      <w:r>
        <w:t xml:space="preserve"> period. You can use this exception regardless of the certification status of your timber or timber products.</w:t>
      </w:r>
    </w:p>
    <w:p w14:paraId="04ACF493" w14:textId="2AC3DCEE" w:rsidR="00A2740F" w:rsidRPr="00381582" w:rsidRDefault="00321F0E" w:rsidP="00381582">
      <w:pPr>
        <w:pStyle w:val="ListBullet"/>
      </w:pPr>
      <w:r>
        <w:t xml:space="preserve">There </w:t>
      </w:r>
      <w:r w:rsidR="00B42539">
        <w:t>is</w:t>
      </w:r>
      <w:r>
        <w:t xml:space="preserve"> an exemption for processors who are also the person/entity who harvested the raw log.</w:t>
      </w:r>
    </w:p>
    <w:p w14:paraId="3B958477" w14:textId="5FCA91B2" w:rsidR="00B42539" w:rsidRPr="006F08DE" w:rsidRDefault="00C5415A" w:rsidP="00321F0E">
      <w:pPr>
        <w:pStyle w:val="NormalWeb"/>
        <w:shd w:val="clear" w:color="auto" w:fill="FFFFFF"/>
        <w:spacing w:line="276" w:lineRule="auto"/>
        <w:rPr>
          <w:rFonts w:asciiTheme="minorHAnsi" w:hAnsiTheme="minorHAnsi" w:cstheme="minorHAnsi"/>
          <w:sz w:val="24"/>
          <w:lang w:eastAsia="en-US"/>
        </w:rPr>
      </w:pPr>
      <w:r>
        <w:rPr>
          <w:rFonts w:asciiTheme="minorHAnsi" w:hAnsiTheme="minorHAnsi" w:cstheme="minorHAnsi"/>
          <w:noProof/>
          <w:sz w:val="24"/>
          <w:lang w:eastAsia="en-US"/>
        </w:rPr>
        <w:drawing>
          <wp:inline distT="0" distB="0" distL="0" distR="0" wp14:anchorId="79444362" wp14:editId="45F130BC">
            <wp:extent cx="5492750" cy="3883210"/>
            <wp:effectExtent l="0" t="0" r="0" b="3175"/>
            <wp:docPr id="1690042431" name="Picture 1" descr="This visual demonstrates the difference between due diligence prior to 3 March 2025 and new arrangements commencing 3 March 2025.&#10;&#10;Due diligence prior to 3 March 2025:&#10;Step 1: Establish a due diligence system&#10;Step 2: Gather information on the product&#10;Step 3: Assess the risk (three risk assessment options –the Timber Legality Framework (TLF), the applicable Country or State Specific Guideline (CSG), and the Regulated Risk Factors method).&#10;Step 4: Reassess the risk (applies to TLF and CSG risk assessments)&#10;Step 4: Risk mitigation&#10;Step 5: Keep records&#10;&#10;&#10;Due diligence commencing 3 March 2025:&#10;Step 1: Establish a due diligence system&#10;Step 2: Gather information on the product&#10;Step 3: Assess the risk (two risk assessment pathways available—one for certified products and one for non-certified products).&#10;Step 4: Risk mitigation&#10;Step 5: Keep records&#10;&#10;An alternate step applies between steps 2 and 3 where an exemption to the risk assessment step may apply for repeat impor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42431" name="Picture 1" descr="This visual demonstrates the difference between due diligence prior to 3 March 2025 and new arrangements commencing 3 March 2025.&#10;&#10;Due diligence prior to 3 March 2025:&#10;Step 1: Establish a due diligence system&#10;Step 2: Gather information on the product&#10;Step 3: Assess the risk (three risk assessment options –the Timber Legality Framework (TLF), the applicable Country or State Specific Guideline (CSG), and the Regulated Risk Factors method).&#10;Step 4: Reassess the risk (applies to TLF and CSG risk assessments)&#10;Step 4: Risk mitigation&#10;Step 5: Keep records&#10;&#10;&#10;Due diligence commencing 3 March 2025:&#10;Step 1: Establish a due diligence system&#10;Step 2: Gather information on the product&#10;Step 3: Assess the risk (two risk assessment pathways available—one for certified products and one for non-certified products).&#10;Step 4: Risk mitigation&#10;Step 5: Keep records&#10;&#10;An alternate step applies between steps 2 and 3 where an exemption to the risk assessment step may apply for repeat import pathway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0352" cy="3909793"/>
                    </a:xfrm>
                    <a:prstGeom prst="rect">
                      <a:avLst/>
                    </a:prstGeom>
                  </pic:spPr>
                </pic:pic>
              </a:graphicData>
            </a:graphic>
          </wp:inline>
        </w:drawing>
      </w:r>
    </w:p>
    <w:p w14:paraId="0F8E12D0" w14:textId="1AEE69E5" w:rsidR="00321F0E" w:rsidRDefault="008D1D91" w:rsidP="00321F0E">
      <w:pPr>
        <w:jc w:val="both"/>
      </w:pPr>
      <w:r>
        <w:t>In addition, t</w:t>
      </w:r>
      <w:r w:rsidR="00321F0E" w:rsidRPr="00E35744">
        <w:t>he Amendment Act</w:t>
      </w:r>
      <w:r w:rsidR="00321F0E">
        <w:t xml:space="preserve"> </w:t>
      </w:r>
      <w:r w:rsidR="00321F0E" w:rsidRPr="00E35744">
        <w:t>introduc</w:t>
      </w:r>
      <w:r w:rsidR="00321F0E">
        <w:t>e</w:t>
      </w:r>
      <w:r w:rsidR="00B42539">
        <w:t>s</w:t>
      </w:r>
      <w:r w:rsidR="00321F0E" w:rsidRPr="00E35744">
        <w:t xml:space="preserve"> </w:t>
      </w:r>
      <w:r w:rsidR="00071BD3">
        <w:t xml:space="preserve">powers for the </w:t>
      </w:r>
      <w:r>
        <w:t xml:space="preserve">department </w:t>
      </w:r>
      <w:r w:rsidR="00071BD3">
        <w:t>to undertake certain activities, including</w:t>
      </w:r>
      <w:r w:rsidR="00321F0E">
        <w:t>:</w:t>
      </w:r>
    </w:p>
    <w:p w14:paraId="58748091" w14:textId="1874E9C3" w:rsidR="00321F0E" w:rsidRPr="000F3499" w:rsidRDefault="00071BD3" w:rsidP="00CE2CA7">
      <w:pPr>
        <w:pStyle w:val="ListBullet"/>
      </w:pPr>
      <w:r w:rsidRPr="000F3499">
        <w:t>U</w:t>
      </w:r>
      <w:r w:rsidR="00321F0E" w:rsidRPr="000F3499">
        <w:t xml:space="preserve">se </w:t>
      </w:r>
      <w:r w:rsidR="00321F0E" w:rsidRPr="000F3499">
        <w:rPr>
          <w:b/>
          <w:bCs/>
        </w:rPr>
        <w:t>timber testing technologies</w:t>
      </w:r>
      <w:r w:rsidR="00321F0E" w:rsidRPr="000F3499">
        <w:t xml:space="preserve"> to verify claims of species and origin of timber and timber products at the border and under a warrant. </w:t>
      </w:r>
    </w:p>
    <w:p w14:paraId="08750DB3" w14:textId="77777777" w:rsidR="00321F0E" w:rsidRPr="0014081A" w:rsidRDefault="00321F0E" w:rsidP="00CE2CA7">
      <w:pPr>
        <w:pStyle w:val="ListBullet2"/>
      </w:pPr>
      <w:r w:rsidRPr="0014081A">
        <w:t xml:space="preserve">We </w:t>
      </w:r>
      <w:r>
        <w:t>will</w:t>
      </w:r>
      <w:r w:rsidRPr="0014081A">
        <w:t xml:space="preserve"> not</w:t>
      </w:r>
      <w:r>
        <w:t xml:space="preserve"> commence</w:t>
      </w:r>
      <w:r w:rsidRPr="0014081A">
        <w:t xml:space="preserve"> th</w:t>
      </w:r>
      <w:r>
        <w:t xml:space="preserve">ese activities </w:t>
      </w:r>
      <w:r w:rsidRPr="0014081A">
        <w:t xml:space="preserve">immediately. </w:t>
      </w:r>
    </w:p>
    <w:p w14:paraId="0D9B4966" w14:textId="3BB0E8AC" w:rsidR="00321F0E" w:rsidRDefault="00071BD3" w:rsidP="00CE2CA7">
      <w:pPr>
        <w:pStyle w:val="ListBullet2"/>
      </w:pPr>
      <w:r>
        <w:t xml:space="preserve">We </w:t>
      </w:r>
      <w:r w:rsidR="00321F0E">
        <w:t xml:space="preserve">recently undertook a </w:t>
      </w:r>
      <w:hyperlink r:id="rId14" w:anchor="eupdate-48-october-2024" w:history="1">
        <w:r w:rsidR="00321F0E" w:rsidRPr="00071BD3">
          <w:rPr>
            <w:rStyle w:val="Hyperlink"/>
          </w:rPr>
          <w:t>timber testing trial</w:t>
        </w:r>
      </w:hyperlink>
      <w:r w:rsidR="00321F0E">
        <w:t xml:space="preserve"> to understand how best to implement timber testing activities under these new powers. </w:t>
      </w:r>
    </w:p>
    <w:p w14:paraId="65293FB9" w14:textId="793C7C4C" w:rsidR="00321F0E" w:rsidRPr="000F3499" w:rsidRDefault="00072EF7" w:rsidP="00CE2CA7">
      <w:pPr>
        <w:pStyle w:val="ListBullet"/>
        <w:rPr>
          <w:i/>
          <w:iCs/>
        </w:rPr>
      </w:pPr>
      <w:r>
        <w:t>We will update the regulated community on this accordingly.</w:t>
      </w:r>
      <w:r w:rsidR="00AD5FF6">
        <w:t xml:space="preserve"> </w:t>
      </w:r>
      <w:r w:rsidR="00071BD3" w:rsidRPr="000F3499">
        <w:rPr>
          <w:b/>
          <w:bCs/>
        </w:rPr>
        <w:t>P</w:t>
      </w:r>
      <w:r w:rsidR="00321F0E" w:rsidRPr="000F3499">
        <w:rPr>
          <w:b/>
          <w:bCs/>
        </w:rPr>
        <w:t>ublish</w:t>
      </w:r>
      <w:r w:rsidR="00071BD3" w:rsidRPr="000F3499">
        <w:rPr>
          <w:b/>
          <w:bCs/>
        </w:rPr>
        <w:t>ing</w:t>
      </w:r>
      <w:r w:rsidR="00321F0E" w:rsidRPr="000F3499">
        <w:t xml:space="preserve"> details of criminal convictions, civil penalty orders, orders of enforceable undertakings under the Act and anonymous timber testing results on our website.</w:t>
      </w:r>
    </w:p>
    <w:p w14:paraId="7A7E9BE2" w14:textId="77777777" w:rsidR="00321F0E" w:rsidRDefault="00321F0E" w:rsidP="00CE2CA7">
      <w:pPr>
        <w:pStyle w:val="ListBullet2"/>
      </w:pPr>
      <w:r>
        <w:t xml:space="preserve">We will only publish instances of breaches where non-compliance is repeated or very serious and where it is considered in the public interest to do so. </w:t>
      </w:r>
    </w:p>
    <w:p w14:paraId="662F1AB8" w14:textId="77777777" w:rsidR="00321F0E" w:rsidRDefault="00321F0E" w:rsidP="00CE2CA7">
      <w:pPr>
        <w:pStyle w:val="ListBullet2"/>
      </w:pPr>
      <w:r>
        <w:t xml:space="preserve">The intent of these new powers is to inform the regulated community of findings that will assist due diligence efforts, to encourage compliance with the laws and educate the public and consumers to encourage selection and purchase of legally harvested timber and timber products. </w:t>
      </w:r>
    </w:p>
    <w:p w14:paraId="3820FB28" w14:textId="2812867E" w:rsidR="00321F0E" w:rsidRDefault="00071BD3" w:rsidP="00CE2CA7">
      <w:pPr>
        <w:pStyle w:val="ListBullet"/>
      </w:pPr>
      <w:r>
        <w:lastRenderedPageBreak/>
        <w:t>M</w:t>
      </w:r>
      <w:r w:rsidR="00321F0E" w:rsidRPr="00E35744">
        <w:t xml:space="preserve">ore </w:t>
      </w:r>
      <w:r w:rsidR="00321F0E" w:rsidRPr="00BA2715">
        <w:rPr>
          <w:b/>
          <w:bCs/>
        </w:rPr>
        <w:t>flexible enforcement option</w:t>
      </w:r>
      <w:r w:rsidR="00321F0E" w:rsidRPr="00E02F1A">
        <w:rPr>
          <w:b/>
          <w:bCs/>
        </w:rPr>
        <w:t>s</w:t>
      </w:r>
      <w:r w:rsidR="00321F0E" w:rsidRPr="00E35744">
        <w:t xml:space="preserve"> including injunctions, enforceable undertakings and tiered offences</w:t>
      </w:r>
      <w:r w:rsidR="00321F0E">
        <w:t>.</w:t>
      </w:r>
    </w:p>
    <w:p w14:paraId="6450001A" w14:textId="77777777" w:rsidR="00321F0E" w:rsidRDefault="00321F0E" w:rsidP="00CE2CA7">
      <w:pPr>
        <w:pStyle w:val="ListBullet2"/>
      </w:pPr>
      <w:r>
        <w:t>These will provide more options to ensure our compliance responses can remain proportionate to the level and nature of non-compliance.</w:t>
      </w:r>
    </w:p>
    <w:p w14:paraId="77C0729D" w14:textId="77777777" w:rsidR="00072EF7" w:rsidRDefault="00072EF7" w:rsidP="00072EF7">
      <w:pPr>
        <w:pStyle w:val="ListBullet"/>
      </w:pPr>
      <w:r>
        <w:t>R</w:t>
      </w:r>
      <w:r w:rsidRPr="000F3499">
        <w:t xml:space="preserve">equirement to </w:t>
      </w:r>
      <w:r w:rsidRPr="000F3499">
        <w:rPr>
          <w:b/>
          <w:bCs/>
        </w:rPr>
        <w:t>provide notice</w:t>
      </w:r>
      <w:r w:rsidRPr="000F3499">
        <w:t xml:space="preserve"> to the department before importing or processing regulated timber, timber products or raw logs. </w:t>
      </w:r>
    </w:p>
    <w:p w14:paraId="3ACBABF7" w14:textId="4B3CD4E7" w:rsidR="00072EF7" w:rsidRDefault="00072EF7" w:rsidP="00072EF7">
      <w:pPr>
        <w:pStyle w:val="ListBullet2"/>
      </w:pPr>
      <w:r w:rsidRPr="000F3499">
        <w:t>This requirement will not come into effect on 3 March 2025, as it relies on a new IT system that is still being developed. We will update you as this progresses.</w:t>
      </w:r>
    </w:p>
    <w:p w14:paraId="77184E2C" w14:textId="7543DD3B" w:rsidR="00072EF7" w:rsidRDefault="00072EF7" w:rsidP="00072EF7">
      <w:pPr>
        <w:pStyle w:val="ListBullet2"/>
      </w:pPr>
      <w:r>
        <w:t>We will update the regulated community on this accordingly.</w:t>
      </w:r>
    </w:p>
    <w:p w14:paraId="6C20C5BA" w14:textId="1952DE18" w:rsidR="00321F0E" w:rsidRPr="00E35744" w:rsidRDefault="008D1D91" w:rsidP="000F3499">
      <w:pPr>
        <w:spacing w:after="160"/>
        <w:jc w:val="both"/>
      </w:pPr>
      <w:r>
        <w:t>I</w:t>
      </w:r>
      <w:r w:rsidR="00321F0E">
        <w:t xml:space="preserve">mportantly, we will continue to work with individuals and entities to educate and facilitate future compliance. </w:t>
      </w:r>
    </w:p>
    <w:p w14:paraId="53B17238" w14:textId="77777777" w:rsidR="00D0176E" w:rsidRDefault="00D0176E" w:rsidP="00D0176E">
      <w:pPr>
        <w:pStyle w:val="Heading2"/>
      </w:pPr>
      <w:r w:rsidRPr="00DB07BC">
        <w:t>Audits and compliance</w:t>
      </w:r>
    </w:p>
    <w:p w14:paraId="5977A137" w14:textId="77777777" w:rsidR="00D0176E" w:rsidRDefault="00D0176E" w:rsidP="00D0176E">
      <w:pPr>
        <w:rPr>
          <w:lang w:eastAsia="ja-JP"/>
        </w:rPr>
      </w:pPr>
      <w:r>
        <w:rPr>
          <w:lang w:eastAsia="ja-JP"/>
        </w:rPr>
        <w:t xml:space="preserve">We appreciate that these changed legal requirements will involve changes to your internal processes and we remain committed to supporting compliance within the regulated community. </w:t>
      </w:r>
    </w:p>
    <w:p w14:paraId="5D7090C6" w14:textId="77777777" w:rsidR="00D0176E" w:rsidRDefault="00D0176E" w:rsidP="00D0176E">
      <w:pPr>
        <w:rPr>
          <w:lang w:eastAsia="ja-JP"/>
        </w:rPr>
      </w:pPr>
      <w:r>
        <w:rPr>
          <w:lang w:eastAsia="ja-JP"/>
        </w:rPr>
        <w:t xml:space="preserve">As such, for the first six months of the Rules being in effect (from 3 March 2025 – early September 2025), we will conduct audits as </w:t>
      </w:r>
      <w:proofErr w:type="gramStart"/>
      <w:r>
        <w:rPr>
          <w:lang w:eastAsia="ja-JP"/>
        </w:rPr>
        <w:t>usual, but</w:t>
      </w:r>
      <w:proofErr w:type="gramEnd"/>
      <w:r>
        <w:rPr>
          <w:lang w:eastAsia="ja-JP"/>
        </w:rPr>
        <w:t xml:space="preserve"> will focus on </w:t>
      </w:r>
      <w:r w:rsidRPr="00D0176E">
        <w:rPr>
          <w:b/>
          <w:bCs/>
          <w:lang w:eastAsia="ja-JP"/>
        </w:rPr>
        <w:t>education and guidance</w:t>
      </w:r>
      <w:r>
        <w:rPr>
          <w:lang w:eastAsia="ja-JP"/>
        </w:rPr>
        <w:t xml:space="preserve"> for non-compliance matters relating to the application of new/changed due diligence arrangements.</w:t>
      </w:r>
    </w:p>
    <w:p w14:paraId="4B784230" w14:textId="77777777" w:rsidR="006B3CEB" w:rsidRDefault="00D0176E" w:rsidP="006B3CEB">
      <w:pPr>
        <w:rPr>
          <w:lang w:eastAsia="ja-JP"/>
        </w:rPr>
      </w:pPr>
      <w:r>
        <w:rPr>
          <w:lang w:eastAsia="ja-JP"/>
        </w:rPr>
        <w:t>We may still take further action for non-compliance matters relating to due diligence requirements that remain unchanged.</w:t>
      </w:r>
      <w:r w:rsidR="006B3CEB">
        <w:rPr>
          <w:lang w:eastAsia="ja-JP"/>
        </w:rPr>
        <w:t xml:space="preserve"> </w:t>
      </w:r>
    </w:p>
    <w:p w14:paraId="034EE762" w14:textId="742BB2D3" w:rsidR="00B82095" w:rsidRPr="0080517C" w:rsidRDefault="000913B5" w:rsidP="0080517C">
      <w:pPr>
        <w:pStyle w:val="Heading2"/>
      </w:pPr>
      <w:r>
        <w:t>More</w:t>
      </w:r>
      <w:r w:rsidR="00B82095" w:rsidRPr="0080517C">
        <w:t xml:space="preserve"> information</w:t>
      </w:r>
    </w:p>
    <w:p w14:paraId="37A06207" w14:textId="01FF1F18" w:rsidR="000E7803" w:rsidRPr="00017ACB" w:rsidRDefault="00B821A9" w:rsidP="000E7803">
      <w:pPr>
        <w:rPr>
          <w:rStyle w:val="Hyperlink"/>
          <w:lang w:eastAsia="ja-JP"/>
        </w:rPr>
      </w:pPr>
      <w:r w:rsidRPr="00B821A9">
        <w:rPr>
          <w:lang w:eastAsia="ja-JP"/>
        </w:rPr>
        <w:t xml:space="preserve">We will provide detailed guidance material </w:t>
      </w:r>
      <w:r w:rsidR="00CE41C1">
        <w:rPr>
          <w:lang w:eastAsia="ja-JP"/>
        </w:rPr>
        <w:t xml:space="preserve">on our </w:t>
      </w:r>
      <w:hyperlink r:id="rId15" w:history="1">
        <w:r w:rsidR="00CE41C1" w:rsidRPr="00D0176E">
          <w:rPr>
            <w:rStyle w:val="Hyperlink"/>
            <w:lang w:eastAsia="ja-JP"/>
          </w:rPr>
          <w:t>website</w:t>
        </w:r>
      </w:hyperlink>
      <w:r w:rsidR="00CE41C1">
        <w:rPr>
          <w:lang w:eastAsia="ja-JP"/>
        </w:rPr>
        <w:t xml:space="preserve"> </w:t>
      </w:r>
      <w:r w:rsidRPr="00B821A9">
        <w:rPr>
          <w:lang w:eastAsia="ja-JP"/>
        </w:rPr>
        <w:t xml:space="preserve">to support you </w:t>
      </w:r>
      <w:r>
        <w:rPr>
          <w:lang w:eastAsia="ja-JP"/>
        </w:rPr>
        <w:t>prior to new arrangements coming into effect.</w:t>
      </w:r>
    </w:p>
    <w:p w14:paraId="1EDD6D6B" w14:textId="11415C5D" w:rsidR="00B82095" w:rsidRDefault="00B82095" w:rsidP="000E7803">
      <w:pPr>
        <w:spacing w:after="360"/>
        <w:rPr>
          <w:lang w:eastAsia="ja-JP"/>
        </w:rPr>
      </w:pPr>
      <w:r w:rsidRPr="00017ACB">
        <w:rPr>
          <w:lang w:eastAsia="ja-JP"/>
        </w:rPr>
        <w:t xml:space="preserve">Email </w:t>
      </w:r>
      <w:hyperlink r:id="rId16" w:history="1">
        <w:r w:rsidR="005E4D9B" w:rsidRPr="00DC40A0">
          <w:rPr>
            <w:rStyle w:val="Hyperlink"/>
            <w:lang w:eastAsia="ja-JP"/>
          </w:rPr>
          <w:t>Il</w:t>
        </w:r>
        <w:r w:rsidR="00DA409C">
          <w:rPr>
            <w:rStyle w:val="Hyperlink"/>
            <w:lang w:eastAsia="ja-JP"/>
          </w:rPr>
          <w:t>l</w:t>
        </w:r>
        <w:r w:rsidR="005E4D9B" w:rsidRPr="00DC40A0">
          <w:rPr>
            <w:rStyle w:val="Hyperlink"/>
            <w:lang w:eastAsia="ja-JP"/>
          </w:rPr>
          <w:t>egalLogging@aff.gov.au</w:t>
        </w:r>
      </w:hyperlink>
    </w:p>
    <w:p w14:paraId="2FBB65FB" w14:textId="77777777" w:rsidR="000A5BA0" w:rsidRDefault="000A5BA0" w:rsidP="000A5BA0">
      <w:pPr>
        <w:pStyle w:val="Normalsmall"/>
      </w:pPr>
      <w:r>
        <w:rPr>
          <w:rStyle w:val="Strong"/>
        </w:rPr>
        <w:t>Acknowledgement of Country</w:t>
      </w:r>
    </w:p>
    <w:p w14:paraId="43442C4B" w14:textId="10803E3E" w:rsidR="000A5BA0" w:rsidRPr="000A5BA0" w:rsidRDefault="00907ABB" w:rsidP="000A5BA0">
      <w:pPr>
        <w:pStyle w:val="Normalsmall"/>
        <w:rPr>
          <w:rStyle w:val="Hyperlink"/>
          <w:color w:val="auto"/>
          <w:u w:val="none"/>
        </w:rPr>
      </w:pPr>
      <w:r w:rsidRPr="00907ABB">
        <w:t xml:space="preserve">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w:t>
      </w:r>
      <w:proofErr w:type="gramStart"/>
      <w:r w:rsidRPr="00907ABB">
        <w:t>industries.</w:t>
      </w:r>
      <w:r w:rsidR="000A5BA0">
        <w:t>.</w:t>
      </w:r>
      <w:proofErr w:type="gramEnd"/>
    </w:p>
    <w:p w14:paraId="0BAB9CF5" w14:textId="67C2E8FD" w:rsidR="000F3499" w:rsidRDefault="000F3499" w:rsidP="000F3499">
      <w:pPr>
        <w:pStyle w:val="Normalsmall"/>
        <w:spacing w:before="360"/>
      </w:pPr>
      <w:r>
        <w:t>© Commonwealth of Australia 202</w:t>
      </w:r>
      <w:r w:rsidR="00C9244B">
        <w:t>5</w:t>
      </w:r>
    </w:p>
    <w:p w14:paraId="51B10C37" w14:textId="77777777" w:rsidR="000F3499" w:rsidRDefault="000F3499" w:rsidP="000F3499">
      <w:pPr>
        <w:pStyle w:val="Normalsmall"/>
      </w:pPr>
      <w:r>
        <w:t>Unless otherwise noted, copyright (and any other intellectual property rights) in this publication is owned by the Commonwealth of Australia (referred to as the Commonwealth).</w:t>
      </w:r>
    </w:p>
    <w:p w14:paraId="102E7014" w14:textId="77777777" w:rsidR="000F3499" w:rsidRDefault="000F3499" w:rsidP="000F3499">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04A359A2" w14:textId="39137FA8" w:rsidR="005B656B" w:rsidRDefault="000F3499" w:rsidP="00E9781D">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default" r:id="rId18"/>
      <w:footerReference w:type="default" r:id="rId19"/>
      <w:headerReference w:type="first" r:id="rId20"/>
      <w:footerReference w:type="first" r:id="rId21"/>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0D1C" w14:textId="77777777" w:rsidR="00917CB4" w:rsidRDefault="00917CB4">
      <w:r>
        <w:separator/>
      </w:r>
    </w:p>
    <w:p w14:paraId="521DB7BF" w14:textId="77777777" w:rsidR="00917CB4" w:rsidRDefault="00917CB4"/>
    <w:p w14:paraId="591F0CA7" w14:textId="77777777" w:rsidR="00917CB4" w:rsidRDefault="00917CB4"/>
  </w:endnote>
  <w:endnote w:type="continuationSeparator" w:id="0">
    <w:p w14:paraId="7061F8C4" w14:textId="77777777" w:rsidR="00917CB4" w:rsidRDefault="00917CB4">
      <w:r>
        <w:continuationSeparator/>
      </w:r>
    </w:p>
    <w:p w14:paraId="799172D5" w14:textId="77777777" w:rsidR="00917CB4" w:rsidRDefault="00917CB4"/>
    <w:p w14:paraId="5BEF4A7E" w14:textId="77777777" w:rsidR="00917CB4" w:rsidRDefault="00917CB4"/>
  </w:endnote>
  <w:endnote w:type="continuationNotice" w:id="1">
    <w:p w14:paraId="396667EA" w14:textId="77777777" w:rsidR="00917CB4" w:rsidRDefault="00917CB4">
      <w:pPr>
        <w:pStyle w:val="Footer"/>
      </w:pPr>
    </w:p>
    <w:p w14:paraId="28AD5B65" w14:textId="77777777" w:rsidR="00917CB4" w:rsidRDefault="00917CB4"/>
    <w:p w14:paraId="1D97EDF0" w14:textId="77777777" w:rsidR="00917CB4" w:rsidRDefault="00917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24F0" w14:textId="77777777" w:rsidR="00863E83" w:rsidRDefault="00863E83" w:rsidP="00863E83">
    <w:pPr>
      <w:pStyle w:val="Footer"/>
    </w:pPr>
    <w:r w:rsidRPr="007B1F92">
      <w:t>Department of Agriculture, Fisheries and Forestry</w:t>
    </w:r>
  </w:p>
  <w:p w14:paraId="0C3DD05A"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040093"/>
      <w:docPartObj>
        <w:docPartGallery w:val="Page Numbers (Bottom of Page)"/>
        <w:docPartUnique/>
      </w:docPartObj>
    </w:sdtPr>
    <w:sdtEndPr>
      <w:rPr>
        <w:noProof/>
      </w:rPr>
    </w:sdtEndPr>
    <w:sdtContent>
      <w:p w14:paraId="2CF9E892"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7091" w14:textId="77777777" w:rsidR="00917CB4" w:rsidRDefault="00917CB4">
      <w:r>
        <w:separator/>
      </w:r>
    </w:p>
    <w:p w14:paraId="34F55467" w14:textId="77777777" w:rsidR="00917CB4" w:rsidRDefault="00917CB4"/>
    <w:p w14:paraId="42B3B235" w14:textId="77777777" w:rsidR="00917CB4" w:rsidRDefault="00917CB4"/>
  </w:footnote>
  <w:footnote w:type="continuationSeparator" w:id="0">
    <w:p w14:paraId="607D1D2A" w14:textId="77777777" w:rsidR="00917CB4" w:rsidRDefault="00917CB4">
      <w:r>
        <w:continuationSeparator/>
      </w:r>
    </w:p>
    <w:p w14:paraId="3AD4B4B2" w14:textId="77777777" w:rsidR="00917CB4" w:rsidRDefault="00917CB4"/>
    <w:p w14:paraId="0D24D261" w14:textId="77777777" w:rsidR="00917CB4" w:rsidRDefault="00917CB4"/>
  </w:footnote>
  <w:footnote w:type="continuationNotice" w:id="1">
    <w:p w14:paraId="2F9FB85E" w14:textId="77777777" w:rsidR="00917CB4" w:rsidRDefault="00917CB4">
      <w:pPr>
        <w:pStyle w:val="Footer"/>
      </w:pPr>
    </w:p>
    <w:p w14:paraId="1D70B6D5" w14:textId="77777777" w:rsidR="00917CB4" w:rsidRDefault="00917CB4"/>
    <w:p w14:paraId="0822C434" w14:textId="77777777" w:rsidR="00917CB4" w:rsidRDefault="00917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C2AD" w14:textId="5AF3C821" w:rsidR="000542B4" w:rsidRDefault="009264AD">
    <w:pPr>
      <w:pStyle w:val="Header"/>
    </w:pPr>
    <w:r>
      <w:t xml:space="preserve">Australia’s illegal logging laws - </w:t>
    </w:r>
    <w:r w:rsidRPr="009264AD">
      <w:t>Navigating New Rules: Transitioning to new arrangements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608C"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8911B19" wp14:editId="11C945D5">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3858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57B35A0"/>
    <w:multiLevelType w:val="hybridMultilevel"/>
    <w:tmpl w:val="BDB2EEC8"/>
    <w:lvl w:ilvl="0" w:tplc="2342F9EE">
      <w:start w:val="1"/>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0769B7"/>
    <w:multiLevelType w:val="hybridMultilevel"/>
    <w:tmpl w:val="7CA2D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4C5096"/>
    <w:multiLevelType w:val="hybridMultilevel"/>
    <w:tmpl w:val="1436CEEA"/>
    <w:lvl w:ilvl="0" w:tplc="FFFFFFFF">
      <w:start w:val="1"/>
      <w:numFmt w:val="bullet"/>
      <w:lvlText w:val=""/>
      <w:lvlJc w:val="left"/>
      <w:pPr>
        <w:ind w:left="720" w:hanging="360"/>
      </w:pPr>
      <w:rPr>
        <w:rFonts w:ascii="Symbol" w:eastAsia="Aptos" w:hAnsi="Symbol" w:cs="Times New Roman"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773B541B"/>
    <w:multiLevelType w:val="hybridMultilevel"/>
    <w:tmpl w:val="CBA86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7"/>
  </w:num>
  <w:num w:numId="2" w16cid:durableId="1209954464">
    <w:abstractNumId w:val="5"/>
  </w:num>
  <w:num w:numId="3" w16cid:durableId="211696695">
    <w:abstractNumId w:val="10"/>
  </w:num>
  <w:num w:numId="4" w16cid:durableId="1550148830">
    <w:abstractNumId w:val="11"/>
  </w:num>
  <w:num w:numId="5" w16cid:durableId="1460108156">
    <w:abstractNumId w:val="1"/>
  </w:num>
  <w:num w:numId="6" w16cid:durableId="1934704985">
    <w:abstractNumId w:val="8"/>
  </w:num>
  <w:num w:numId="7" w16cid:durableId="1013073201">
    <w:abstractNumId w:val="9"/>
  </w:num>
  <w:num w:numId="8" w16cid:durableId="524289160">
    <w:abstractNumId w:val="4"/>
  </w:num>
  <w:num w:numId="9" w16cid:durableId="2071921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987947">
    <w:abstractNumId w:val="10"/>
  </w:num>
  <w:num w:numId="11" w16cid:durableId="252515535">
    <w:abstractNumId w:val="2"/>
  </w:num>
  <w:num w:numId="12" w16cid:durableId="1520270768">
    <w:abstractNumId w:val="6"/>
  </w:num>
  <w:num w:numId="13" w16cid:durableId="207912188">
    <w:abstractNumId w:val="3"/>
  </w:num>
  <w:num w:numId="14" w16cid:durableId="539321700">
    <w:abstractNumId w:val="12"/>
  </w:num>
  <w:num w:numId="15" w16cid:durableId="2123528903">
    <w:abstractNumId w:val="0"/>
  </w:num>
  <w:num w:numId="16" w16cid:durableId="128542955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70"/>
    <w:rsid w:val="0000059E"/>
    <w:rsid w:val="0000066F"/>
    <w:rsid w:val="00001B53"/>
    <w:rsid w:val="00017ACB"/>
    <w:rsid w:val="00021590"/>
    <w:rsid w:val="00025D1B"/>
    <w:rsid w:val="000266C4"/>
    <w:rsid w:val="000540D3"/>
    <w:rsid w:val="000542B4"/>
    <w:rsid w:val="000618F3"/>
    <w:rsid w:val="00066D0B"/>
    <w:rsid w:val="000717D2"/>
    <w:rsid w:val="00071BD3"/>
    <w:rsid w:val="00072EF7"/>
    <w:rsid w:val="00074A56"/>
    <w:rsid w:val="00080827"/>
    <w:rsid w:val="0008277A"/>
    <w:rsid w:val="000904C1"/>
    <w:rsid w:val="000913B5"/>
    <w:rsid w:val="00093E08"/>
    <w:rsid w:val="000A5BA0"/>
    <w:rsid w:val="000B3924"/>
    <w:rsid w:val="000B3C44"/>
    <w:rsid w:val="000C0412"/>
    <w:rsid w:val="000C4558"/>
    <w:rsid w:val="000D3377"/>
    <w:rsid w:val="000E455C"/>
    <w:rsid w:val="000E4D74"/>
    <w:rsid w:val="000E7803"/>
    <w:rsid w:val="000F0491"/>
    <w:rsid w:val="000F3499"/>
    <w:rsid w:val="00107782"/>
    <w:rsid w:val="0011110A"/>
    <w:rsid w:val="001233A8"/>
    <w:rsid w:val="0012489E"/>
    <w:rsid w:val="0013173D"/>
    <w:rsid w:val="00134B24"/>
    <w:rsid w:val="00144601"/>
    <w:rsid w:val="00190D7E"/>
    <w:rsid w:val="001929D2"/>
    <w:rsid w:val="001A6968"/>
    <w:rsid w:val="001C74DA"/>
    <w:rsid w:val="001D0EF3"/>
    <w:rsid w:val="0020166E"/>
    <w:rsid w:val="00201BFB"/>
    <w:rsid w:val="00203DE1"/>
    <w:rsid w:val="00215FAF"/>
    <w:rsid w:val="00220618"/>
    <w:rsid w:val="00237A69"/>
    <w:rsid w:val="00252DF2"/>
    <w:rsid w:val="00275B58"/>
    <w:rsid w:val="00284B53"/>
    <w:rsid w:val="00293A1A"/>
    <w:rsid w:val="002B1FAF"/>
    <w:rsid w:val="002E3FD4"/>
    <w:rsid w:val="002F4595"/>
    <w:rsid w:val="00300AFD"/>
    <w:rsid w:val="00300BC9"/>
    <w:rsid w:val="003032C0"/>
    <w:rsid w:val="00321155"/>
    <w:rsid w:val="00321F0E"/>
    <w:rsid w:val="00336B60"/>
    <w:rsid w:val="00345FDC"/>
    <w:rsid w:val="0035108D"/>
    <w:rsid w:val="003569F9"/>
    <w:rsid w:val="00366721"/>
    <w:rsid w:val="00370990"/>
    <w:rsid w:val="0037698A"/>
    <w:rsid w:val="00381582"/>
    <w:rsid w:val="00392124"/>
    <w:rsid w:val="003937B8"/>
    <w:rsid w:val="003B1694"/>
    <w:rsid w:val="003D7D68"/>
    <w:rsid w:val="003F175F"/>
    <w:rsid w:val="003F73D7"/>
    <w:rsid w:val="00411260"/>
    <w:rsid w:val="00442630"/>
    <w:rsid w:val="0044304D"/>
    <w:rsid w:val="00446CB3"/>
    <w:rsid w:val="00447DF5"/>
    <w:rsid w:val="00474BB1"/>
    <w:rsid w:val="00477888"/>
    <w:rsid w:val="00495068"/>
    <w:rsid w:val="004B0918"/>
    <w:rsid w:val="004C2DA2"/>
    <w:rsid w:val="004C447D"/>
    <w:rsid w:val="004C5565"/>
    <w:rsid w:val="004D0888"/>
    <w:rsid w:val="004E6316"/>
    <w:rsid w:val="005019C1"/>
    <w:rsid w:val="005070C8"/>
    <w:rsid w:val="00514CEE"/>
    <w:rsid w:val="00515287"/>
    <w:rsid w:val="005157CF"/>
    <w:rsid w:val="00516909"/>
    <w:rsid w:val="00531B5A"/>
    <w:rsid w:val="00553E9D"/>
    <w:rsid w:val="0055447F"/>
    <w:rsid w:val="00567DFC"/>
    <w:rsid w:val="00577F29"/>
    <w:rsid w:val="005872FA"/>
    <w:rsid w:val="00591825"/>
    <w:rsid w:val="00593C2C"/>
    <w:rsid w:val="005A48A6"/>
    <w:rsid w:val="005B1B2C"/>
    <w:rsid w:val="005B613F"/>
    <w:rsid w:val="005B656B"/>
    <w:rsid w:val="005C2BFD"/>
    <w:rsid w:val="005D519D"/>
    <w:rsid w:val="005E4D9B"/>
    <w:rsid w:val="00605C09"/>
    <w:rsid w:val="00607A21"/>
    <w:rsid w:val="00607A36"/>
    <w:rsid w:val="006156DF"/>
    <w:rsid w:val="00625D8D"/>
    <w:rsid w:val="00626EF6"/>
    <w:rsid w:val="00627B6F"/>
    <w:rsid w:val="006360F9"/>
    <w:rsid w:val="006370F2"/>
    <w:rsid w:val="00642F36"/>
    <w:rsid w:val="00646917"/>
    <w:rsid w:val="00655D99"/>
    <w:rsid w:val="00656587"/>
    <w:rsid w:val="00696682"/>
    <w:rsid w:val="006B0030"/>
    <w:rsid w:val="006B3CEB"/>
    <w:rsid w:val="006B49DE"/>
    <w:rsid w:val="006C4584"/>
    <w:rsid w:val="006D413F"/>
    <w:rsid w:val="006E353E"/>
    <w:rsid w:val="006F6FE8"/>
    <w:rsid w:val="006F7A0F"/>
    <w:rsid w:val="00700A80"/>
    <w:rsid w:val="0070464B"/>
    <w:rsid w:val="007171E1"/>
    <w:rsid w:val="00721291"/>
    <w:rsid w:val="007258B1"/>
    <w:rsid w:val="00725C8B"/>
    <w:rsid w:val="00740583"/>
    <w:rsid w:val="00740BCA"/>
    <w:rsid w:val="00754CA3"/>
    <w:rsid w:val="0076549B"/>
    <w:rsid w:val="007819C9"/>
    <w:rsid w:val="00782F05"/>
    <w:rsid w:val="00785511"/>
    <w:rsid w:val="00793E18"/>
    <w:rsid w:val="007B4C63"/>
    <w:rsid w:val="007C0010"/>
    <w:rsid w:val="007C4A70"/>
    <w:rsid w:val="007D7686"/>
    <w:rsid w:val="007D7B2B"/>
    <w:rsid w:val="007E69AF"/>
    <w:rsid w:val="007F4287"/>
    <w:rsid w:val="007F4986"/>
    <w:rsid w:val="0080517C"/>
    <w:rsid w:val="00822D69"/>
    <w:rsid w:val="00832638"/>
    <w:rsid w:val="0084766B"/>
    <w:rsid w:val="00855397"/>
    <w:rsid w:val="00863E83"/>
    <w:rsid w:val="00864B31"/>
    <w:rsid w:val="00865130"/>
    <w:rsid w:val="00892F53"/>
    <w:rsid w:val="00895341"/>
    <w:rsid w:val="008D1D91"/>
    <w:rsid w:val="008D6017"/>
    <w:rsid w:val="008E3B54"/>
    <w:rsid w:val="008F1712"/>
    <w:rsid w:val="008F382A"/>
    <w:rsid w:val="008F7C8B"/>
    <w:rsid w:val="00902E92"/>
    <w:rsid w:val="0090743D"/>
    <w:rsid w:val="00907ABB"/>
    <w:rsid w:val="00911F4A"/>
    <w:rsid w:val="00916FC3"/>
    <w:rsid w:val="00917CB4"/>
    <w:rsid w:val="00921FCC"/>
    <w:rsid w:val="009223D3"/>
    <w:rsid w:val="009264AD"/>
    <w:rsid w:val="00943779"/>
    <w:rsid w:val="009460DC"/>
    <w:rsid w:val="00974CD6"/>
    <w:rsid w:val="009844EA"/>
    <w:rsid w:val="009C206F"/>
    <w:rsid w:val="009C37F9"/>
    <w:rsid w:val="009C3FA3"/>
    <w:rsid w:val="009C5CE4"/>
    <w:rsid w:val="009D7044"/>
    <w:rsid w:val="009E79AB"/>
    <w:rsid w:val="00A0018B"/>
    <w:rsid w:val="00A04AFD"/>
    <w:rsid w:val="00A130F7"/>
    <w:rsid w:val="00A15966"/>
    <w:rsid w:val="00A17CD3"/>
    <w:rsid w:val="00A2740F"/>
    <w:rsid w:val="00A32860"/>
    <w:rsid w:val="00A379E5"/>
    <w:rsid w:val="00A400BD"/>
    <w:rsid w:val="00A41F53"/>
    <w:rsid w:val="00A55B8B"/>
    <w:rsid w:val="00A611AA"/>
    <w:rsid w:val="00A62995"/>
    <w:rsid w:val="00A62CD6"/>
    <w:rsid w:val="00A62F99"/>
    <w:rsid w:val="00A65D84"/>
    <w:rsid w:val="00A75BBD"/>
    <w:rsid w:val="00A77E8E"/>
    <w:rsid w:val="00A8157A"/>
    <w:rsid w:val="00A86721"/>
    <w:rsid w:val="00AA1D89"/>
    <w:rsid w:val="00AC77C2"/>
    <w:rsid w:val="00AD5FF6"/>
    <w:rsid w:val="00AE1E6E"/>
    <w:rsid w:val="00AE40DE"/>
    <w:rsid w:val="00AE4763"/>
    <w:rsid w:val="00B0121B"/>
    <w:rsid w:val="00B0455B"/>
    <w:rsid w:val="00B11E02"/>
    <w:rsid w:val="00B34158"/>
    <w:rsid w:val="00B3476F"/>
    <w:rsid w:val="00B3738D"/>
    <w:rsid w:val="00B404AB"/>
    <w:rsid w:val="00B41C10"/>
    <w:rsid w:val="00B42539"/>
    <w:rsid w:val="00B43568"/>
    <w:rsid w:val="00B47849"/>
    <w:rsid w:val="00B5403C"/>
    <w:rsid w:val="00B82095"/>
    <w:rsid w:val="00B821A9"/>
    <w:rsid w:val="00B90975"/>
    <w:rsid w:val="00B916B2"/>
    <w:rsid w:val="00B93571"/>
    <w:rsid w:val="00B94CBD"/>
    <w:rsid w:val="00B94FF0"/>
    <w:rsid w:val="00BA2806"/>
    <w:rsid w:val="00BC321A"/>
    <w:rsid w:val="00BC7D05"/>
    <w:rsid w:val="00BD4F8E"/>
    <w:rsid w:val="00BD7043"/>
    <w:rsid w:val="00BE345B"/>
    <w:rsid w:val="00BF262D"/>
    <w:rsid w:val="00C25B42"/>
    <w:rsid w:val="00C5415A"/>
    <w:rsid w:val="00C6128D"/>
    <w:rsid w:val="00C73278"/>
    <w:rsid w:val="00C765C8"/>
    <w:rsid w:val="00C82029"/>
    <w:rsid w:val="00C9244B"/>
    <w:rsid w:val="00C9283A"/>
    <w:rsid w:val="00C95039"/>
    <w:rsid w:val="00CA4615"/>
    <w:rsid w:val="00CA7C6F"/>
    <w:rsid w:val="00CB7A52"/>
    <w:rsid w:val="00CD3A6F"/>
    <w:rsid w:val="00CD3AFD"/>
    <w:rsid w:val="00CD6263"/>
    <w:rsid w:val="00CE2CA7"/>
    <w:rsid w:val="00CE41C1"/>
    <w:rsid w:val="00CE4E69"/>
    <w:rsid w:val="00CE7F36"/>
    <w:rsid w:val="00CF7D08"/>
    <w:rsid w:val="00D0176E"/>
    <w:rsid w:val="00D04A3C"/>
    <w:rsid w:val="00D22097"/>
    <w:rsid w:val="00D25792"/>
    <w:rsid w:val="00D355F3"/>
    <w:rsid w:val="00D36C41"/>
    <w:rsid w:val="00D4039B"/>
    <w:rsid w:val="00D55A85"/>
    <w:rsid w:val="00D717ED"/>
    <w:rsid w:val="00D750D0"/>
    <w:rsid w:val="00D87480"/>
    <w:rsid w:val="00D91DEB"/>
    <w:rsid w:val="00DA409C"/>
    <w:rsid w:val="00DA634C"/>
    <w:rsid w:val="00DB07BC"/>
    <w:rsid w:val="00DB71FD"/>
    <w:rsid w:val="00DC453F"/>
    <w:rsid w:val="00DC57F0"/>
    <w:rsid w:val="00DD7BA2"/>
    <w:rsid w:val="00DE546F"/>
    <w:rsid w:val="00DE5CB7"/>
    <w:rsid w:val="00DF241E"/>
    <w:rsid w:val="00E02F1A"/>
    <w:rsid w:val="00E17098"/>
    <w:rsid w:val="00E2272D"/>
    <w:rsid w:val="00E25A07"/>
    <w:rsid w:val="00E27E3F"/>
    <w:rsid w:val="00E30FCF"/>
    <w:rsid w:val="00E333DF"/>
    <w:rsid w:val="00E44E91"/>
    <w:rsid w:val="00E83C41"/>
    <w:rsid w:val="00E87842"/>
    <w:rsid w:val="00E9781D"/>
    <w:rsid w:val="00EA2D2D"/>
    <w:rsid w:val="00EA2DCA"/>
    <w:rsid w:val="00EA5D76"/>
    <w:rsid w:val="00EB0B37"/>
    <w:rsid w:val="00EC2925"/>
    <w:rsid w:val="00EC5579"/>
    <w:rsid w:val="00EC5C40"/>
    <w:rsid w:val="00ED5F31"/>
    <w:rsid w:val="00ED774B"/>
    <w:rsid w:val="00EE0118"/>
    <w:rsid w:val="00EE49CE"/>
    <w:rsid w:val="00EE7C8D"/>
    <w:rsid w:val="00EF24B1"/>
    <w:rsid w:val="00EF3918"/>
    <w:rsid w:val="00F03D8C"/>
    <w:rsid w:val="00F23AF2"/>
    <w:rsid w:val="00F30857"/>
    <w:rsid w:val="00F330C3"/>
    <w:rsid w:val="00F3602D"/>
    <w:rsid w:val="00F75F33"/>
    <w:rsid w:val="00F84236"/>
    <w:rsid w:val="00F870AC"/>
    <w:rsid w:val="00F91E9A"/>
    <w:rsid w:val="00FA06E0"/>
    <w:rsid w:val="00FA407B"/>
    <w:rsid w:val="00FA66D6"/>
    <w:rsid w:val="00FB4A36"/>
    <w:rsid w:val="00FC2CE4"/>
    <w:rsid w:val="00FC379E"/>
    <w:rsid w:val="00FD337C"/>
    <w:rsid w:val="00FD3BAE"/>
    <w:rsid w:val="00FD5236"/>
    <w:rsid w:val="00FD7D5B"/>
    <w:rsid w:val="00FE0F23"/>
    <w:rsid w:val="00FE3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E2CEC"/>
  <w15:docId w15:val="{08BF1D55-F91C-4A03-BB4A-D0911C76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列"/>
    <w:basedOn w:val="Normal"/>
    <w:link w:val="ListParagraphChar"/>
    <w:uiPriority w:val="34"/>
    <w:qFormat/>
    <w:rsid w:val="00321F0E"/>
    <w:pPr>
      <w:spacing w:after="200"/>
      <w:ind w:left="720"/>
      <w:contextualSpacing/>
    </w:pPr>
    <w:rPr>
      <w:sz w:val="24"/>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34"/>
    <w:qFormat/>
    <w:locked/>
    <w:rsid w:val="00321F0E"/>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F2024L01758/latest/text" TargetMode="External"/><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yperlink" Target="mailto:IlegalLogging@aff.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5" Type="http://schemas.openxmlformats.org/officeDocument/2006/relationships/numbering" Target="numbering.xml"/><Relationship Id="rId15" Type="http://schemas.openxmlformats.org/officeDocument/2006/relationships/hyperlink" Target="https://www.agriculture.gov.au/agriculture-land/forestry/policies/illegal-logging/get-upda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get-updat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77E8503C-D45C-4549-80D5-544A19FB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Navigating New Rules: Transitioning to new arrangements</vt:lpstr>
    </vt:vector>
  </TitlesOfParts>
  <Company/>
  <LinksUpToDate>false</LinksUpToDate>
  <CharactersWithSpaces>6734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New Rules: Transitioning to new arrangements</dc:title>
  <dc:subject/>
  <dc:creator>Department of Agriculture, Fisheries and Forestry</dc:creator>
  <cp:keywords/>
  <dc:description/>
  <cp:lastModifiedBy>Carroll, Georgia</cp:lastModifiedBy>
  <cp:revision>3</cp:revision>
  <cp:lastPrinted>2022-10-26T05:30:00Z</cp:lastPrinted>
  <dcterms:created xsi:type="dcterms:W3CDTF">2025-01-22T02:49:00Z</dcterms:created>
  <dcterms:modified xsi:type="dcterms:W3CDTF">2025-01-22T02:49:00Z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933d8be6-3c40-4052-87a2-9c2adcba8759_Enabled">
    <vt:lpwstr>true</vt:lpwstr>
  </property>
  <property fmtid="{D5CDD505-2E9C-101B-9397-08002B2CF9AE}" pid="4" name="MSIP_Label_933d8be6-3c40-4052-87a2-9c2adcba8759_SetDate">
    <vt:lpwstr>2024-12-04T02:19:37Z</vt:lpwstr>
  </property>
  <property fmtid="{D5CDD505-2E9C-101B-9397-08002B2CF9AE}" pid="5" name="MSIP_Label_933d8be6-3c40-4052-87a2-9c2adcba8759_Method">
    <vt:lpwstr>Privileged</vt:lpwstr>
  </property>
  <property fmtid="{D5CDD505-2E9C-101B-9397-08002B2CF9AE}" pid="6" name="MSIP_Label_933d8be6-3c40-4052-87a2-9c2adcba8759_Name">
    <vt:lpwstr>OFFICIAL</vt:lpwstr>
  </property>
  <property fmtid="{D5CDD505-2E9C-101B-9397-08002B2CF9AE}" pid="7" name="MSIP_Label_933d8be6-3c40-4052-87a2-9c2adcba8759_SiteId">
    <vt:lpwstr>2be67eb7-400c-4b3f-a5a1-1258c0da0696</vt:lpwstr>
  </property>
  <property fmtid="{D5CDD505-2E9C-101B-9397-08002B2CF9AE}" pid="8" name="MSIP_Label_933d8be6-3c40-4052-87a2-9c2adcba8759_ActionId">
    <vt:lpwstr>320db93b-78d1-40b4-b307-30339a8a0b42</vt:lpwstr>
  </property>
  <property fmtid="{D5CDD505-2E9C-101B-9397-08002B2CF9AE}" pid="9" name="MSIP_Label_933d8be6-3c40-4052-87a2-9c2adcba8759_ContentBits">
    <vt:lpwstr>3</vt:lpwstr>
  </property>
</Properties>
</file>