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6461" w14:textId="23A3C616" w:rsidR="0021462B" w:rsidRDefault="0015103F">
      <w:pPr>
        <w:spacing w:line="360" w:lineRule="auto"/>
      </w:pPr>
      <w:r>
        <w:rPr>
          <w:noProof/>
        </w:rPr>
        <w:drawing>
          <wp:inline distT="0" distB="0" distL="0" distR="0" wp14:anchorId="0EC06479" wp14:editId="280003F0">
            <wp:extent cx="2566852" cy="741980"/>
            <wp:effectExtent l="0" t="0" r="5080" b="1270"/>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046" cy="747528"/>
                    </a:xfrm>
                    <a:prstGeom prst="rect">
                      <a:avLst/>
                    </a:prstGeom>
                    <a:noFill/>
                    <a:ln>
                      <a:noFill/>
                    </a:ln>
                  </pic:spPr>
                </pic:pic>
              </a:graphicData>
            </a:graphic>
          </wp:inline>
        </w:drawing>
      </w:r>
    </w:p>
    <w:p w14:paraId="0990C88B" w14:textId="77777777" w:rsidR="0021462B" w:rsidRPr="00DD53D4" w:rsidRDefault="0021462B">
      <w:pPr>
        <w:pStyle w:val="BodyText"/>
        <w:rPr>
          <w:rFonts w:asciiTheme="minorHAnsi" w:hAnsiTheme="minorHAnsi"/>
        </w:rPr>
      </w:pPr>
    </w:p>
    <w:p w14:paraId="747AF049" w14:textId="70A1E132" w:rsidR="0021462B" w:rsidRPr="00523347" w:rsidRDefault="0048056F" w:rsidP="00523347">
      <w:pPr>
        <w:pStyle w:val="Heading1"/>
        <w:jc w:val="center"/>
        <w:rPr>
          <w:rFonts w:cstheme="minorHAnsi"/>
          <w:sz w:val="72"/>
          <w:szCs w:val="72"/>
        </w:rPr>
      </w:pPr>
      <w:r w:rsidRPr="00523347">
        <w:rPr>
          <w:rFonts w:cstheme="minorHAnsi"/>
          <w:sz w:val="72"/>
          <w:szCs w:val="72"/>
        </w:rPr>
        <w:t>EUROPEAN UNION</w:t>
      </w:r>
      <w:r w:rsidR="00F21274" w:rsidRPr="00523347">
        <w:rPr>
          <w:rFonts w:cstheme="minorHAnsi"/>
          <w:sz w:val="72"/>
          <w:szCs w:val="72"/>
        </w:rPr>
        <w:t xml:space="preserve"> </w:t>
      </w:r>
      <w:r w:rsidRPr="00523347">
        <w:rPr>
          <w:rFonts w:cstheme="minorHAnsi"/>
          <w:sz w:val="72"/>
          <w:szCs w:val="72"/>
        </w:rPr>
        <w:t>CATTLE</w:t>
      </w:r>
      <w:r w:rsidR="00F21274" w:rsidRPr="00523347">
        <w:rPr>
          <w:rFonts w:cstheme="minorHAnsi"/>
          <w:sz w:val="72"/>
          <w:szCs w:val="72"/>
        </w:rPr>
        <w:t xml:space="preserve"> </w:t>
      </w:r>
      <w:r w:rsidRPr="00523347">
        <w:rPr>
          <w:rFonts w:cstheme="minorHAnsi"/>
          <w:sz w:val="72"/>
          <w:szCs w:val="72"/>
        </w:rPr>
        <w:t>ACCREDITATION</w:t>
      </w:r>
      <w:r w:rsidR="00F21274" w:rsidRPr="00523347">
        <w:rPr>
          <w:rFonts w:cstheme="minorHAnsi"/>
          <w:sz w:val="72"/>
          <w:szCs w:val="72"/>
        </w:rPr>
        <w:t xml:space="preserve"> </w:t>
      </w:r>
      <w:r w:rsidRPr="00523347">
        <w:rPr>
          <w:rFonts w:cstheme="minorHAnsi"/>
          <w:sz w:val="72"/>
          <w:szCs w:val="72"/>
        </w:rPr>
        <w:t xml:space="preserve">SCHEME </w:t>
      </w:r>
      <w:r w:rsidR="00F21274" w:rsidRPr="00523347">
        <w:rPr>
          <w:rFonts w:cstheme="minorHAnsi"/>
          <w:sz w:val="72"/>
          <w:szCs w:val="72"/>
        </w:rPr>
        <w:t>(EUCAS)</w:t>
      </w:r>
    </w:p>
    <w:p w14:paraId="2B612212" w14:textId="77777777" w:rsidR="0021462B" w:rsidRPr="00523347" w:rsidRDefault="0021462B" w:rsidP="00523347">
      <w:pPr>
        <w:pStyle w:val="Heading1"/>
        <w:jc w:val="center"/>
        <w:rPr>
          <w:rFonts w:cstheme="minorHAnsi"/>
          <w:sz w:val="72"/>
          <w:szCs w:val="72"/>
        </w:rPr>
      </w:pPr>
    </w:p>
    <w:p w14:paraId="4864E8A0" w14:textId="0D49342D" w:rsidR="0021462B" w:rsidRPr="00523347" w:rsidRDefault="00F21274" w:rsidP="00523347">
      <w:pPr>
        <w:pStyle w:val="Heading1"/>
        <w:jc w:val="center"/>
        <w:rPr>
          <w:rFonts w:cstheme="minorHAnsi"/>
          <w:sz w:val="72"/>
          <w:szCs w:val="72"/>
        </w:rPr>
      </w:pPr>
      <w:r w:rsidRPr="00523347">
        <w:rPr>
          <w:rFonts w:cstheme="minorHAnsi"/>
          <w:sz w:val="72"/>
          <w:szCs w:val="72"/>
        </w:rPr>
        <w:t xml:space="preserve">RULES </w:t>
      </w:r>
      <w:r w:rsidR="0048056F" w:rsidRPr="00523347">
        <w:rPr>
          <w:rFonts w:cstheme="minorHAnsi"/>
          <w:sz w:val="72"/>
          <w:szCs w:val="72"/>
        </w:rPr>
        <w:t>FOR FARMS</w:t>
      </w:r>
    </w:p>
    <w:p w14:paraId="623D2507" w14:textId="77777777" w:rsidR="000D7D7C" w:rsidRPr="00DD53D4" w:rsidRDefault="000D7D7C">
      <w:pPr>
        <w:pStyle w:val="BodyText"/>
        <w:rPr>
          <w:rFonts w:asciiTheme="minorHAnsi" w:hAnsiTheme="minorHAnsi"/>
          <w:szCs w:val="72"/>
        </w:rPr>
      </w:pPr>
    </w:p>
    <w:p w14:paraId="5EC274C1" w14:textId="77777777" w:rsidR="0021462B" w:rsidRPr="00DD53D4" w:rsidRDefault="0021462B">
      <w:pPr>
        <w:pStyle w:val="BodyText"/>
        <w:rPr>
          <w:rFonts w:asciiTheme="minorHAnsi" w:hAnsiTheme="minorHAnsi"/>
          <w:szCs w:val="72"/>
        </w:rPr>
      </w:pPr>
    </w:p>
    <w:p w14:paraId="6505E993" w14:textId="2CD22885" w:rsidR="00DD53D4" w:rsidRPr="00523347" w:rsidRDefault="001433DE" w:rsidP="00523347">
      <w:pPr>
        <w:pStyle w:val="Subtitle"/>
        <w:rPr>
          <w:b/>
          <w:bCs/>
          <w:sz w:val="40"/>
          <w:szCs w:val="40"/>
          <w:vertAlign w:val="superscript"/>
        </w:rPr>
      </w:pPr>
      <w:r>
        <w:rPr>
          <w:b/>
          <w:bCs/>
          <w:sz w:val="40"/>
          <w:szCs w:val="40"/>
          <w:vertAlign w:val="superscript"/>
        </w:rPr>
        <w:t>July</w:t>
      </w:r>
      <w:r w:rsidR="00BF2D8A" w:rsidRPr="00523347">
        <w:rPr>
          <w:b/>
          <w:bCs/>
          <w:sz w:val="40"/>
          <w:szCs w:val="40"/>
          <w:vertAlign w:val="superscript"/>
        </w:rPr>
        <w:t xml:space="preserve"> </w:t>
      </w:r>
      <w:r w:rsidR="0048056F" w:rsidRPr="00523347">
        <w:rPr>
          <w:b/>
          <w:bCs/>
          <w:sz w:val="40"/>
          <w:szCs w:val="40"/>
          <w:vertAlign w:val="superscript"/>
        </w:rPr>
        <w:t>20</w:t>
      </w:r>
      <w:r w:rsidR="00F21274" w:rsidRPr="00523347">
        <w:rPr>
          <w:b/>
          <w:bCs/>
          <w:sz w:val="40"/>
          <w:szCs w:val="40"/>
          <w:vertAlign w:val="superscript"/>
        </w:rPr>
        <w:t>2</w:t>
      </w:r>
      <w:bookmarkStart w:id="0" w:name="_Toc268164419"/>
      <w:bookmarkStart w:id="1" w:name="_Toc271723708"/>
      <w:bookmarkStart w:id="2" w:name="_Toc271724843"/>
      <w:bookmarkStart w:id="3" w:name="_Toc271787797"/>
      <w:bookmarkStart w:id="4" w:name="_Toc397334271"/>
      <w:r>
        <w:rPr>
          <w:b/>
          <w:bCs/>
          <w:sz w:val="40"/>
          <w:szCs w:val="40"/>
          <w:vertAlign w:val="superscript"/>
        </w:rPr>
        <w:t>3</w:t>
      </w:r>
    </w:p>
    <w:p w14:paraId="2EDEA7F6" w14:textId="6A75D354" w:rsidR="0021462B" w:rsidRPr="004D1FE0" w:rsidRDefault="00F21274" w:rsidP="004D1FE0">
      <w:pPr>
        <w:rPr>
          <w:rFonts w:ascii="Calibri" w:hAnsi="Calibri" w:cs="Arial"/>
          <w:b/>
          <w:bCs/>
          <w:iCs/>
          <w:szCs w:val="28"/>
        </w:rPr>
      </w:pPr>
      <w:r>
        <w:br w:type="page"/>
      </w:r>
      <w:bookmarkEnd w:id="0"/>
      <w:bookmarkEnd w:id="1"/>
      <w:bookmarkEnd w:id="2"/>
      <w:bookmarkEnd w:id="3"/>
      <w:bookmarkEnd w:id="4"/>
    </w:p>
    <w:p w14:paraId="59097037" w14:textId="77777777" w:rsidR="004D1FE0" w:rsidRDefault="004D1FE0">
      <w:pPr>
        <w:spacing w:line="360" w:lineRule="auto"/>
        <w:rPr>
          <w:rFonts w:cstheme="minorHAnsi"/>
          <w:szCs w:val="24"/>
        </w:rPr>
      </w:pPr>
    </w:p>
    <w:sdt>
      <w:sdtPr>
        <w:rPr>
          <w:rFonts w:ascii="Times New Roman" w:eastAsia="Times New Roman" w:hAnsi="Times New Roman" w:cs="Times New Roman"/>
          <w:color w:val="auto"/>
          <w:sz w:val="24"/>
          <w:szCs w:val="20"/>
          <w:lang w:val="en-AU"/>
        </w:rPr>
        <w:id w:val="-448316323"/>
        <w:docPartObj>
          <w:docPartGallery w:val="Table of Contents"/>
          <w:docPartUnique/>
        </w:docPartObj>
      </w:sdtPr>
      <w:sdtEndPr>
        <w:rPr>
          <w:rFonts w:asciiTheme="minorHAnsi" w:eastAsiaTheme="minorHAnsi" w:hAnsiTheme="minorHAnsi" w:cstheme="minorBidi"/>
          <w:b/>
          <w:bCs/>
          <w:noProof/>
          <w:sz w:val="22"/>
          <w:szCs w:val="22"/>
        </w:rPr>
      </w:sdtEndPr>
      <w:sdtContent>
        <w:p w14:paraId="113D27B3" w14:textId="16771D1A" w:rsidR="00AC309B" w:rsidRDefault="00AC309B">
          <w:pPr>
            <w:pStyle w:val="TOCHeading"/>
          </w:pPr>
          <w:r>
            <w:t>Contents</w:t>
          </w:r>
        </w:p>
        <w:p w14:paraId="4348FB9D" w14:textId="5A2B0A63" w:rsidR="00AC309B" w:rsidRDefault="00AC309B">
          <w:pPr>
            <w:pStyle w:val="TOC2"/>
            <w:tabs>
              <w:tab w:val="right" w:leader="dot" w:pos="9678"/>
            </w:tabs>
            <w:rPr>
              <w:rFonts w:eastAsiaTheme="minorEastAsia"/>
              <w:noProof/>
              <w:lang w:eastAsia="en-AU"/>
            </w:rPr>
          </w:pPr>
          <w:r>
            <w:fldChar w:fldCharType="begin"/>
          </w:r>
          <w:r>
            <w:instrText xml:space="preserve"> TOC \o "1-3" \h \z \u </w:instrText>
          </w:r>
          <w:r>
            <w:fldChar w:fldCharType="separate"/>
          </w:r>
          <w:hyperlink w:anchor="_Toc83365348" w:history="1">
            <w:r w:rsidRPr="007F2B52">
              <w:rPr>
                <w:rStyle w:val="Hyperlink"/>
                <w:noProof/>
              </w:rPr>
              <w:t>ACRONYMS AND DEFINITIONS</w:t>
            </w:r>
            <w:r>
              <w:rPr>
                <w:noProof/>
                <w:webHidden/>
              </w:rPr>
              <w:tab/>
            </w:r>
            <w:r>
              <w:rPr>
                <w:noProof/>
                <w:webHidden/>
              </w:rPr>
              <w:fldChar w:fldCharType="begin"/>
            </w:r>
            <w:r>
              <w:rPr>
                <w:noProof/>
                <w:webHidden/>
              </w:rPr>
              <w:instrText xml:space="preserve"> PAGEREF _Toc83365348 \h </w:instrText>
            </w:r>
            <w:r>
              <w:rPr>
                <w:noProof/>
                <w:webHidden/>
              </w:rPr>
            </w:r>
            <w:r>
              <w:rPr>
                <w:noProof/>
                <w:webHidden/>
              </w:rPr>
              <w:fldChar w:fldCharType="separate"/>
            </w:r>
            <w:r w:rsidR="002D4C9B">
              <w:rPr>
                <w:noProof/>
                <w:webHidden/>
              </w:rPr>
              <w:t>3</w:t>
            </w:r>
            <w:r>
              <w:rPr>
                <w:noProof/>
                <w:webHidden/>
              </w:rPr>
              <w:fldChar w:fldCharType="end"/>
            </w:r>
          </w:hyperlink>
        </w:p>
        <w:p w14:paraId="61E99664" w14:textId="7AE80C6B" w:rsidR="00AC309B" w:rsidRDefault="00E311EC">
          <w:pPr>
            <w:pStyle w:val="TOC2"/>
            <w:tabs>
              <w:tab w:val="left" w:pos="660"/>
              <w:tab w:val="right" w:leader="dot" w:pos="9678"/>
            </w:tabs>
            <w:rPr>
              <w:rFonts w:eastAsiaTheme="minorEastAsia"/>
              <w:noProof/>
              <w:lang w:eastAsia="en-AU"/>
            </w:rPr>
          </w:pPr>
          <w:hyperlink w:anchor="_Toc83365349" w:history="1">
            <w:r w:rsidR="00AC309B" w:rsidRPr="007F2B52">
              <w:rPr>
                <w:rStyle w:val="Hyperlink"/>
                <w:noProof/>
              </w:rPr>
              <w:t>1.</w:t>
            </w:r>
            <w:r w:rsidR="00AC309B">
              <w:rPr>
                <w:rFonts w:eastAsiaTheme="minorEastAsia"/>
                <w:noProof/>
                <w:lang w:eastAsia="en-AU"/>
              </w:rPr>
              <w:tab/>
            </w:r>
            <w:r w:rsidR="00AC309B" w:rsidRPr="007F2B52">
              <w:rPr>
                <w:rStyle w:val="Hyperlink"/>
                <w:noProof/>
              </w:rPr>
              <w:t>INTRODUCTION</w:t>
            </w:r>
            <w:r w:rsidR="00AC309B">
              <w:rPr>
                <w:noProof/>
                <w:webHidden/>
              </w:rPr>
              <w:tab/>
            </w:r>
            <w:r w:rsidR="00AC309B">
              <w:rPr>
                <w:noProof/>
                <w:webHidden/>
              </w:rPr>
              <w:fldChar w:fldCharType="begin"/>
            </w:r>
            <w:r w:rsidR="00AC309B">
              <w:rPr>
                <w:noProof/>
                <w:webHidden/>
              </w:rPr>
              <w:instrText xml:space="preserve"> PAGEREF _Toc83365349 \h </w:instrText>
            </w:r>
            <w:r w:rsidR="00AC309B">
              <w:rPr>
                <w:noProof/>
                <w:webHidden/>
              </w:rPr>
            </w:r>
            <w:r w:rsidR="00AC309B">
              <w:rPr>
                <w:noProof/>
                <w:webHidden/>
              </w:rPr>
              <w:fldChar w:fldCharType="separate"/>
            </w:r>
            <w:r w:rsidR="002D4C9B">
              <w:rPr>
                <w:noProof/>
                <w:webHidden/>
              </w:rPr>
              <w:t>5</w:t>
            </w:r>
            <w:r w:rsidR="00AC309B">
              <w:rPr>
                <w:noProof/>
                <w:webHidden/>
              </w:rPr>
              <w:fldChar w:fldCharType="end"/>
            </w:r>
          </w:hyperlink>
        </w:p>
        <w:p w14:paraId="593B6ACB" w14:textId="0536A750" w:rsidR="00AC309B" w:rsidRDefault="00E311EC">
          <w:pPr>
            <w:pStyle w:val="TOC2"/>
            <w:tabs>
              <w:tab w:val="left" w:pos="660"/>
              <w:tab w:val="right" w:leader="dot" w:pos="9678"/>
            </w:tabs>
            <w:rPr>
              <w:rFonts w:eastAsiaTheme="minorEastAsia"/>
              <w:noProof/>
              <w:lang w:eastAsia="en-AU"/>
            </w:rPr>
          </w:pPr>
          <w:hyperlink w:anchor="_Toc83365350" w:history="1">
            <w:r w:rsidR="00AC309B" w:rsidRPr="007F2B52">
              <w:rPr>
                <w:rStyle w:val="Hyperlink"/>
                <w:noProof/>
              </w:rPr>
              <w:t>2.</w:t>
            </w:r>
            <w:r w:rsidR="00AC309B">
              <w:rPr>
                <w:rFonts w:eastAsiaTheme="minorEastAsia"/>
                <w:noProof/>
                <w:lang w:eastAsia="en-AU"/>
              </w:rPr>
              <w:tab/>
            </w:r>
            <w:r w:rsidR="00AC309B" w:rsidRPr="007F2B52">
              <w:rPr>
                <w:rStyle w:val="Hyperlink"/>
                <w:noProof/>
              </w:rPr>
              <w:t>FARM ACCREDITATION</w:t>
            </w:r>
            <w:r w:rsidR="00AC309B">
              <w:rPr>
                <w:noProof/>
                <w:webHidden/>
              </w:rPr>
              <w:tab/>
            </w:r>
            <w:r w:rsidR="00AC309B">
              <w:rPr>
                <w:noProof/>
                <w:webHidden/>
              </w:rPr>
              <w:fldChar w:fldCharType="begin"/>
            </w:r>
            <w:r w:rsidR="00AC309B">
              <w:rPr>
                <w:noProof/>
                <w:webHidden/>
              </w:rPr>
              <w:instrText xml:space="preserve"> PAGEREF _Toc83365350 \h </w:instrText>
            </w:r>
            <w:r w:rsidR="00AC309B">
              <w:rPr>
                <w:noProof/>
                <w:webHidden/>
              </w:rPr>
            </w:r>
            <w:r w:rsidR="00AC309B">
              <w:rPr>
                <w:noProof/>
                <w:webHidden/>
              </w:rPr>
              <w:fldChar w:fldCharType="separate"/>
            </w:r>
            <w:r w:rsidR="002D4C9B">
              <w:rPr>
                <w:noProof/>
                <w:webHidden/>
              </w:rPr>
              <w:t>6</w:t>
            </w:r>
            <w:r w:rsidR="00AC309B">
              <w:rPr>
                <w:noProof/>
                <w:webHidden/>
              </w:rPr>
              <w:fldChar w:fldCharType="end"/>
            </w:r>
          </w:hyperlink>
        </w:p>
        <w:p w14:paraId="577CE03C" w14:textId="24DB4C6C" w:rsidR="00AC309B" w:rsidRDefault="00E311EC">
          <w:pPr>
            <w:pStyle w:val="TOC3"/>
            <w:tabs>
              <w:tab w:val="left" w:pos="1100"/>
              <w:tab w:val="right" w:leader="dot" w:pos="9678"/>
            </w:tabs>
            <w:rPr>
              <w:rFonts w:eastAsiaTheme="minorEastAsia"/>
              <w:noProof/>
              <w:lang w:eastAsia="en-AU"/>
            </w:rPr>
          </w:pPr>
          <w:hyperlink w:anchor="_Toc83365351" w:history="1">
            <w:r w:rsidR="00AC309B" w:rsidRPr="007F2B52">
              <w:rPr>
                <w:rStyle w:val="Hyperlink"/>
                <w:noProof/>
              </w:rPr>
              <w:t>2.1</w:t>
            </w:r>
            <w:r w:rsidR="00AC309B">
              <w:rPr>
                <w:rFonts w:eastAsiaTheme="minorEastAsia"/>
                <w:noProof/>
                <w:lang w:eastAsia="en-AU"/>
              </w:rPr>
              <w:tab/>
            </w:r>
            <w:r w:rsidR="00AC309B" w:rsidRPr="007F2B52">
              <w:rPr>
                <w:rStyle w:val="Hyperlink"/>
                <w:noProof/>
              </w:rPr>
              <w:t>Accreditation procedure</w:t>
            </w:r>
            <w:r w:rsidR="00AC309B">
              <w:rPr>
                <w:noProof/>
                <w:webHidden/>
              </w:rPr>
              <w:tab/>
            </w:r>
            <w:r w:rsidR="00AC309B">
              <w:rPr>
                <w:noProof/>
                <w:webHidden/>
              </w:rPr>
              <w:fldChar w:fldCharType="begin"/>
            </w:r>
            <w:r w:rsidR="00AC309B">
              <w:rPr>
                <w:noProof/>
                <w:webHidden/>
              </w:rPr>
              <w:instrText xml:space="preserve"> PAGEREF _Toc83365351 \h </w:instrText>
            </w:r>
            <w:r w:rsidR="00AC309B">
              <w:rPr>
                <w:noProof/>
                <w:webHidden/>
              </w:rPr>
            </w:r>
            <w:r w:rsidR="00AC309B">
              <w:rPr>
                <w:noProof/>
                <w:webHidden/>
              </w:rPr>
              <w:fldChar w:fldCharType="separate"/>
            </w:r>
            <w:r w:rsidR="002D4C9B">
              <w:rPr>
                <w:noProof/>
                <w:webHidden/>
              </w:rPr>
              <w:t>6</w:t>
            </w:r>
            <w:r w:rsidR="00AC309B">
              <w:rPr>
                <w:noProof/>
                <w:webHidden/>
              </w:rPr>
              <w:fldChar w:fldCharType="end"/>
            </w:r>
          </w:hyperlink>
        </w:p>
        <w:p w14:paraId="6CB34C9D" w14:textId="4CDE16DD" w:rsidR="00AC309B" w:rsidRDefault="00E311EC">
          <w:pPr>
            <w:pStyle w:val="TOC3"/>
            <w:tabs>
              <w:tab w:val="left" w:pos="1100"/>
              <w:tab w:val="right" w:leader="dot" w:pos="9678"/>
            </w:tabs>
            <w:rPr>
              <w:rFonts w:eastAsiaTheme="minorEastAsia"/>
              <w:noProof/>
              <w:lang w:eastAsia="en-AU"/>
            </w:rPr>
          </w:pPr>
          <w:hyperlink w:anchor="_Toc83365352" w:history="1">
            <w:r w:rsidR="00AC309B" w:rsidRPr="007F2B52">
              <w:rPr>
                <w:rStyle w:val="Hyperlink"/>
                <w:noProof/>
              </w:rPr>
              <w:t>2.2</w:t>
            </w:r>
            <w:r w:rsidR="00AC309B">
              <w:rPr>
                <w:rFonts w:eastAsiaTheme="minorEastAsia"/>
                <w:noProof/>
                <w:lang w:eastAsia="en-AU"/>
              </w:rPr>
              <w:tab/>
            </w:r>
            <w:r w:rsidR="00AC309B" w:rsidRPr="007F2B52">
              <w:rPr>
                <w:rStyle w:val="Hyperlink"/>
                <w:noProof/>
              </w:rPr>
              <w:t>Cattle permitted on accredited farms</w:t>
            </w:r>
            <w:r w:rsidR="00AC309B">
              <w:rPr>
                <w:noProof/>
                <w:webHidden/>
              </w:rPr>
              <w:tab/>
            </w:r>
            <w:r w:rsidR="00AC309B">
              <w:rPr>
                <w:noProof/>
                <w:webHidden/>
              </w:rPr>
              <w:fldChar w:fldCharType="begin"/>
            </w:r>
            <w:r w:rsidR="00AC309B">
              <w:rPr>
                <w:noProof/>
                <w:webHidden/>
              </w:rPr>
              <w:instrText xml:space="preserve"> PAGEREF _Toc83365352 \h </w:instrText>
            </w:r>
            <w:r w:rsidR="00AC309B">
              <w:rPr>
                <w:noProof/>
                <w:webHidden/>
              </w:rPr>
            </w:r>
            <w:r w:rsidR="00AC309B">
              <w:rPr>
                <w:noProof/>
                <w:webHidden/>
              </w:rPr>
              <w:fldChar w:fldCharType="separate"/>
            </w:r>
            <w:r w:rsidR="002D4C9B">
              <w:rPr>
                <w:noProof/>
                <w:webHidden/>
              </w:rPr>
              <w:t>7</w:t>
            </w:r>
            <w:r w:rsidR="00AC309B">
              <w:rPr>
                <w:noProof/>
                <w:webHidden/>
              </w:rPr>
              <w:fldChar w:fldCharType="end"/>
            </w:r>
          </w:hyperlink>
        </w:p>
        <w:p w14:paraId="358F15AD" w14:textId="06353231" w:rsidR="00AC309B" w:rsidRDefault="00E311EC">
          <w:pPr>
            <w:pStyle w:val="TOC3"/>
            <w:tabs>
              <w:tab w:val="left" w:pos="1100"/>
              <w:tab w:val="right" w:leader="dot" w:pos="9678"/>
            </w:tabs>
            <w:rPr>
              <w:rFonts w:eastAsiaTheme="minorEastAsia"/>
              <w:noProof/>
              <w:lang w:eastAsia="en-AU"/>
            </w:rPr>
          </w:pPr>
          <w:hyperlink w:anchor="_Toc83365353" w:history="1">
            <w:r w:rsidR="00AC309B" w:rsidRPr="007F2B52">
              <w:rPr>
                <w:rStyle w:val="Hyperlink"/>
                <w:noProof/>
              </w:rPr>
              <w:t>2.3</w:t>
            </w:r>
            <w:r w:rsidR="00AC309B">
              <w:rPr>
                <w:rFonts w:eastAsiaTheme="minorEastAsia"/>
                <w:noProof/>
                <w:lang w:eastAsia="en-AU"/>
              </w:rPr>
              <w:tab/>
            </w:r>
            <w:r w:rsidR="00AC309B" w:rsidRPr="007F2B52">
              <w:rPr>
                <w:rStyle w:val="Hyperlink"/>
                <w:noProof/>
              </w:rPr>
              <w:t>Individual identification</w:t>
            </w:r>
            <w:r w:rsidR="00AC309B">
              <w:rPr>
                <w:noProof/>
                <w:webHidden/>
              </w:rPr>
              <w:tab/>
            </w:r>
            <w:r w:rsidR="00AC309B">
              <w:rPr>
                <w:noProof/>
                <w:webHidden/>
              </w:rPr>
              <w:fldChar w:fldCharType="begin"/>
            </w:r>
            <w:r w:rsidR="00AC309B">
              <w:rPr>
                <w:noProof/>
                <w:webHidden/>
              </w:rPr>
              <w:instrText xml:space="preserve"> PAGEREF _Toc83365353 \h </w:instrText>
            </w:r>
            <w:r w:rsidR="00AC309B">
              <w:rPr>
                <w:noProof/>
                <w:webHidden/>
              </w:rPr>
            </w:r>
            <w:r w:rsidR="00AC309B">
              <w:rPr>
                <w:noProof/>
                <w:webHidden/>
              </w:rPr>
              <w:fldChar w:fldCharType="separate"/>
            </w:r>
            <w:r w:rsidR="002D4C9B">
              <w:rPr>
                <w:noProof/>
                <w:webHidden/>
              </w:rPr>
              <w:t>8</w:t>
            </w:r>
            <w:r w:rsidR="00AC309B">
              <w:rPr>
                <w:noProof/>
                <w:webHidden/>
              </w:rPr>
              <w:fldChar w:fldCharType="end"/>
            </w:r>
          </w:hyperlink>
        </w:p>
        <w:p w14:paraId="4D3F6464" w14:textId="5EB57634" w:rsidR="00AC309B" w:rsidRDefault="00E311EC">
          <w:pPr>
            <w:pStyle w:val="TOC3"/>
            <w:tabs>
              <w:tab w:val="left" w:pos="1100"/>
              <w:tab w:val="right" w:leader="dot" w:pos="9678"/>
            </w:tabs>
            <w:rPr>
              <w:rFonts w:eastAsiaTheme="minorEastAsia"/>
              <w:noProof/>
              <w:lang w:eastAsia="en-AU"/>
            </w:rPr>
          </w:pPr>
          <w:hyperlink w:anchor="_Toc83365354" w:history="1">
            <w:r w:rsidR="00AC309B" w:rsidRPr="007F2B52">
              <w:rPr>
                <w:rStyle w:val="Hyperlink"/>
                <w:noProof/>
              </w:rPr>
              <w:t>2.4</w:t>
            </w:r>
            <w:r w:rsidR="00AC309B">
              <w:rPr>
                <w:rFonts w:eastAsiaTheme="minorEastAsia"/>
                <w:noProof/>
                <w:lang w:eastAsia="en-AU"/>
              </w:rPr>
              <w:tab/>
            </w:r>
            <w:r w:rsidR="00AC309B" w:rsidRPr="007F2B52">
              <w:rPr>
                <w:rStyle w:val="Hyperlink"/>
                <w:noProof/>
              </w:rPr>
              <w:t>Lost individual identification</w:t>
            </w:r>
            <w:r w:rsidR="00AC309B">
              <w:rPr>
                <w:noProof/>
                <w:webHidden/>
              </w:rPr>
              <w:tab/>
            </w:r>
            <w:r w:rsidR="00AC309B">
              <w:rPr>
                <w:noProof/>
                <w:webHidden/>
              </w:rPr>
              <w:fldChar w:fldCharType="begin"/>
            </w:r>
            <w:r w:rsidR="00AC309B">
              <w:rPr>
                <w:noProof/>
                <w:webHidden/>
              </w:rPr>
              <w:instrText xml:space="preserve"> PAGEREF _Toc83365354 \h </w:instrText>
            </w:r>
            <w:r w:rsidR="00AC309B">
              <w:rPr>
                <w:noProof/>
                <w:webHidden/>
              </w:rPr>
            </w:r>
            <w:r w:rsidR="00AC309B">
              <w:rPr>
                <w:noProof/>
                <w:webHidden/>
              </w:rPr>
              <w:fldChar w:fldCharType="separate"/>
            </w:r>
            <w:r w:rsidR="002D4C9B">
              <w:rPr>
                <w:noProof/>
                <w:webHidden/>
              </w:rPr>
              <w:t>8</w:t>
            </w:r>
            <w:r w:rsidR="00AC309B">
              <w:rPr>
                <w:noProof/>
                <w:webHidden/>
              </w:rPr>
              <w:fldChar w:fldCharType="end"/>
            </w:r>
          </w:hyperlink>
        </w:p>
        <w:p w14:paraId="13FB224D" w14:textId="650A5E64" w:rsidR="00AC309B" w:rsidRDefault="00E311EC">
          <w:pPr>
            <w:pStyle w:val="TOC3"/>
            <w:tabs>
              <w:tab w:val="left" w:pos="1100"/>
              <w:tab w:val="right" w:leader="dot" w:pos="9678"/>
            </w:tabs>
            <w:rPr>
              <w:rFonts w:eastAsiaTheme="minorEastAsia"/>
              <w:noProof/>
              <w:lang w:eastAsia="en-AU"/>
            </w:rPr>
          </w:pPr>
          <w:hyperlink w:anchor="_Toc83365355" w:history="1">
            <w:r w:rsidR="00AC309B" w:rsidRPr="007F2B52">
              <w:rPr>
                <w:rStyle w:val="Hyperlink"/>
                <w:noProof/>
              </w:rPr>
              <w:t>2.5</w:t>
            </w:r>
            <w:r w:rsidR="00AC309B">
              <w:rPr>
                <w:rFonts w:eastAsiaTheme="minorEastAsia"/>
                <w:noProof/>
                <w:lang w:eastAsia="en-AU"/>
              </w:rPr>
              <w:tab/>
            </w:r>
            <w:r w:rsidR="00AC309B" w:rsidRPr="007F2B52">
              <w:rPr>
                <w:rStyle w:val="Hyperlink"/>
                <w:noProof/>
              </w:rPr>
              <w:t>Cattle movements</w:t>
            </w:r>
            <w:r w:rsidR="00AC309B">
              <w:rPr>
                <w:noProof/>
                <w:webHidden/>
              </w:rPr>
              <w:tab/>
            </w:r>
            <w:r w:rsidR="00AC309B">
              <w:rPr>
                <w:noProof/>
                <w:webHidden/>
              </w:rPr>
              <w:fldChar w:fldCharType="begin"/>
            </w:r>
            <w:r w:rsidR="00AC309B">
              <w:rPr>
                <w:noProof/>
                <w:webHidden/>
              </w:rPr>
              <w:instrText xml:space="preserve"> PAGEREF _Toc83365355 \h </w:instrText>
            </w:r>
            <w:r w:rsidR="00AC309B">
              <w:rPr>
                <w:noProof/>
                <w:webHidden/>
              </w:rPr>
            </w:r>
            <w:r w:rsidR="00AC309B">
              <w:rPr>
                <w:noProof/>
                <w:webHidden/>
              </w:rPr>
              <w:fldChar w:fldCharType="separate"/>
            </w:r>
            <w:r w:rsidR="002D4C9B">
              <w:rPr>
                <w:noProof/>
                <w:webHidden/>
              </w:rPr>
              <w:t>8</w:t>
            </w:r>
            <w:r w:rsidR="00AC309B">
              <w:rPr>
                <w:noProof/>
                <w:webHidden/>
              </w:rPr>
              <w:fldChar w:fldCharType="end"/>
            </w:r>
          </w:hyperlink>
        </w:p>
        <w:p w14:paraId="245FB2E0" w14:textId="3718B14A" w:rsidR="00AC309B" w:rsidRDefault="00E311EC">
          <w:pPr>
            <w:pStyle w:val="TOC3"/>
            <w:tabs>
              <w:tab w:val="left" w:pos="1100"/>
              <w:tab w:val="right" w:leader="dot" w:pos="9678"/>
            </w:tabs>
            <w:rPr>
              <w:rFonts w:eastAsiaTheme="minorEastAsia"/>
              <w:noProof/>
              <w:lang w:eastAsia="en-AU"/>
            </w:rPr>
          </w:pPr>
          <w:hyperlink w:anchor="_Toc83365356" w:history="1">
            <w:r w:rsidR="00AC309B" w:rsidRPr="007F2B52">
              <w:rPr>
                <w:rStyle w:val="Hyperlink"/>
                <w:noProof/>
              </w:rPr>
              <w:t>2.6</w:t>
            </w:r>
            <w:r w:rsidR="00AC309B">
              <w:rPr>
                <w:rFonts w:eastAsiaTheme="minorEastAsia"/>
                <w:noProof/>
                <w:lang w:eastAsia="en-AU"/>
              </w:rPr>
              <w:tab/>
            </w:r>
            <w:r w:rsidR="00AC309B" w:rsidRPr="007F2B52">
              <w:rPr>
                <w:rStyle w:val="Hyperlink"/>
                <w:noProof/>
              </w:rPr>
              <w:t>Database recording requirements</w:t>
            </w:r>
            <w:r w:rsidR="00AC309B">
              <w:rPr>
                <w:noProof/>
                <w:webHidden/>
              </w:rPr>
              <w:tab/>
            </w:r>
            <w:r w:rsidR="00AC309B">
              <w:rPr>
                <w:noProof/>
                <w:webHidden/>
              </w:rPr>
              <w:fldChar w:fldCharType="begin"/>
            </w:r>
            <w:r w:rsidR="00AC309B">
              <w:rPr>
                <w:noProof/>
                <w:webHidden/>
              </w:rPr>
              <w:instrText xml:space="preserve"> PAGEREF _Toc83365356 \h </w:instrText>
            </w:r>
            <w:r w:rsidR="00AC309B">
              <w:rPr>
                <w:noProof/>
                <w:webHidden/>
              </w:rPr>
            </w:r>
            <w:r w:rsidR="00AC309B">
              <w:rPr>
                <w:noProof/>
                <w:webHidden/>
              </w:rPr>
              <w:fldChar w:fldCharType="separate"/>
            </w:r>
            <w:r w:rsidR="002D4C9B">
              <w:rPr>
                <w:noProof/>
                <w:webHidden/>
              </w:rPr>
              <w:t>10</w:t>
            </w:r>
            <w:r w:rsidR="00AC309B">
              <w:rPr>
                <w:noProof/>
                <w:webHidden/>
              </w:rPr>
              <w:fldChar w:fldCharType="end"/>
            </w:r>
          </w:hyperlink>
        </w:p>
        <w:p w14:paraId="065DF91F" w14:textId="0CEC6F7C" w:rsidR="00AC309B" w:rsidRDefault="00E311EC">
          <w:pPr>
            <w:pStyle w:val="TOC3"/>
            <w:tabs>
              <w:tab w:val="left" w:pos="1100"/>
              <w:tab w:val="right" w:leader="dot" w:pos="9678"/>
            </w:tabs>
            <w:rPr>
              <w:rFonts w:eastAsiaTheme="minorEastAsia"/>
              <w:noProof/>
              <w:lang w:eastAsia="en-AU"/>
            </w:rPr>
          </w:pPr>
          <w:hyperlink w:anchor="_Toc83365357" w:history="1">
            <w:r w:rsidR="00AC309B" w:rsidRPr="007F2B52">
              <w:rPr>
                <w:rStyle w:val="Hyperlink"/>
                <w:noProof/>
              </w:rPr>
              <w:t>2.7</w:t>
            </w:r>
            <w:r w:rsidR="00AC309B">
              <w:rPr>
                <w:rFonts w:eastAsiaTheme="minorEastAsia"/>
                <w:noProof/>
                <w:lang w:eastAsia="en-AU"/>
              </w:rPr>
              <w:tab/>
            </w:r>
            <w:r w:rsidR="00AC309B" w:rsidRPr="007F2B52">
              <w:rPr>
                <w:rStyle w:val="Hyperlink"/>
                <w:noProof/>
              </w:rPr>
              <w:t>Record keeping</w:t>
            </w:r>
            <w:r w:rsidR="00AC309B">
              <w:rPr>
                <w:noProof/>
                <w:webHidden/>
              </w:rPr>
              <w:tab/>
            </w:r>
            <w:r w:rsidR="00AC309B">
              <w:rPr>
                <w:noProof/>
                <w:webHidden/>
              </w:rPr>
              <w:fldChar w:fldCharType="begin"/>
            </w:r>
            <w:r w:rsidR="00AC309B">
              <w:rPr>
                <w:noProof/>
                <w:webHidden/>
              </w:rPr>
              <w:instrText xml:space="preserve"> PAGEREF _Toc83365357 \h </w:instrText>
            </w:r>
            <w:r w:rsidR="00AC309B">
              <w:rPr>
                <w:noProof/>
                <w:webHidden/>
              </w:rPr>
            </w:r>
            <w:r w:rsidR="00AC309B">
              <w:rPr>
                <w:noProof/>
                <w:webHidden/>
              </w:rPr>
              <w:fldChar w:fldCharType="separate"/>
            </w:r>
            <w:r w:rsidR="002D4C9B">
              <w:rPr>
                <w:noProof/>
                <w:webHidden/>
              </w:rPr>
              <w:t>11</w:t>
            </w:r>
            <w:r w:rsidR="00AC309B">
              <w:rPr>
                <w:noProof/>
                <w:webHidden/>
              </w:rPr>
              <w:fldChar w:fldCharType="end"/>
            </w:r>
          </w:hyperlink>
        </w:p>
        <w:p w14:paraId="5E2AC126" w14:textId="20B29F1C" w:rsidR="00AC309B" w:rsidRDefault="00E311EC">
          <w:pPr>
            <w:pStyle w:val="TOC3"/>
            <w:tabs>
              <w:tab w:val="left" w:pos="1100"/>
              <w:tab w:val="right" w:leader="dot" w:pos="9678"/>
            </w:tabs>
            <w:rPr>
              <w:rFonts w:eastAsiaTheme="minorEastAsia"/>
              <w:noProof/>
              <w:lang w:eastAsia="en-AU"/>
            </w:rPr>
          </w:pPr>
          <w:hyperlink w:anchor="_Toc83365358" w:history="1">
            <w:r w:rsidR="00AC309B" w:rsidRPr="007F2B52">
              <w:rPr>
                <w:rStyle w:val="Hyperlink"/>
                <w:noProof/>
              </w:rPr>
              <w:t>2.8</w:t>
            </w:r>
            <w:r w:rsidR="00AC309B">
              <w:rPr>
                <w:rFonts w:eastAsiaTheme="minorEastAsia"/>
                <w:noProof/>
                <w:lang w:eastAsia="en-AU"/>
              </w:rPr>
              <w:tab/>
            </w:r>
            <w:r w:rsidR="00AC309B" w:rsidRPr="007F2B52">
              <w:rPr>
                <w:rStyle w:val="Hyperlink"/>
                <w:noProof/>
              </w:rPr>
              <w:t>Audits</w:t>
            </w:r>
            <w:r w:rsidR="00AC309B">
              <w:rPr>
                <w:noProof/>
                <w:webHidden/>
              </w:rPr>
              <w:tab/>
            </w:r>
            <w:r w:rsidR="00AC309B">
              <w:rPr>
                <w:noProof/>
                <w:webHidden/>
              </w:rPr>
              <w:fldChar w:fldCharType="begin"/>
            </w:r>
            <w:r w:rsidR="00AC309B">
              <w:rPr>
                <w:noProof/>
                <w:webHidden/>
              </w:rPr>
              <w:instrText xml:space="preserve"> PAGEREF _Toc83365358 \h </w:instrText>
            </w:r>
            <w:r w:rsidR="00AC309B">
              <w:rPr>
                <w:noProof/>
                <w:webHidden/>
              </w:rPr>
            </w:r>
            <w:r w:rsidR="00AC309B">
              <w:rPr>
                <w:noProof/>
                <w:webHidden/>
              </w:rPr>
              <w:fldChar w:fldCharType="separate"/>
            </w:r>
            <w:r w:rsidR="002D4C9B">
              <w:rPr>
                <w:noProof/>
                <w:webHidden/>
              </w:rPr>
              <w:t>12</w:t>
            </w:r>
            <w:r w:rsidR="00AC309B">
              <w:rPr>
                <w:noProof/>
                <w:webHidden/>
              </w:rPr>
              <w:fldChar w:fldCharType="end"/>
            </w:r>
          </w:hyperlink>
        </w:p>
        <w:p w14:paraId="2940B30F" w14:textId="21D9D818" w:rsidR="00AC309B" w:rsidRDefault="00E311EC">
          <w:pPr>
            <w:pStyle w:val="TOC3"/>
            <w:tabs>
              <w:tab w:val="left" w:pos="1100"/>
              <w:tab w:val="right" w:leader="dot" w:pos="9678"/>
            </w:tabs>
            <w:rPr>
              <w:rFonts w:eastAsiaTheme="minorEastAsia"/>
              <w:noProof/>
              <w:lang w:eastAsia="en-AU"/>
            </w:rPr>
          </w:pPr>
          <w:hyperlink w:anchor="_Toc83365359" w:history="1">
            <w:r w:rsidR="00AC309B" w:rsidRPr="007F2B52">
              <w:rPr>
                <w:rStyle w:val="Hyperlink"/>
                <w:noProof/>
              </w:rPr>
              <w:t>2.9</w:t>
            </w:r>
            <w:r w:rsidR="00AC309B">
              <w:rPr>
                <w:rFonts w:eastAsiaTheme="minorEastAsia"/>
                <w:noProof/>
                <w:lang w:eastAsia="en-AU"/>
              </w:rPr>
              <w:tab/>
            </w:r>
            <w:r w:rsidR="00AC309B" w:rsidRPr="007F2B52">
              <w:rPr>
                <w:rStyle w:val="Hyperlink"/>
                <w:noProof/>
              </w:rPr>
              <w:t>Obtaining EUVDs</w:t>
            </w:r>
            <w:r w:rsidR="00AC309B">
              <w:rPr>
                <w:noProof/>
                <w:webHidden/>
              </w:rPr>
              <w:tab/>
            </w:r>
            <w:r w:rsidR="00AC309B">
              <w:rPr>
                <w:noProof/>
                <w:webHidden/>
              </w:rPr>
              <w:fldChar w:fldCharType="begin"/>
            </w:r>
            <w:r w:rsidR="00AC309B">
              <w:rPr>
                <w:noProof/>
                <w:webHidden/>
              </w:rPr>
              <w:instrText xml:space="preserve"> PAGEREF _Toc83365359 \h </w:instrText>
            </w:r>
            <w:r w:rsidR="00AC309B">
              <w:rPr>
                <w:noProof/>
                <w:webHidden/>
              </w:rPr>
            </w:r>
            <w:r w:rsidR="00AC309B">
              <w:rPr>
                <w:noProof/>
                <w:webHidden/>
              </w:rPr>
              <w:fldChar w:fldCharType="separate"/>
            </w:r>
            <w:r w:rsidR="002D4C9B">
              <w:rPr>
                <w:noProof/>
                <w:webHidden/>
              </w:rPr>
              <w:t>12</w:t>
            </w:r>
            <w:r w:rsidR="00AC309B">
              <w:rPr>
                <w:noProof/>
                <w:webHidden/>
              </w:rPr>
              <w:fldChar w:fldCharType="end"/>
            </w:r>
          </w:hyperlink>
        </w:p>
        <w:p w14:paraId="7228C43B" w14:textId="5AFC0594" w:rsidR="00AC309B" w:rsidRDefault="00AC309B">
          <w:r>
            <w:rPr>
              <w:b/>
              <w:bCs/>
              <w:noProof/>
            </w:rPr>
            <w:fldChar w:fldCharType="end"/>
          </w:r>
        </w:p>
      </w:sdtContent>
    </w:sdt>
    <w:p w14:paraId="04207C80" w14:textId="77777777" w:rsidR="004D1FE0" w:rsidRDefault="004D1FE0">
      <w:pPr>
        <w:spacing w:line="360" w:lineRule="auto"/>
        <w:rPr>
          <w:rFonts w:cstheme="minorHAnsi"/>
          <w:szCs w:val="24"/>
        </w:rPr>
      </w:pPr>
    </w:p>
    <w:p w14:paraId="25575306" w14:textId="468F579A" w:rsidR="0021462B" w:rsidRPr="0039574A" w:rsidRDefault="0048056F" w:rsidP="000D2441">
      <w:r w:rsidRPr="00BF2D8A">
        <w:rPr>
          <w:rFonts w:cstheme="minorHAnsi"/>
        </w:rPr>
        <w:t>Please visit the EUCAS website (</w:t>
      </w:r>
      <w:hyperlink r:id="rId9" w:history="1">
        <w:r w:rsidR="00EF7285" w:rsidRPr="00A7776F">
          <w:rPr>
            <w:rStyle w:val="Hyperlink"/>
            <w:rFonts w:cstheme="minorHAnsi"/>
            <w:szCs w:val="24"/>
          </w:rPr>
          <w:t>agriculture.gov.au/export/controlled-goods/meat/elmer-3/</w:t>
        </w:r>
        <w:proofErr w:type="spellStart"/>
        <w:r w:rsidR="00EF7285" w:rsidRPr="00A7776F">
          <w:rPr>
            <w:rStyle w:val="Hyperlink"/>
            <w:rFonts w:cstheme="minorHAnsi"/>
            <w:szCs w:val="24"/>
          </w:rPr>
          <w:t>eucas</w:t>
        </w:r>
        <w:proofErr w:type="spellEnd"/>
      </w:hyperlink>
      <w:r w:rsidRPr="00BF2D8A">
        <w:rPr>
          <w:rFonts w:cstheme="minorHAnsi"/>
        </w:rPr>
        <w:t>)</w:t>
      </w:r>
      <w:r w:rsidR="00AF6169">
        <w:t xml:space="preserve"> </w:t>
      </w:r>
      <w:r w:rsidRPr="0039574A">
        <w:t>for up-to-date information and application forms for all EUCAS activities.</w:t>
      </w:r>
    </w:p>
    <w:p w14:paraId="483624A8" w14:textId="77777777" w:rsidR="00361AFF" w:rsidRDefault="00361AFF">
      <w:pPr>
        <w:rPr>
          <w:rFonts w:ascii="Calibri" w:hAnsi="Calibri" w:cs="Arial"/>
          <w:b/>
          <w:bCs/>
          <w:iCs/>
          <w:szCs w:val="28"/>
        </w:rPr>
      </w:pPr>
      <w:bookmarkStart w:id="5" w:name="_Toc50728298"/>
      <w:bookmarkStart w:id="6" w:name="_Toc44380822"/>
      <w:r>
        <w:br w:type="page"/>
      </w:r>
    </w:p>
    <w:p w14:paraId="2218E406" w14:textId="1484888C" w:rsidR="0021462B" w:rsidRDefault="0048056F" w:rsidP="00A7776F">
      <w:pPr>
        <w:pStyle w:val="Heading2"/>
        <w:ind w:left="-284"/>
      </w:pPr>
      <w:bookmarkStart w:id="7" w:name="_Toc83365348"/>
      <w:r w:rsidRPr="0039574A">
        <w:lastRenderedPageBreak/>
        <w:t>ACRONYMS AND DEFINITIONS</w:t>
      </w:r>
      <w:bookmarkEnd w:id="5"/>
      <w:bookmarkEnd w:id="7"/>
    </w:p>
    <w:p w14:paraId="2FF081AA" w14:textId="77777777" w:rsidR="0021462B" w:rsidRPr="0039574A" w:rsidRDefault="0021462B"/>
    <w:tbl>
      <w:tblPr>
        <w:tblW w:w="10408" w:type="dxa"/>
        <w:jc w:val="center"/>
        <w:tblLook w:val="01E0" w:firstRow="1" w:lastRow="1" w:firstColumn="1" w:lastColumn="1" w:noHBand="0" w:noVBand="0"/>
      </w:tblPr>
      <w:tblGrid>
        <w:gridCol w:w="2607"/>
        <w:gridCol w:w="7801"/>
      </w:tblGrid>
      <w:tr w:rsidR="0039574A" w:rsidRPr="0039574A" w14:paraId="4D9A4605" w14:textId="77777777" w:rsidTr="00205B3F">
        <w:trPr>
          <w:jc w:val="center"/>
        </w:trPr>
        <w:tc>
          <w:tcPr>
            <w:tcW w:w="2607" w:type="dxa"/>
          </w:tcPr>
          <w:p w14:paraId="38AB152D" w14:textId="77777777" w:rsidR="0039574A" w:rsidRPr="00AC309B" w:rsidRDefault="00D4634A" w:rsidP="00AC309B">
            <w:pPr>
              <w:overflowPunct w:val="0"/>
              <w:autoSpaceDE w:val="0"/>
              <w:autoSpaceDN w:val="0"/>
              <w:adjustRightInd w:val="0"/>
              <w:spacing w:after="120"/>
              <w:textAlignment w:val="baseline"/>
              <w:rPr>
                <w:b/>
                <w:szCs w:val="24"/>
              </w:rPr>
            </w:pPr>
            <w:bookmarkStart w:id="8" w:name="_Toc50728299"/>
            <w:r w:rsidRPr="00AC309B">
              <w:rPr>
                <w:b/>
                <w:szCs w:val="24"/>
              </w:rPr>
              <w:t>Term or Acronym</w:t>
            </w:r>
            <w:bookmarkEnd w:id="8"/>
          </w:p>
        </w:tc>
        <w:tc>
          <w:tcPr>
            <w:tcW w:w="7801" w:type="dxa"/>
          </w:tcPr>
          <w:p w14:paraId="16581E97" w14:textId="77777777" w:rsidR="0039574A" w:rsidRPr="00AC309B" w:rsidRDefault="00D4634A" w:rsidP="00AC309B">
            <w:pPr>
              <w:overflowPunct w:val="0"/>
              <w:autoSpaceDE w:val="0"/>
              <w:autoSpaceDN w:val="0"/>
              <w:adjustRightInd w:val="0"/>
              <w:spacing w:after="120"/>
              <w:textAlignment w:val="baseline"/>
              <w:rPr>
                <w:b/>
                <w:szCs w:val="24"/>
              </w:rPr>
            </w:pPr>
            <w:bookmarkStart w:id="9" w:name="_Toc50728300"/>
            <w:r w:rsidRPr="00AC309B">
              <w:rPr>
                <w:b/>
                <w:szCs w:val="24"/>
              </w:rPr>
              <w:t>Definition</w:t>
            </w:r>
            <w:bookmarkEnd w:id="9"/>
          </w:p>
        </w:tc>
      </w:tr>
      <w:tr w:rsidR="0021462B" w:rsidRPr="0039574A" w14:paraId="6A52A6E4" w14:textId="77777777" w:rsidTr="00205B3F">
        <w:trPr>
          <w:jc w:val="center"/>
        </w:trPr>
        <w:tc>
          <w:tcPr>
            <w:tcW w:w="2607" w:type="dxa"/>
          </w:tcPr>
          <w:p w14:paraId="327D0C61" w14:textId="0908699F" w:rsidR="0021462B" w:rsidRPr="0039574A" w:rsidRDefault="0048056F">
            <w:pPr>
              <w:overflowPunct w:val="0"/>
              <w:autoSpaceDE w:val="0"/>
              <w:autoSpaceDN w:val="0"/>
              <w:adjustRightInd w:val="0"/>
              <w:spacing w:after="120"/>
              <w:textAlignment w:val="baseline"/>
              <w:rPr>
                <w:b/>
                <w:sz w:val="20"/>
              </w:rPr>
            </w:pPr>
            <w:r w:rsidRPr="0039574A">
              <w:rPr>
                <w:b/>
                <w:sz w:val="20"/>
              </w:rPr>
              <w:t>Accredited farm</w:t>
            </w:r>
          </w:p>
        </w:tc>
        <w:tc>
          <w:tcPr>
            <w:tcW w:w="7801" w:type="dxa"/>
          </w:tcPr>
          <w:p w14:paraId="0250A18F" w14:textId="3EB5D364" w:rsidR="0021462B" w:rsidRPr="0039574A" w:rsidRDefault="0048056F">
            <w:pPr>
              <w:overflowPunct w:val="0"/>
              <w:autoSpaceDE w:val="0"/>
              <w:autoSpaceDN w:val="0"/>
              <w:adjustRightInd w:val="0"/>
              <w:spacing w:after="120"/>
              <w:textAlignment w:val="baseline"/>
              <w:rPr>
                <w:b/>
                <w:sz w:val="20"/>
              </w:rPr>
            </w:pPr>
            <w:r w:rsidRPr="0039574A">
              <w:rPr>
                <w:sz w:val="20"/>
              </w:rPr>
              <w:t xml:space="preserve">A </w:t>
            </w:r>
            <w:r w:rsidR="00EF7285">
              <w:rPr>
                <w:sz w:val="20"/>
              </w:rPr>
              <w:t xml:space="preserve">cattle </w:t>
            </w:r>
            <w:r w:rsidRPr="0039574A">
              <w:rPr>
                <w:sz w:val="20"/>
              </w:rPr>
              <w:t xml:space="preserve">farm </w:t>
            </w:r>
            <w:r w:rsidR="0029299F" w:rsidRPr="0039574A">
              <w:rPr>
                <w:sz w:val="20"/>
              </w:rPr>
              <w:t xml:space="preserve">which has been accredited under </w:t>
            </w:r>
            <w:r w:rsidR="0029299F">
              <w:rPr>
                <w:sz w:val="20"/>
              </w:rPr>
              <w:t>the Export Control Act and relevant subordinate legislation</w:t>
            </w:r>
            <w:r w:rsidR="00BF2D8A">
              <w:rPr>
                <w:sz w:val="20"/>
              </w:rPr>
              <w:t>.</w:t>
            </w:r>
          </w:p>
        </w:tc>
      </w:tr>
      <w:tr w:rsidR="0021462B" w:rsidRPr="0039574A" w14:paraId="1D885B04" w14:textId="77777777" w:rsidTr="00205B3F">
        <w:trPr>
          <w:jc w:val="center"/>
        </w:trPr>
        <w:tc>
          <w:tcPr>
            <w:tcW w:w="2607" w:type="dxa"/>
          </w:tcPr>
          <w:p w14:paraId="7FD95EA8"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Accredited feedlot</w:t>
            </w:r>
          </w:p>
        </w:tc>
        <w:tc>
          <w:tcPr>
            <w:tcW w:w="7801" w:type="dxa"/>
          </w:tcPr>
          <w:p w14:paraId="51113E1A" w14:textId="607B7AFE" w:rsidR="0021462B" w:rsidRPr="0039574A" w:rsidRDefault="0048056F">
            <w:pPr>
              <w:overflowPunct w:val="0"/>
              <w:autoSpaceDE w:val="0"/>
              <w:autoSpaceDN w:val="0"/>
              <w:adjustRightInd w:val="0"/>
              <w:spacing w:after="120"/>
              <w:textAlignment w:val="baseline"/>
              <w:rPr>
                <w:b/>
                <w:sz w:val="20"/>
              </w:rPr>
            </w:pPr>
            <w:r w:rsidRPr="0039574A">
              <w:rPr>
                <w:sz w:val="20"/>
              </w:rPr>
              <w:t xml:space="preserve">An accredited feedlot that has been accredited under </w:t>
            </w:r>
            <w:r w:rsidR="00F21274">
              <w:rPr>
                <w:sz w:val="20"/>
              </w:rPr>
              <w:t>the Export Control Act and relevant subordinate legislation</w:t>
            </w:r>
            <w:r w:rsidR="00BF2D8A">
              <w:rPr>
                <w:sz w:val="20"/>
              </w:rPr>
              <w:t xml:space="preserve"> </w:t>
            </w:r>
            <w:r w:rsidR="00BF2D8A">
              <w:rPr>
                <w:rFonts w:cstheme="minorHAnsi"/>
                <w:sz w:val="20"/>
              </w:rPr>
              <w:t>and that maintains segregation of EUCAS cattle from non-EUCAS cattle</w:t>
            </w:r>
            <w:r w:rsidR="00BF2D8A" w:rsidRPr="009F70C0">
              <w:rPr>
                <w:rFonts w:cstheme="minorHAnsi"/>
                <w:sz w:val="20"/>
              </w:rPr>
              <w:t>.</w:t>
            </w:r>
          </w:p>
        </w:tc>
      </w:tr>
      <w:tr w:rsidR="0021462B" w:rsidRPr="0039574A" w14:paraId="239578D5" w14:textId="77777777" w:rsidTr="00205B3F">
        <w:trPr>
          <w:jc w:val="center"/>
        </w:trPr>
        <w:tc>
          <w:tcPr>
            <w:tcW w:w="2607" w:type="dxa"/>
          </w:tcPr>
          <w:p w14:paraId="13186DB1"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Accredited property</w:t>
            </w:r>
          </w:p>
        </w:tc>
        <w:tc>
          <w:tcPr>
            <w:tcW w:w="7801" w:type="dxa"/>
          </w:tcPr>
          <w:p w14:paraId="2B34CC7C" w14:textId="1FA629FC" w:rsidR="0021462B" w:rsidRPr="0039574A" w:rsidRDefault="0048056F">
            <w:pPr>
              <w:overflowPunct w:val="0"/>
              <w:autoSpaceDE w:val="0"/>
              <w:autoSpaceDN w:val="0"/>
              <w:adjustRightInd w:val="0"/>
              <w:spacing w:after="120"/>
              <w:textAlignment w:val="baseline"/>
              <w:rPr>
                <w:b/>
                <w:sz w:val="20"/>
              </w:rPr>
            </w:pPr>
            <w:r w:rsidRPr="0039574A">
              <w:rPr>
                <w:sz w:val="20"/>
              </w:rPr>
              <w:t xml:space="preserve">Either an accredited farm, accredited </w:t>
            </w:r>
            <w:proofErr w:type="gramStart"/>
            <w:r w:rsidRPr="0039574A">
              <w:rPr>
                <w:sz w:val="20"/>
              </w:rPr>
              <w:t>feedlot</w:t>
            </w:r>
            <w:proofErr w:type="gramEnd"/>
            <w:r w:rsidRPr="0039574A">
              <w:rPr>
                <w:sz w:val="20"/>
              </w:rPr>
              <w:t xml:space="preserve"> or accredited saleyard</w:t>
            </w:r>
            <w:r w:rsidR="00966A33">
              <w:rPr>
                <w:sz w:val="20"/>
              </w:rPr>
              <w:t>.</w:t>
            </w:r>
          </w:p>
        </w:tc>
      </w:tr>
      <w:tr w:rsidR="0021462B" w:rsidRPr="0039574A" w14:paraId="5EDBC92A" w14:textId="77777777" w:rsidTr="00205B3F">
        <w:trPr>
          <w:jc w:val="center"/>
        </w:trPr>
        <w:tc>
          <w:tcPr>
            <w:tcW w:w="2607" w:type="dxa"/>
          </w:tcPr>
          <w:p w14:paraId="3849374E"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Accredited saleyard</w:t>
            </w:r>
          </w:p>
        </w:tc>
        <w:tc>
          <w:tcPr>
            <w:tcW w:w="7801" w:type="dxa"/>
          </w:tcPr>
          <w:p w14:paraId="6BDB8074" w14:textId="7C2A500A" w:rsidR="0021462B" w:rsidRPr="0039574A" w:rsidRDefault="0048056F">
            <w:pPr>
              <w:overflowPunct w:val="0"/>
              <w:autoSpaceDE w:val="0"/>
              <w:autoSpaceDN w:val="0"/>
              <w:adjustRightInd w:val="0"/>
              <w:spacing w:after="120"/>
              <w:textAlignment w:val="baseline"/>
              <w:rPr>
                <w:b/>
                <w:sz w:val="20"/>
              </w:rPr>
            </w:pPr>
            <w:r w:rsidRPr="0039574A">
              <w:rPr>
                <w:sz w:val="20"/>
              </w:rPr>
              <w:t xml:space="preserve">A saleyard that has been accredited </w:t>
            </w:r>
            <w:r w:rsidR="0029299F">
              <w:rPr>
                <w:sz w:val="20"/>
              </w:rPr>
              <w:t xml:space="preserve">to sell EUCAS cattle </w:t>
            </w:r>
            <w:r w:rsidRPr="0039574A">
              <w:rPr>
                <w:sz w:val="20"/>
              </w:rPr>
              <w:t xml:space="preserve">under </w:t>
            </w:r>
            <w:r w:rsidR="00F21274">
              <w:rPr>
                <w:sz w:val="20"/>
              </w:rPr>
              <w:t>the Export Control Act and relevant subordinate legislation</w:t>
            </w:r>
            <w:r w:rsidR="00BF2D8A">
              <w:rPr>
                <w:sz w:val="20"/>
              </w:rPr>
              <w:t xml:space="preserve"> </w:t>
            </w:r>
            <w:r w:rsidR="00BF2D8A">
              <w:rPr>
                <w:rFonts w:cstheme="minorHAnsi"/>
                <w:sz w:val="20"/>
              </w:rPr>
              <w:t>and that maintains segregation of EUCAS cattle from non-EUCAS cattle</w:t>
            </w:r>
            <w:r w:rsidR="00BF2D8A" w:rsidRPr="009F70C0">
              <w:rPr>
                <w:rFonts w:cstheme="minorHAnsi"/>
                <w:sz w:val="20"/>
              </w:rPr>
              <w:t>.</w:t>
            </w:r>
          </w:p>
        </w:tc>
      </w:tr>
      <w:tr w:rsidR="0021462B" w:rsidRPr="0039574A" w14:paraId="41F28D15" w14:textId="77777777" w:rsidTr="00205B3F">
        <w:trPr>
          <w:jc w:val="center"/>
        </w:trPr>
        <w:tc>
          <w:tcPr>
            <w:tcW w:w="2607" w:type="dxa"/>
          </w:tcPr>
          <w:p w14:paraId="30C1472C"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Androgenic</w:t>
            </w:r>
          </w:p>
        </w:tc>
        <w:tc>
          <w:tcPr>
            <w:tcW w:w="7801" w:type="dxa"/>
          </w:tcPr>
          <w:p w14:paraId="01D42094" w14:textId="77777777" w:rsidR="0021462B" w:rsidRPr="0039574A" w:rsidRDefault="0048056F">
            <w:pPr>
              <w:overflowPunct w:val="0"/>
              <w:autoSpaceDE w:val="0"/>
              <w:autoSpaceDN w:val="0"/>
              <w:adjustRightInd w:val="0"/>
              <w:spacing w:after="120"/>
              <w:textAlignment w:val="baseline"/>
              <w:rPr>
                <w:b/>
                <w:sz w:val="20"/>
              </w:rPr>
            </w:pPr>
            <w:r w:rsidRPr="0039574A">
              <w:rPr>
                <w:sz w:val="20"/>
                <w:lang w:eastAsia="en-AU"/>
              </w:rPr>
              <w:t>Steroid hormones that control the growth and functioning of the male sex organs and the appearance of male secondary sexual characteristics, which may be natural or synthetic.</w:t>
            </w:r>
          </w:p>
        </w:tc>
      </w:tr>
      <w:tr w:rsidR="0021462B" w:rsidRPr="0039574A" w14:paraId="0F882A26" w14:textId="77777777" w:rsidTr="00205B3F">
        <w:trPr>
          <w:jc w:val="center"/>
        </w:trPr>
        <w:tc>
          <w:tcPr>
            <w:tcW w:w="2607" w:type="dxa"/>
          </w:tcPr>
          <w:p w14:paraId="111B24C4"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APVMA</w:t>
            </w:r>
          </w:p>
        </w:tc>
        <w:tc>
          <w:tcPr>
            <w:tcW w:w="7801" w:type="dxa"/>
          </w:tcPr>
          <w:p w14:paraId="595E3E48" w14:textId="7E4D93CE" w:rsidR="0021462B" w:rsidRPr="0039574A" w:rsidRDefault="0048056F">
            <w:pPr>
              <w:overflowPunct w:val="0"/>
              <w:autoSpaceDE w:val="0"/>
              <w:autoSpaceDN w:val="0"/>
              <w:adjustRightInd w:val="0"/>
              <w:spacing w:after="120"/>
              <w:textAlignment w:val="baseline"/>
              <w:rPr>
                <w:b/>
                <w:sz w:val="20"/>
              </w:rPr>
            </w:pPr>
            <w:r w:rsidRPr="0039574A">
              <w:rPr>
                <w:sz w:val="20"/>
              </w:rPr>
              <w:t>Australian Pesticides and Veterinary Medicines Authority</w:t>
            </w:r>
            <w:r w:rsidR="00966A33">
              <w:rPr>
                <w:sz w:val="20"/>
              </w:rPr>
              <w:t>.</w:t>
            </w:r>
          </w:p>
        </w:tc>
      </w:tr>
      <w:tr w:rsidR="0021462B" w:rsidRPr="0039574A" w14:paraId="1C6AE610" w14:textId="77777777" w:rsidTr="00205B3F">
        <w:trPr>
          <w:jc w:val="center"/>
        </w:trPr>
        <w:tc>
          <w:tcPr>
            <w:tcW w:w="2607" w:type="dxa"/>
          </w:tcPr>
          <w:p w14:paraId="75C5AD0C" w14:textId="09119D4B" w:rsidR="0021462B" w:rsidRPr="0039574A" w:rsidRDefault="0048056F">
            <w:pPr>
              <w:overflowPunct w:val="0"/>
              <w:autoSpaceDE w:val="0"/>
              <w:autoSpaceDN w:val="0"/>
              <w:adjustRightInd w:val="0"/>
              <w:spacing w:after="120"/>
              <w:textAlignment w:val="baseline"/>
              <w:rPr>
                <w:b/>
                <w:sz w:val="20"/>
              </w:rPr>
            </w:pPr>
            <w:r w:rsidRPr="0039574A">
              <w:rPr>
                <w:b/>
                <w:sz w:val="20"/>
              </w:rPr>
              <w:t>AUS-MEAT</w:t>
            </w:r>
            <w:r w:rsidR="0029299F">
              <w:rPr>
                <w:b/>
                <w:sz w:val="20"/>
              </w:rPr>
              <w:t xml:space="preserve"> Limited</w:t>
            </w:r>
          </w:p>
        </w:tc>
        <w:tc>
          <w:tcPr>
            <w:tcW w:w="7801" w:type="dxa"/>
          </w:tcPr>
          <w:p w14:paraId="3B8C9CDF" w14:textId="74753233" w:rsidR="0021462B" w:rsidRPr="00577FA9" w:rsidRDefault="0048056F" w:rsidP="00577FA9">
            <w:pPr>
              <w:rPr>
                <w:sz w:val="20"/>
              </w:rPr>
            </w:pPr>
            <w:r w:rsidRPr="00577FA9">
              <w:rPr>
                <w:sz w:val="20"/>
              </w:rPr>
              <w:t>An Australian meat and livestock industry body responsible for developing and implementing industry standards</w:t>
            </w:r>
            <w:r w:rsidR="00966A33" w:rsidRPr="00577FA9">
              <w:rPr>
                <w:sz w:val="20"/>
              </w:rPr>
              <w:t>.</w:t>
            </w:r>
          </w:p>
        </w:tc>
      </w:tr>
      <w:tr w:rsidR="0021462B" w:rsidRPr="0039574A" w14:paraId="68925AA9" w14:textId="77777777" w:rsidTr="00205B3F">
        <w:trPr>
          <w:jc w:val="center"/>
        </w:trPr>
        <w:tc>
          <w:tcPr>
            <w:tcW w:w="2607" w:type="dxa"/>
          </w:tcPr>
          <w:p w14:paraId="4D37F05C"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Eligible destination</w:t>
            </w:r>
          </w:p>
        </w:tc>
        <w:tc>
          <w:tcPr>
            <w:tcW w:w="7801" w:type="dxa"/>
          </w:tcPr>
          <w:p w14:paraId="760CEAA3" w14:textId="012C2F90" w:rsidR="0021462B" w:rsidRPr="00577FA9" w:rsidRDefault="0048056F" w:rsidP="00577FA9">
            <w:pPr>
              <w:rPr>
                <w:sz w:val="20"/>
              </w:rPr>
            </w:pPr>
            <w:r w:rsidRPr="00577FA9">
              <w:rPr>
                <w:sz w:val="20"/>
              </w:rPr>
              <w:t xml:space="preserve">Eligible destinations include EUCAS accredited farms; EUCAS accredited feedlots; EUCAS accredited saleyard and EU listed abattoirs.  </w:t>
            </w:r>
          </w:p>
        </w:tc>
      </w:tr>
      <w:tr w:rsidR="0021462B" w:rsidRPr="0039574A" w14:paraId="6C400C4D" w14:textId="77777777" w:rsidTr="00205B3F">
        <w:trPr>
          <w:jc w:val="center"/>
        </w:trPr>
        <w:tc>
          <w:tcPr>
            <w:tcW w:w="2607" w:type="dxa"/>
          </w:tcPr>
          <w:p w14:paraId="3F3B7B6B" w14:textId="77777777" w:rsidR="0021462B" w:rsidRDefault="0048056F">
            <w:pPr>
              <w:overflowPunct w:val="0"/>
              <w:autoSpaceDE w:val="0"/>
              <w:autoSpaceDN w:val="0"/>
              <w:adjustRightInd w:val="0"/>
              <w:spacing w:after="120"/>
              <w:textAlignment w:val="baseline"/>
              <w:rPr>
                <w:b/>
                <w:sz w:val="20"/>
              </w:rPr>
            </w:pPr>
            <w:r w:rsidRPr="0039574A">
              <w:rPr>
                <w:b/>
                <w:sz w:val="20"/>
              </w:rPr>
              <w:t>EU</w:t>
            </w:r>
          </w:p>
          <w:p w14:paraId="51ACF184" w14:textId="393CAE73" w:rsidR="00BF2D8A" w:rsidRPr="000D2441" w:rsidRDefault="00BF2D8A" w:rsidP="000D2441">
            <w:pPr>
              <w:spacing w:after="120"/>
              <w:rPr>
                <w:b/>
                <w:bCs/>
                <w:sz w:val="20"/>
              </w:rPr>
            </w:pPr>
            <w:r w:rsidRPr="000D2441">
              <w:rPr>
                <w:b/>
                <w:bCs/>
                <w:sz w:val="20"/>
              </w:rPr>
              <w:t>EUCAS</w:t>
            </w:r>
          </w:p>
        </w:tc>
        <w:tc>
          <w:tcPr>
            <w:tcW w:w="7801" w:type="dxa"/>
          </w:tcPr>
          <w:p w14:paraId="4DBA6E77" w14:textId="5B089CD3" w:rsidR="0021462B" w:rsidRPr="00577FA9" w:rsidRDefault="0048056F" w:rsidP="00577FA9">
            <w:pPr>
              <w:rPr>
                <w:sz w:val="20"/>
              </w:rPr>
            </w:pPr>
            <w:r w:rsidRPr="00577FA9">
              <w:rPr>
                <w:sz w:val="20"/>
              </w:rPr>
              <w:t>European Union</w:t>
            </w:r>
            <w:r w:rsidR="00966A33" w:rsidRPr="00577FA9">
              <w:rPr>
                <w:sz w:val="20"/>
              </w:rPr>
              <w:t>.</w:t>
            </w:r>
          </w:p>
          <w:p w14:paraId="72BA32E9" w14:textId="4297F7C2" w:rsidR="00BF2D8A" w:rsidRPr="00577FA9" w:rsidRDefault="00BF2D8A" w:rsidP="00577FA9">
            <w:pPr>
              <w:rPr>
                <w:sz w:val="20"/>
              </w:rPr>
            </w:pPr>
            <w:r w:rsidRPr="00577FA9">
              <w:rPr>
                <w:sz w:val="20"/>
              </w:rPr>
              <w:t>European Union Cattle Accreditation Scheme</w:t>
            </w:r>
            <w:r w:rsidR="00966A33" w:rsidRPr="00577FA9">
              <w:rPr>
                <w:sz w:val="20"/>
              </w:rPr>
              <w:t>.</w:t>
            </w:r>
          </w:p>
        </w:tc>
      </w:tr>
      <w:tr w:rsidR="00155E40" w:rsidRPr="0039574A" w14:paraId="54DFBE8F" w14:textId="77777777" w:rsidTr="00205B3F">
        <w:trPr>
          <w:trHeight w:val="418"/>
          <w:jc w:val="center"/>
        </w:trPr>
        <w:tc>
          <w:tcPr>
            <w:tcW w:w="2607" w:type="dxa"/>
          </w:tcPr>
          <w:p w14:paraId="7024E952" w14:textId="249B0388" w:rsidR="00155E40" w:rsidRPr="00155E40" w:rsidRDefault="00155E40" w:rsidP="00155E40">
            <w:pPr>
              <w:overflowPunct w:val="0"/>
              <w:autoSpaceDE w:val="0"/>
              <w:autoSpaceDN w:val="0"/>
              <w:adjustRightInd w:val="0"/>
              <w:spacing w:after="120"/>
              <w:textAlignment w:val="baseline"/>
              <w:rPr>
                <w:b/>
                <w:sz w:val="20"/>
              </w:rPr>
            </w:pPr>
            <w:r w:rsidRPr="0039574A">
              <w:rPr>
                <w:b/>
                <w:sz w:val="20"/>
              </w:rPr>
              <w:t>EUCAS cattle</w:t>
            </w:r>
          </w:p>
        </w:tc>
        <w:tc>
          <w:tcPr>
            <w:tcW w:w="7801" w:type="dxa"/>
          </w:tcPr>
          <w:p w14:paraId="5317D8A9" w14:textId="7E23E4E3" w:rsidR="00155E40" w:rsidRPr="00577FA9" w:rsidRDefault="00155E40" w:rsidP="00577FA9">
            <w:pPr>
              <w:rPr>
                <w:sz w:val="20"/>
              </w:rPr>
            </w:pPr>
            <w:r w:rsidRPr="00577FA9">
              <w:rPr>
                <w:sz w:val="20"/>
              </w:rPr>
              <w:t>Cattle that meet all the eligibility criteria of EUCAS and that an EU listed abattoir may slaughter to export beef and beef products to the EU market.</w:t>
            </w:r>
          </w:p>
        </w:tc>
      </w:tr>
      <w:tr w:rsidR="00155E40" w:rsidRPr="0039574A" w14:paraId="6E17FFAE" w14:textId="77777777" w:rsidTr="00205B3F">
        <w:trPr>
          <w:trHeight w:val="418"/>
          <w:jc w:val="center"/>
        </w:trPr>
        <w:tc>
          <w:tcPr>
            <w:tcW w:w="2607" w:type="dxa"/>
          </w:tcPr>
          <w:p w14:paraId="14684BE4" w14:textId="11D93CF0" w:rsidR="00155E40" w:rsidRPr="0039574A" w:rsidRDefault="00155E40">
            <w:pPr>
              <w:overflowPunct w:val="0"/>
              <w:autoSpaceDE w:val="0"/>
              <w:autoSpaceDN w:val="0"/>
              <w:adjustRightInd w:val="0"/>
              <w:spacing w:after="120"/>
              <w:textAlignment w:val="baseline"/>
              <w:rPr>
                <w:b/>
                <w:sz w:val="20"/>
              </w:rPr>
            </w:pPr>
            <w:r w:rsidRPr="000D2441">
              <w:rPr>
                <w:b/>
                <w:bCs/>
                <w:sz w:val="20"/>
              </w:rPr>
              <w:t>EU listed abattoir</w:t>
            </w:r>
          </w:p>
        </w:tc>
        <w:tc>
          <w:tcPr>
            <w:tcW w:w="7801" w:type="dxa"/>
          </w:tcPr>
          <w:p w14:paraId="00343669" w14:textId="6EE26404" w:rsidR="00155E40" w:rsidRPr="00577FA9" w:rsidRDefault="00155E40" w:rsidP="00577FA9">
            <w:pPr>
              <w:rPr>
                <w:sz w:val="20"/>
              </w:rPr>
            </w:pPr>
            <w:r w:rsidRPr="00577FA9">
              <w:rPr>
                <w:sz w:val="20"/>
              </w:rPr>
              <w:t>A registered export establishment approved to slaughter EU cattle.</w:t>
            </w:r>
          </w:p>
        </w:tc>
      </w:tr>
      <w:tr w:rsidR="0021462B" w:rsidRPr="0039574A" w14:paraId="12D83A4F" w14:textId="77777777" w:rsidTr="00205B3F">
        <w:trPr>
          <w:jc w:val="center"/>
        </w:trPr>
        <w:tc>
          <w:tcPr>
            <w:tcW w:w="2607" w:type="dxa"/>
          </w:tcPr>
          <w:p w14:paraId="269E54C2"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EUVD</w:t>
            </w:r>
          </w:p>
        </w:tc>
        <w:tc>
          <w:tcPr>
            <w:tcW w:w="7801" w:type="dxa"/>
          </w:tcPr>
          <w:p w14:paraId="23266408" w14:textId="05AF26C0" w:rsidR="0021462B" w:rsidRPr="00577FA9" w:rsidRDefault="0048056F" w:rsidP="00577FA9">
            <w:pPr>
              <w:rPr>
                <w:sz w:val="20"/>
              </w:rPr>
            </w:pPr>
            <w:r w:rsidRPr="00577FA9">
              <w:rPr>
                <w:sz w:val="20"/>
              </w:rPr>
              <w:t>European Union Vendor Declaration</w:t>
            </w:r>
            <w:r w:rsidR="00966A33" w:rsidRPr="00577FA9">
              <w:rPr>
                <w:sz w:val="20"/>
              </w:rPr>
              <w:t>.</w:t>
            </w:r>
          </w:p>
        </w:tc>
      </w:tr>
      <w:tr w:rsidR="0021462B" w:rsidRPr="0039574A" w14:paraId="557C9F4F" w14:textId="77777777" w:rsidTr="00205B3F">
        <w:trPr>
          <w:jc w:val="center"/>
        </w:trPr>
        <w:tc>
          <w:tcPr>
            <w:tcW w:w="2607" w:type="dxa"/>
          </w:tcPr>
          <w:p w14:paraId="0C41B368"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Feedlot</w:t>
            </w:r>
          </w:p>
        </w:tc>
        <w:tc>
          <w:tcPr>
            <w:tcW w:w="7801" w:type="dxa"/>
          </w:tcPr>
          <w:p w14:paraId="4F8C53EE" w14:textId="77777777" w:rsidR="0021462B" w:rsidRPr="00577FA9" w:rsidRDefault="0048056F" w:rsidP="00577FA9">
            <w:pPr>
              <w:rPr>
                <w:sz w:val="20"/>
              </w:rPr>
            </w:pPr>
            <w:r w:rsidRPr="00577FA9">
              <w:rPr>
                <w:sz w:val="20"/>
              </w:rPr>
              <w:t>An area of land covered by a single property identification code (PIC) under relevant State or Territory legislation, where cattle are confined and fed high energy rations to maximise growth for the purpose of slaughter.</w:t>
            </w:r>
          </w:p>
        </w:tc>
      </w:tr>
      <w:tr w:rsidR="0021462B" w:rsidRPr="0039574A" w14:paraId="24359BAA" w14:textId="77777777" w:rsidTr="00205B3F">
        <w:trPr>
          <w:jc w:val="center"/>
        </w:trPr>
        <w:tc>
          <w:tcPr>
            <w:tcW w:w="2607" w:type="dxa"/>
          </w:tcPr>
          <w:p w14:paraId="28F88F57" w14:textId="77777777" w:rsidR="0021462B" w:rsidRPr="0039574A" w:rsidRDefault="0048056F">
            <w:pPr>
              <w:overflowPunct w:val="0"/>
              <w:autoSpaceDE w:val="0"/>
              <w:autoSpaceDN w:val="0"/>
              <w:adjustRightInd w:val="0"/>
              <w:spacing w:after="120"/>
              <w:textAlignment w:val="baseline"/>
              <w:rPr>
                <w:b/>
                <w:sz w:val="20"/>
              </w:rPr>
            </w:pPr>
            <w:proofErr w:type="spellStart"/>
            <w:r w:rsidRPr="0039574A">
              <w:rPr>
                <w:b/>
                <w:sz w:val="20"/>
              </w:rPr>
              <w:t>Gestagenic</w:t>
            </w:r>
            <w:proofErr w:type="spellEnd"/>
          </w:p>
        </w:tc>
        <w:tc>
          <w:tcPr>
            <w:tcW w:w="7801" w:type="dxa"/>
          </w:tcPr>
          <w:p w14:paraId="629FB6D3" w14:textId="77777777" w:rsidR="0021462B" w:rsidRPr="00577FA9" w:rsidRDefault="0048056F" w:rsidP="00577FA9">
            <w:pPr>
              <w:rPr>
                <w:sz w:val="20"/>
              </w:rPr>
            </w:pPr>
            <w:r w:rsidRPr="00577FA9">
              <w:rPr>
                <w:sz w:val="20"/>
              </w:rPr>
              <w:t>Female hormones that support the development and retention of a pregnancy.</w:t>
            </w:r>
          </w:p>
        </w:tc>
      </w:tr>
      <w:tr w:rsidR="0021462B" w:rsidRPr="0039574A" w14:paraId="3E373A0D" w14:textId="77777777" w:rsidTr="00205B3F">
        <w:trPr>
          <w:jc w:val="center"/>
        </w:trPr>
        <w:tc>
          <w:tcPr>
            <w:tcW w:w="2607" w:type="dxa"/>
          </w:tcPr>
          <w:p w14:paraId="37A18886"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HGP</w:t>
            </w:r>
          </w:p>
        </w:tc>
        <w:tc>
          <w:tcPr>
            <w:tcW w:w="7801" w:type="dxa"/>
          </w:tcPr>
          <w:p w14:paraId="4AFF4642" w14:textId="04E4219A" w:rsidR="0021462B" w:rsidRPr="00577FA9" w:rsidRDefault="0048056F" w:rsidP="00577FA9">
            <w:pPr>
              <w:rPr>
                <w:sz w:val="20"/>
              </w:rPr>
            </w:pPr>
            <w:r w:rsidRPr="00577FA9">
              <w:rPr>
                <w:sz w:val="20"/>
              </w:rPr>
              <w:t xml:space="preserve">A Hormonal Growth Promotant is a veterinary medicine product, registered in Australia </w:t>
            </w:r>
            <w:r w:rsidR="00746B23" w:rsidRPr="00577FA9">
              <w:rPr>
                <w:sz w:val="20"/>
              </w:rPr>
              <w:t xml:space="preserve">used </w:t>
            </w:r>
            <w:r w:rsidRPr="00577FA9">
              <w:rPr>
                <w:sz w:val="20"/>
              </w:rPr>
              <w:t xml:space="preserve">to increase the growth or productivity of livestock through an oestrogenic, androgenic, </w:t>
            </w:r>
            <w:r w:rsidR="00537D76" w:rsidRPr="00577FA9">
              <w:rPr>
                <w:sz w:val="20"/>
              </w:rPr>
              <w:t xml:space="preserve">or </w:t>
            </w:r>
            <w:proofErr w:type="spellStart"/>
            <w:r w:rsidRPr="00577FA9">
              <w:rPr>
                <w:sz w:val="20"/>
              </w:rPr>
              <w:t>gestagenic</w:t>
            </w:r>
            <w:proofErr w:type="spellEnd"/>
            <w:r w:rsidRPr="00577FA9">
              <w:rPr>
                <w:sz w:val="20"/>
              </w:rPr>
              <w:t xml:space="preserve"> or </w:t>
            </w:r>
            <w:proofErr w:type="spellStart"/>
            <w:r w:rsidRPr="00577FA9">
              <w:rPr>
                <w:sz w:val="20"/>
              </w:rPr>
              <w:t>thyrostatic</w:t>
            </w:r>
            <w:proofErr w:type="spellEnd"/>
            <w:r w:rsidRPr="00577FA9">
              <w:rPr>
                <w:sz w:val="20"/>
              </w:rPr>
              <w:t xml:space="preserve"> effect. Examples include products containing oestradiol, progesterone, testosterone, zeranol and trenbolone </w:t>
            </w:r>
            <w:proofErr w:type="spellStart"/>
            <w:r w:rsidRPr="00577FA9">
              <w:rPr>
                <w:sz w:val="20"/>
              </w:rPr>
              <w:t>actetate</w:t>
            </w:r>
            <w:proofErr w:type="spellEnd"/>
            <w:r w:rsidRPr="00577FA9">
              <w:rPr>
                <w:sz w:val="20"/>
              </w:rPr>
              <w:t>.</w:t>
            </w:r>
          </w:p>
        </w:tc>
      </w:tr>
      <w:tr w:rsidR="0021462B" w:rsidRPr="0039574A" w14:paraId="0362E536" w14:textId="77777777" w:rsidTr="00205B3F">
        <w:trPr>
          <w:jc w:val="center"/>
        </w:trPr>
        <w:tc>
          <w:tcPr>
            <w:tcW w:w="2607" w:type="dxa"/>
          </w:tcPr>
          <w:p w14:paraId="67BAEA06"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Individually identified</w:t>
            </w:r>
          </w:p>
        </w:tc>
        <w:tc>
          <w:tcPr>
            <w:tcW w:w="7801" w:type="dxa"/>
          </w:tcPr>
          <w:p w14:paraId="08B0D834" w14:textId="77777777" w:rsidR="0021462B" w:rsidRPr="00577FA9" w:rsidRDefault="0048056F" w:rsidP="00577FA9">
            <w:pPr>
              <w:rPr>
                <w:sz w:val="20"/>
              </w:rPr>
            </w:pPr>
            <w:r w:rsidRPr="00577FA9">
              <w:rPr>
                <w:sz w:val="20"/>
              </w:rPr>
              <w:t>For the purposes of EUCAS, means identified using an individual NLIS endorsed breeder or post-breeder RFID placed in the right ear of every animal, or with a rumen bolus and corresponding ear tag.</w:t>
            </w:r>
          </w:p>
        </w:tc>
      </w:tr>
      <w:tr w:rsidR="0021462B" w:rsidRPr="0039574A" w14:paraId="3BCBBD01" w14:textId="77777777" w:rsidTr="00205B3F">
        <w:trPr>
          <w:jc w:val="center"/>
        </w:trPr>
        <w:tc>
          <w:tcPr>
            <w:tcW w:w="2607" w:type="dxa"/>
          </w:tcPr>
          <w:p w14:paraId="04000371" w14:textId="1729662E" w:rsidR="0021462B" w:rsidRPr="0039574A" w:rsidRDefault="0048056F">
            <w:pPr>
              <w:overflowPunct w:val="0"/>
              <w:autoSpaceDE w:val="0"/>
              <w:autoSpaceDN w:val="0"/>
              <w:adjustRightInd w:val="0"/>
              <w:spacing w:after="120"/>
              <w:textAlignment w:val="baseline"/>
              <w:rPr>
                <w:b/>
                <w:sz w:val="20"/>
              </w:rPr>
            </w:pPr>
            <w:r w:rsidRPr="0039574A">
              <w:rPr>
                <w:b/>
                <w:sz w:val="20"/>
              </w:rPr>
              <w:t>Manager of a</w:t>
            </w:r>
            <w:r w:rsidR="00F23E72">
              <w:rPr>
                <w:b/>
                <w:sz w:val="20"/>
              </w:rPr>
              <w:t>n accredited farm</w:t>
            </w:r>
          </w:p>
        </w:tc>
        <w:tc>
          <w:tcPr>
            <w:tcW w:w="7801" w:type="dxa"/>
          </w:tcPr>
          <w:p w14:paraId="0F90A9B8" w14:textId="54EC240E" w:rsidR="0021462B" w:rsidRPr="00577FA9" w:rsidRDefault="0048056F" w:rsidP="00577FA9">
            <w:pPr>
              <w:rPr>
                <w:sz w:val="20"/>
              </w:rPr>
            </w:pPr>
            <w:r w:rsidRPr="00577FA9">
              <w:rPr>
                <w:sz w:val="20"/>
              </w:rPr>
              <w:t xml:space="preserve">The </w:t>
            </w:r>
            <w:r w:rsidR="00F23E72" w:rsidRPr="00577FA9">
              <w:rPr>
                <w:sz w:val="20"/>
              </w:rPr>
              <w:t xml:space="preserve">manager of an accredited farm (the manager), the </w:t>
            </w:r>
            <w:r w:rsidRPr="00577FA9">
              <w:rPr>
                <w:sz w:val="20"/>
              </w:rPr>
              <w:t xml:space="preserve">person responsible for the </w:t>
            </w:r>
            <w:proofErr w:type="gramStart"/>
            <w:r w:rsidRPr="00577FA9">
              <w:rPr>
                <w:sz w:val="20"/>
              </w:rPr>
              <w:t>day to day</w:t>
            </w:r>
            <w:proofErr w:type="gramEnd"/>
            <w:r w:rsidRPr="00577FA9">
              <w:rPr>
                <w:sz w:val="20"/>
              </w:rPr>
              <w:t xml:space="preserve"> </w:t>
            </w:r>
            <w:r w:rsidR="00746B23" w:rsidRPr="00577FA9">
              <w:rPr>
                <w:sz w:val="20"/>
              </w:rPr>
              <w:t xml:space="preserve">management </w:t>
            </w:r>
            <w:r w:rsidRPr="00577FA9">
              <w:rPr>
                <w:sz w:val="20"/>
              </w:rPr>
              <w:t>of the property.</w:t>
            </w:r>
          </w:p>
        </w:tc>
      </w:tr>
      <w:tr w:rsidR="0021462B" w:rsidRPr="0039574A" w14:paraId="35EF940E" w14:textId="77777777" w:rsidTr="00205B3F">
        <w:trPr>
          <w:jc w:val="center"/>
        </w:trPr>
        <w:tc>
          <w:tcPr>
            <w:tcW w:w="2607" w:type="dxa"/>
          </w:tcPr>
          <w:p w14:paraId="121E9BF1"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lastRenderedPageBreak/>
              <w:t>MLA</w:t>
            </w:r>
          </w:p>
        </w:tc>
        <w:tc>
          <w:tcPr>
            <w:tcW w:w="7801" w:type="dxa"/>
          </w:tcPr>
          <w:p w14:paraId="3B513874" w14:textId="44A569CF" w:rsidR="0021462B" w:rsidRPr="00577FA9" w:rsidRDefault="0048056F" w:rsidP="00577FA9">
            <w:pPr>
              <w:rPr>
                <w:sz w:val="20"/>
              </w:rPr>
            </w:pPr>
            <w:r w:rsidRPr="00577FA9">
              <w:rPr>
                <w:sz w:val="20"/>
              </w:rPr>
              <w:t>Meat and Livestock Australia</w:t>
            </w:r>
            <w:r w:rsidR="00966A33" w:rsidRPr="00577FA9">
              <w:rPr>
                <w:sz w:val="20"/>
              </w:rPr>
              <w:t>.</w:t>
            </w:r>
          </w:p>
        </w:tc>
      </w:tr>
      <w:tr w:rsidR="0021462B" w:rsidRPr="0039574A" w14:paraId="4EA487B4" w14:textId="77777777" w:rsidTr="00205B3F">
        <w:trPr>
          <w:jc w:val="center"/>
        </w:trPr>
        <w:tc>
          <w:tcPr>
            <w:tcW w:w="2607" w:type="dxa"/>
          </w:tcPr>
          <w:p w14:paraId="430FB5BA"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NLIS</w:t>
            </w:r>
          </w:p>
        </w:tc>
        <w:tc>
          <w:tcPr>
            <w:tcW w:w="7801" w:type="dxa"/>
          </w:tcPr>
          <w:p w14:paraId="4CBB75D7" w14:textId="18D90C0F" w:rsidR="0021462B" w:rsidRPr="00577FA9" w:rsidRDefault="0048056F" w:rsidP="00577FA9">
            <w:pPr>
              <w:rPr>
                <w:sz w:val="20"/>
              </w:rPr>
            </w:pPr>
            <w:r w:rsidRPr="00577FA9">
              <w:rPr>
                <w:sz w:val="20"/>
              </w:rPr>
              <w:t>National Livestock Identification System</w:t>
            </w:r>
            <w:r w:rsidR="00966A33" w:rsidRPr="00577FA9">
              <w:rPr>
                <w:sz w:val="20"/>
              </w:rPr>
              <w:t>.</w:t>
            </w:r>
          </w:p>
        </w:tc>
      </w:tr>
      <w:tr w:rsidR="000D2441" w:rsidRPr="0039574A" w14:paraId="78F02BE9" w14:textId="77777777" w:rsidTr="00205B3F">
        <w:trPr>
          <w:trHeight w:val="853"/>
          <w:jc w:val="center"/>
        </w:trPr>
        <w:tc>
          <w:tcPr>
            <w:tcW w:w="2607" w:type="dxa"/>
          </w:tcPr>
          <w:p w14:paraId="18F6F2FD" w14:textId="0EB99EE7" w:rsidR="000D2441" w:rsidRPr="000D2441" w:rsidRDefault="000D2441" w:rsidP="000D2441">
            <w:pPr>
              <w:overflowPunct w:val="0"/>
              <w:autoSpaceDE w:val="0"/>
              <w:autoSpaceDN w:val="0"/>
              <w:adjustRightInd w:val="0"/>
              <w:spacing w:after="120"/>
              <w:textAlignment w:val="baseline"/>
              <w:rPr>
                <w:b/>
                <w:sz w:val="20"/>
              </w:rPr>
            </w:pPr>
            <w:r w:rsidRPr="0039574A">
              <w:rPr>
                <w:b/>
                <w:sz w:val="20"/>
              </w:rPr>
              <w:t xml:space="preserve">NLIS </w:t>
            </w:r>
            <w:r>
              <w:rPr>
                <w:b/>
                <w:sz w:val="20"/>
              </w:rPr>
              <w:t>ID</w:t>
            </w:r>
          </w:p>
        </w:tc>
        <w:tc>
          <w:tcPr>
            <w:tcW w:w="7801" w:type="dxa"/>
          </w:tcPr>
          <w:p w14:paraId="54D48B48" w14:textId="3E14E703" w:rsidR="000D2441" w:rsidRPr="00577FA9" w:rsidRDefault="000D2441" w:rsidP="00577FA9">
            <w:pPr>
              <w:rPr>
                <w:sz w:val="20"/>
              </w:rPr>
            </w:pPr>
            <w:r w:rsidRPr="00577FA9">
              <w:rPr>
                <w:sz w:val="20"/>
              </w:rPr>
              <w:t xml:space="preserve">The visually read number on a RFID ear tag. The NLIS ID consists of a PIC number, a manufacturer’s </w:t>
            </w:r>
            <w:proofErr w:type="gramStart"/>
            <w:r w:rsidRPr="00577FA9">
              <w:rPr>
                <w:sz w:val="20"/>
              </w:rPr>
              <w:t>code</w:t>
            </w:r>
            <w:proofErr w:type="gramEnd"/>
            <w:r w:rsidRPr="00577FA9">
              <w:rPr>
                <w:sz w:val="20"/>
              </w:rPr>
              <w:t xml:space="preserve"> and the year of manufacture, as well as a management number.  Each NLIS ID is unique and identifies the animal to which it is assigned. The manager may use either the NLIS ID or RFID to record movements of the animal on the NLIS database.</w:t>
            </w:r>
          </w:p>
        </w:tc>
      </w:tr>
      <w:tr w:rsidR="000D2441" w:rsidRPr="0039574A" w14:paraId="128C94E3" w14:textId="77777777" w:rsidTr="00205B3F">
        <w:trPr>
          <w:trHeight w:val="450"/>
          <w:jc w:val="center"/>
        </w:trPr>
        <w:tc>
          <w:tcPr>
            <w:tcW w:w="2607" w:type="dxa"/>
          </w:tcPr>
          <w:p w14:paraId="644A1F5F" w14:textId="7DEEC143" w:rsidR="000D2441" w:rsidRPr="000D2441" w:rsidRDefault="000D2441">
            <w:pPr>
              <w:overflowPunct w:val="0"/>
              <w:autoSpaceDE w:val="0"/>
              <w:autoSpaceDN w:val="0"/>
              <w:adjustRightInd w:val="0"/>
              <w:spacing w:after="120"/>
              <w:textAlignment w:val="baseline"/>
              <w:rPr>
                <w:rFonts w:cstheme="minorHAnsi"/>
                <w:b/>
                <w:sz w:val="20"/>
              </w:rPr>
            </w:pPr>
            <w:r w:rsidRPr="00B67769">
              <w:rPr>
                <w:rFonts w:cstheme="minorHAnsi"/>
                <w:b/>
                <w:sz w:val="20"/>
              </w:rPr>
              <w:t>Non-eligible destination</w:t>
            </w:r>
          </w:p>
        </w:tc>
        <w:tc>
          <w:tcPr>
            <w:tcW w:w="7801" w:type="dxa"/>
          </w:tcPr>
          <w:p w14:paraId="0AA261BF" w14:textId="3628EEC4" w:rsidR="000D2441" w:rsidRPr="00577FA9" w:rsidRDefault="000D2441" w:rsidP="00577FA9">
            <w:pPr>
              <w:rPr>
                <w:sz w:val="20"/>
              </w:rPr>
            </w:pPr>
            <w:r w:rsidRPr="00577FA9">
              <w:rPr>
                <w:sz w:val="20"/>
              </w:rPr>
              <w:t>Non-eligible destinations are destinations that are not EU accredited.</w:t>
            </w:r>
          </w:p>
        </w:tc>
      </w:tr>
      <w:tr w:rsidR="0021462B" w:rsidRPr="0039574A" w14:paraId="22DE4A95" w14:textId="77777777" w:rsidTr="00205B3F">
        <w:trPr>
          <w:jc w:val="center"/>
        </w:trPr>
        <w:tc>
          <w:tcPr>
            <w:tcW w:w="2607" w:type="dxa"/>
          </w:tcPr>
          <w:p w14:paraId="30D172EC"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Non-EUCAS breeding females</w:t>
            </w:r>
          </w:p>
        </w:tc>
        <w:tc>
          <w:tcPr>
            <w:tcW w:w="7801" w:type="dxa"/>
          </w:tcPr>
          <w:p w14:paraId="6E328326" w14:textId="69BCC77D" w:rsidR="0021462B" w:rsidRPr="00577FA9" w:rsidRDefault="0048056F" w:rsidP="00577FA9">
            <w:pPr>
              <w:rPr>
                <w:sz w:val="20"/>
              </w:rPr>
            </w:pPr>
            <w:r w:rsidRPr="00577FA9">
              <w:rPr>
                <w:sz w:val="20"/>
              </w:rPr>
              <w:t xml:space="preserve">Non-EUCAS HGP free cows, heifers or pregnant females intended for use in breeding. Cows with calves at foot are not eligible to enter a property as non-EUCAS breeding females. </w:t>
            </w:r>
            <w:r w:rsidR="00290515" w:rsidRPr="00577FA9">
              <w:rPr>
                <w:sz w:val="20"/>
              </w:rPr>
              <w:t>Non-EUCAS breeding females must have lifetime traceability in the NLIS database and be HGP free.</w:t>
            </w:r>
          </w:p>
        </w:tc>
      </w:tr>
      <w:tr w:rsidR="0021462B" w:rsidRPr="0039574A" w14:paraId="3776CCE6" w14:textId="77777777" w:rsidTr="00205B3F">
        <w:trPr>
          <w:jc w:val="center"/>
        </w:trPr>
        <w:tc>
          <w:tcPr>
            <w:tcW w:w="2607" w:type="dxa"/>
          </w:tcPr>
          <w:p w14:paraId="44E000AF"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NVD</w:t>
            </w:r>
          </w:p>
        </w:tc>
        <w:tc>
          <w:tcPr>
            <w:tcW w:w="7801" w:type="dxa"/>
          </w:tcPr>
          <w:p w14:paraId="60870925" w14:textId="01827BF8" w:rsidR="0021462B" w:rsidRPr="00577FA9" w:rsidRDefault="0048056F" w:rsidP="00577FA9">
            <w:pPr>
              <w:rPr>
                <w:sz w:val="20"/>
              </w:rPr>
            </w:pPr>
            <w:r w:rsidRPr="00577FA9">
              <w:rPr>
                <w:sz w:val="20"/>
              </w:rPr>
              <w:t>National Vendor Declaration</w:t>
            </w:r>
            <w:r w:rsidR="00966A33" w:rsidRPr="00577FA9">
              <w:rPr>
                <w:sz w:val="20"/>
              </w:rPr>
              <w:t>.</w:t>
            </w:r>
          </w:p>
        </w:tc>
      </w:tr>
      <w:tr w:rsidR="0021462B" w:rsidRPr="0039574A" w14:paraId="4D978CAF" w14:textId="77777777" w:rsidTr="00205B3F">
        <w:trPr>
          <w:jc w:val="center"/>
        </w:trPr>
        <w:tc>
          <w:tcPr>
            <w:tcW w:w="2607" w:type="dxa"/>
          </w:tcPr>
          <w:p w14:paraId="639F6214"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Oestrogenic</w:t>
            </w:r>
          </w:p>
        </w:tc>
        <w:tc>
          <w:tcPr>
            <w:tcW w:w="7801" w:type="dxa"/>
          </w:tcPr>
          <w:p w14:paraId="748280E3" w14:textId="7FCE3F40" w:rsidR="00074D95" w:rsidRPr="00577FA9" w:rsidRDefault="00074D95" w:rsidP="00577FA9">
            <w:pPr>
              <w:rPr>
                <w:sz w:val="20"/>
              </w:rPr>
            </w:pPr>
            <w:r w:rsidRPr="00577FA9">
              <w:rPr>
                <w:sz w:val="20"/>
              </w:rPr>
              <w:t>H</w:t>
            </w:r>
            <w:r w:rsidR="0048056F" w:rsidRPr="00577FA9">
              <w:rPr>
                <w:sz w:val="20"/>
              </w:rPr>
              <w:t xml:space="preserve">ormones that control the growth and functioning of the female sex organs and the appearance of female secondary sexual characteristics, which may be either natural or synthetic. </w:t>
            </w:r>
            <w:r w:rsidRPr="00577FA9">
              <w:rPr>
                <w:sz w:val="20"/>
              </w:rPr>
              <w:t xml:space="preserve">Can also be used to synchronise the breeding cycle of female cattle. </w:t>
            </w:r>
          </w:p>
        </w:tc>
      </w:tr>
      <w:tr w:rsidR="0021462B" w:rsidRPr="0039574A" w14:paraId="542BC46B" w14:textId="77777777" w:rsidTr="00205B3F">
        <w:trPr>
          <w:jc w:val="center"/>
        </w:trPr>
        <w:tc>
          <w:tcPr>
            <w:tcW w:w="2607" w:type="dxa"/>
          </w:tcPr>
          <w:p w14:paraId="49FCF81B"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PIC</w:t>
            </w:r>
          </w:p>
        </w:tc>
        <w:tc>
          <w:tcPr>
            <w:tcW w:w="7801" w:type="dxa"/>
          </w:tcPr>
          <w:p w14:paraId="08C6F82E" w14:textId="189404A2" w:rsidR="0021462B" w:rsidRPr="00577FA9" w:rsidRDefault="0048056F" w:rsidP="00577FA9">
            <w:pPr>
              <w:rPr>
                <w:sz w:val="20"/>
              </w:rPr>
            </w:pPr>
            <w:r w:rsidRPr="00577FA9">
              <w:rPr>
                <w:sz w:val="20"/>
              </w:rPr>
              <w:t>Property Identification Code</w:t>
            </w:r>
            <w:r w:rsidR="00966A33" w:rsidRPr="00577FA9">
              <w:rPr>
                <w:sz w:val="20"/>
              </w:rPr>
              <w:t>.</w:t>
            </w:r>
          </w:p>
        </w:tc>
      </w:tr>
      <w:tr w:rsidR="0021462B" w:rsidRPr="0039574A" w14:paraId="0EB9C34A" w14:textId="77777777" w:rsidTr="00205B3F">
        <w:trPr>
          <w:jc w:val="center"/>
        </w:trPr>
        <w:tc>
          <w:tcPr>
            <w:tcW w:w="2607" w:type="dxa"/>
          </w:tcPr>
          <w:p w14:paraId="2E1B1031" w14:textId="6B9A26E4" w:rsidR="0021462B" w:rsidRPr="0039574A" w:rsidRDefault="0048056F">
            <w:pPr>
              <w:overflowPunct w:val="0"/>
              <w:autoSpaceDE w:val="0"/>
              <w:autoSpaceDN w:val="0"/>
              <w:adjustRightInd w:val="0"/>
              <w:spacing w:after="120"/>
              <w:textAlignment w:val="baseline"/>
              <w:rPr>
                <w:b/>
                <w:sz w:val="20"/>
              </w:rPr>
            </w:pPr>
            <w:r w:rsidRPr="0039574A">
              <w:rPr>
                <w:b/>
                <w:sz w:val="20"/>
              </w:rPr>
              <w:t xml:space="preserve">RFID </w:t>
            </w:r>
          </w:p>
        </w:tc>
        <w:tc>
          <w:tcPr>
            <w:tcW w:w="7801" w:type="dxa"/>
          </w:tcPr>
          <w:p w14:paraId="5F49010A" w14:textId="7C0DF249" w:rsidR="0021462B" w:rsidRPr="00577FA9" w:rsidRDefault="00290515" w:rsidP="00577FA9">
            <w:pPr>
              <w:rPr>
                <w:sz w:val="20"/>
              </w:rPr>
            </w:pPr>
            <w:r w:rsidRPr="00577FA9">
              <w:rPr>
                <w:sz w:val="20"/>
              </w:rPr>
              <w:t>Radio Frequency Identification Device</w:t>
            </w:r>
            <w:r w:rsidR="00966A33" w:rsidRPr="00577FA9">
              <w:rPr>
                <w:sz w:val="20"/>
              </w:rPr>
              <w:t xml:space="preserve"> (RFID)</w:t>
            </w:r>
            <w:r w:rsidRPr="00577FA9">
              <w:rPr>
                <w:sz w:val="20"/>
              </w:rPr>
              <w:t xml:space="preserve"> approved under the National Livestock Identification System (NLIS). </w:t>
            </w:r>
            <w:r w:rsidR="0048056F" w:rsidRPr="00577FA9">
              <w:rPr>
                <w:sz w:val="20"/>
              </w:rPr>
              <w:t>The electronically read number encoded on a microchip inside an NLIS e</w:t>
            </w:r>
            <w:r w:rsidRPr="00577FA9">
              <w:rPr>
                <w:sz w:val="20"/>
              </w:rPr>
              <w:t>ar tag</w:t>
            </w:r>
            <w:r w:rsidR="0048056F" w:rsidRPr="00577FA9">
              <w:rPr>
                <w:sz w:val="20"/>
              </w:rPr>
              <w:t xml:space="preserve">. The RFID consists of a manufacturer’s code and a unique number for each animal. Each RFID number is unique and identifies the animal to which it is assigned. The </w:t>
            </w:r>
            <w:r w:rsidR="0030119E" w:rsidRPr="00577FA9">
              <w:rPr>
                <w:sz w:val="20"/>
              </w:rPr>
              <w:t xml:space="preserve">manager </w:t>
            </w:r>
            <w:r w:rsidR="0048056F" w:rsidRPr="00577FA9">
              <w:rPr>
                <w:sz w:val="20"/>
              </w:rPr>
              <w:t>may use either the N</w:t>
            </w:r>
            <w:r w:rsidRPr="00577FA9">
              <w:rPr>
                <w:sz w:val="20"/>
              </w:rPr>
              <w:t>L</w:t>
            </w:r>
            <w:r w:rsidR="0048056F" w:rsidRPr="00577FA9">
              <w:rPr>
                <w:sz w:val="20"/>
              </w:rPr>
              <w:t>IS</w:t>
            </w:r>
            <w:r w:rsidRPr="00577FA9">
              <w:rPr>
                <w:sz w:val="20"/>
              </w:rPr>
              <w:t xml:space="preserve"> ID</w:t>
            </w:r>
            <w:r w:rsidR="0048056F" w:rsidRPr="00577FA9">
              <w:rPr>
                <w:sz w:val="20"/>
              </w:rPr>
              <w:t xml:space="preserve"> or RFID to record movements of the animal on the NLIS database. The NLIS database includes both numbers and uses them to confirm the movements of the animal throughout its life</w:t>
            </w:r>
            <w:r w:rsidRPr="00577FA9">
              <w:rPr>
                <w:sz w:val="20"/>
              </w:rPr>
              <w:t>time</w:t>
            </w:r>
            <w:r w:rsidR="0048056F" w:rsidRPr="00577FA9">
              <w:rPr>
                <w:sz w:val="20"/>
              </w:rPr>
              <w:t>.</w:t>
            </w:r>
          </w:p>
        </w:tc>
      </w:tr>
      <w:tr w:rsidR="0021462B" w:rsidRPr="0039574A" w14:paraId="7C10E6A2" w14:textId="77777777" w:rsidTr="00205B3F">
        <w:trPr>
          <w:jc w:val="center"/>
        </w:trPr>
        <w:tc>
          <w:tcPr>
            <w:tcW w:w="2607" w:type="dxa"/>
          </w:tcPr>
          <w:p w14:paraId="07859B85" w14:textId="77777777" w:rsidR="0021462B" w:rsidRPr="0039574A" w:rsidRDefault="0048056F">
            <w:pPr>
              <w:overflowPunct w:val="0"/>
              <w:autoSpaceDE w:val="0"/>
              <w:autoSpaceDN w:val="0"/>
              <w:adjustRightInd w:val="0"/>
              <w:spacing w:after="120"/>
              <w:textAlignment w:val="baseline"/>
              <w:rPr>
                <w:b/>
                <w:sz w:val="20"/>
              </w:rPr>
            </w:pPr>
            <w:r w:rsidRPr="0039574A">
              <w:rPr>
                <w:b/>
                <w:sz w:val="20"/>
              </w:rPr>
              <w:t>The department</w:t>
            </w:r>
          </w:p>
        </w:tc>
        <w:tc>
          <w:tcPr>
            <w:tcW w:w="7801" w:type="dxa"/>
          </w:tcPr>
          <w:p w14:paraId="2BABE22F" w14:textId="0A9DC8D8" w:rsidR="0021462B" w:rsidRPr="00577FA9" w:rsidRDefault="0048056F" w:rsidP="00577FA9">
            <w:pPr>
              <w:rPr>
                <w:sz w:val="20"/>
              </w:rPr>
            </w:pPr>
            <w:r w:rsidRPr="00577FA9">
              <w:rPr>
                <w:sz w:val="20"/>
              </w:rPr>
              <w:t>Australian Government Department of Agriculture</w:t>
            </w:r>
            <w:r w:rsidR="00F21274" w:rsidRPr="00577FA9">
              <w:rPr>
                <w:sz w:val="20"/>
              </w:rPr>
              <w:t>,</w:t>
            </w:r>
            <w:r w:rsidR="00CF450A" w:rsidRPr="00577FA9">
              <w:rPr>
                <w:sz w:val="20"/>
              </w:rPr>
              <w:t xml:space="preserve"> </w:t>
            </w:r>
            <w:r w:rsidR="00134B46">
              <w:rPr>
                <w:sz w:val="20"/>
              </w:rPr>
              <w:t>Fisheries and Forestry</w:t>
            </w:r>
            <w:r w:rsidR="00966A33" w:rsidRPr="00577FA9">
              <w:rPr>
                <w:sz w:val="20"/>
              </w:rPr>
              <w:t>.</w:t>
            </w:r>
          </w:p>
        </w:tc>
      </w:tr>
      <w:tr w:rsidR="0021462B" w:rsidRPr="0039574A" w14:paraId="6FF74437" w14:textId="77777777" w:rsidTr="00205B3F">
        <w:trPr>
          <w:jc w:val="center"/>
        </w:trPr>
        <w:tc>
          <w:tcPr>
            <w:tcW w:w="2607" w:type="dxa"/>
          </w:tcPr>
          <w:p w14:paraId="2F6CD295" w14:textId="77777777" w:rsidR="0021462B" w:rsidRPr="0039574A" w:rsidRDefault="0048056F">
            <w:pPr>
              <w:overflowPunct w:val="0"/>
              <w:autoSpaceDE w:val="0"/>
              <w:autoSpaceDN w:val="0"/>
              <w:adjustRightInd w:val="0"/>
              <w:spacing w:after="120"/>
              <w:textAlignment w:val="baseline"/>
              <w:rPr>
                <w:b/>
                <w:sz w:val="20"/>
              </w:rPr>
            </w:pPr>
            <w:proofErr w:type="spellStart"/>
            <w:r w:rsidRPr="0039574A">
              <w:rPr>
                <w:b/>
                <w:sz w:val="20"/>
              </w:rPr>
              <w:t>Thyrostatic</w:t>
            </w:r>
            <w:proofErr w:type="spellEnd"/>
          </w:p>
        </w:tc>
        <w:tc>
          <w:tcPr>
            <w:tcW w:w="7801" w:type="dxa"/>
          </w:tcPr>
          <w:p w14:paraId="7CD7702C" w14:textId="17B0E1C9" w:rsidR="0021462B" w:rsidRPr="00577FA9" w:rsidRDefault="0048056F" w:rsidP="00577FA9">
            <w:pPr>
              <w:rPr>
                <w:sz w:val="20"/>
              </w:rPr>
            </w:pPr>
            <w:r w:rsidRPr="00577FA9">
              <w:rPr>
                <w:sz w:val="20"/>
              </w:rPr>
              <w:t>Anti-thyroid agent</w:t>
            </w:r>
            <w:r w:rsidR="00290515" w:rsidRPr="00577FA9">
              <w:rPr>
                <w:sz w:val="20"/>
              </w:rPr>
              <w:t xml:space="preserve"> used for growth promotion (not permitted for use in cattle in Australia).</w:t>
            </w:r>
          </w:p>
        </w:tc>
      </w:tr>
    </w:tbl>
    <w:p w14:paraId="387684BB" w14:textId="08FC9622" w:rsidR="004D1FE0" w:rsidRDefault="0048056F" w:rsidP="00AC309B">
      <w:pPr>
        <w:pStyle w:val="Heading2"/>
        <w:numPr>
          <w:ilvl w:val="0"/>
          <w:numId w:val="5"/>
        </w:numPr>
      </w:pPr>
      <w:bookmarkStart w:id="10" w:name="_Toc44380824"/>
      <w:bookmarkEnd w:id="6"/>
      <w:r w:rsidRPr="0039574A">
        <w:br w:type="page"/>
      </w:r>
      <w:bookmarkStart w:id="11" w:name="_Toc50728301"/>
      <w:bookmarkStart w:id="12" w:name="_Toc83365349"/>
      <w:r w:rsidRPr="0039574A">
        <w:lastRenderedPageBreak/>
        <w:t>INTRODUCTION</w:t>
      </w:r>
      <w:bookmarkEnd w:id="10"/>
      <w:bookmarkEnd w:id="11"/>
      <w:bookmarkEnd w:id="12"/>
    </w:p>
    <w:p w14:paraId="648C9AC9" w14:textId="7E38A09E" w:rsidR="00361AFF" w:rsidRPr="004D1FE0" w:rsidRDefault="0048056F" w:rsidP="00AC309B">
      <w:pPr>
        <w:pStyle w:val="ListParagraph"/>
        <w:numPr>
          <w:ilvl w:val="0"/>
          <w:numId w:val="4"/>
        </w:numPr>
        <w:spacing w:line="360" w:lineRule="auto"/>
      </w:pPr>
      <w:r w:rsidRPr="004D1FE0">
        <w:t>Beef exported to the European Union (EU) must come from animals raised on properties accredited by the Australian Government Department of Agriculture</w:t>
      </w:r>
      <w:r w:rsidR="00F21274" w:rsidRPr="004D1FE0">
        <w:t>,</w:t>
      </w:r>
      <w:r w:rsidR="00CF450A" w:rsidRPr="004D1FE0">
        <w:t xml:space="preserve"> </w:t>
      </w:r>
      <w:r w:rsidR="00D14D05">
        <w:t>Fisheries and Forestry</w:t>
      </w:r>
      <w:r w:rsidR="00F21274" w:rsidRPr="004D1FE0">
        <w:t xml:space="preserve"> </w:t>
      </w:r>
      <w:r w:rsidRPr="004D1FE0">
        <w:t xml:space="preserve">under the EU Cattle Accreditation Scheme (EUCAS). These properties are referred to as ‘accredited farms,’ or ‘accredited feedlots’ and ‘accredited </w:t>
      </w:r>
      <w:proofErr w:type="gramStart"/>
      <w:r w:rsidRPr="004D1FE0">
        <w:t>saleyards’</w:t>
      </w:r>
      <w:proofErr w:type="gramEnd"/>
      <w:r w:rsidRPr="004D1FE0">
        <w:t>.</w:t>
      </w:r>
    </w:p>
    <w:p w14:paraId="1D1D4C8C" w14:textId="77777777" w:rsidR="00361AFF" w:rsidRPr="004D1FE0" w:rsidRDefault="0048056F" w:rsidP="00AC309B">
      <w:pPr>
        <w:pStyle w:val="ListParagraph"/>
        <w:numPr>
          <w:ilvl w:val="0"/>
          <w:numId w:val="4"/>
        </w:numPr>
        <w:spacing w:line="360" w:lineRule="auto"/>
      </w:pPr>
      <w:r w:rsidRPr="004D1FE0">
        <w:t xml:space="preserve">EUCAS is a </w:t>
      </w:r>
      <w:r w:rsidR="007E0F54" w:rsidRPr="004D1FE0">
        <w:t xml:space="preserve">regulated </w:t>
      </w:r>
      <w:r w:rsidRPr="004D1FE0">
        <w:t xml:space="preserve">national animal production scheme that guarantees full traceability of all animals through the National Livestock Identification System (NLIS), linking individual animal identification to a central database. EUCAS allows Australia to meet the European Union market requirements for </w:t>
      </w:r>
      <w:r w:rsidR="00EC4789" w:rsidRPr="004D1FE0">
        <w:t xml:space="preserve">non- HGP treated </w:t>
      </w:r>
      <w:r w:rsidRPr="004D1FE0">
        <w:t xml:space="preserve">beef through a segregated production system that allows the production of a separate stream of cattle that have </w:t>
      </w:r>
      <w:r w:rsidR="007E0F54" w:rsidRPr="004D1FE0">
        <w:t xml:space="preserve">not </w:t>
      </w:r>
      <w:r w:rsidRPr="004D1FE0">
        <w:t>been treated with hormonal growth promotants (HGPs)</w:t>
      </w:r>
      <w:r w:rsidR="00537D76" w:rsidRPr="004D1FE0">
        <w:t xml:space="preserve"> or </w:t>
      </w:r>
      <w:r w:rsidR="00290515" w:rsidRPr="004D1FE0">
        <w:t>any</w:t>
      </w:r>
      <w:r w:rsidR="00537D76" w:rsidRPr="004D1FE0">
        <w:t xml:space="preserve"> products containing oestradiol</w:t>
      </w:r>
      <w:r w:rsidRPr="004D1FE0">
        <w:t xml:space="preserve">. </w:t>
      </w:r>
    </w:p>
    <w:p w14:paraId="0C903ACC" w14:textId="77777777" w:rsidR="00361AFF" w:rsidRPr="004D1FE0" w:rsidRDefault="0048056F" w:rsidP="00AC309B">
      <w:pPr>
        <w:pStyle w:val="ListParagraph"/>
        <w:numPr>
          <w:ilvl w:val="0"/>
          <w:numId w:val="4"/>
        </w:numPr>
        <w:spacing w:line="360" w:lineRule="auto"/>
      </w:pPr>
      <w:r w:rsidRPr="004D1FE0">
        <w:t xml:space="preserve">The </w:t>
      </w:r>
      <w:r w:rsidR="00F21274" w:rsidRPr="004D1FE0">
        <w:t xml:space="preserve">legal </w:t>
      </w:r>
      <w:r w:rsidRPr="004D1FE0">
        <w:t xml:space="preserve">basis of EUCAS is the Export Control Act </w:t>
      </w:r>
      <w:r w:rsidR="00486DCA" w:rsidRPr="004D1FE0">
        <w:t xml:space="preserve">2020 </w:t>
      </w:r>
      <w:r w:rsidRPr="004D1FE0">
        <w:t xml:space="preserve">and </w:t>
      </w:r>
      <w:r w:rsidR="00486DCA" w:rsidRPr="004D1FE0">
        <w:t>the Export Control (Meat and Meat Products) Rules 2021</w:t>
      </w:r>
      <w:r w:rsidRPr="004D1FE0">
        <w:t xml:space="preserve">. The department has overall responsibility for the implementation and co-ordination of EUCAS administration. </w:t>
      </w:r>
      <w:r w:rsidR="00290515" w:rsidRPr="004D1FE0">
        <w:t xml:space="preserve">The EUCAS rules have been developed to assist </w:t>
      </w:r>
      <w:r w:rsidR="00F23E72" w:rsidRPr="004D1FE0">
        <w:t xml:space="preserve">the </w:t>
      </w:r>
      <w:r w:rsidR="00290515" w:rsidRPr="004D1FE0">
        <w:t>manager</w:t>
      </w:r>
      <w:r w:rsidR="00F23E72" w:rsidRPr="004D1FE0">
        <w:t xml:space="preserve"> of an accredited farm (the manager)</w:t>
      </w:r>
      <w:r w:rsidR="00290515" w:rsidRPr="004D1FE0">
        <w:t xml:space="preserve"> into meeting the requirements of accreditation.</w:t>
      </w:r>
    </w:p>
    <w:p w14:paraId="01E72530" w14:textId="77777777" w:rsidR="00361AFF" w:rsidRPr="004D1FE0" w:rsidRDefault="0048056F" w:rsidP="00AC309B">
      <w:pPr>
        <w:pStyle w:val="ListParagraph"/>
        <w:numPr>
          <w:ilvl w:val="0"/>
          <w:numId w:val="4"/>
        </w:numPr>
        <w:spacing w:line="360" w:lineRule="auto"/>
      </w:pPr>
      <w:r w:rsidRPr="004D1FE0">
        <w:t>This document outlines the requirements for EUCAS accredited farms. The department will advise all managers when changes to this document occur, however it is the responsibility of managers to ensure that their cattle retain eligibility for the EU market.</w:t>
      </w:r>
    </w:p>
    <w:p w14:paraId="301EFA57" w14:textId="0FEE66BB" w:rsidR="00361AFF" w:rsidRPr="004D1FE0" w:rsidRDefault="0048056F" w:rsidP="00AC309B">
      <w:pPr>
        <w:pStyle w:val="ListParagraph"/>
        <w:numPr>
          <w:ilvl w:val="0"/>
          <w:numId w:val="4"/>
        </w:numPr>
        <w:spacing w:line="360" w:lineRule="auto"/>
      </w:pPr>
      <w:r w:rsidRPr="004D1FE0">
        <w:t>The current version of this document can be found on the department’s website</w:t>
      </w:r>
      <w:r w:rsidR="00EF7285" w:rsidRPr="004D1FE0">
        <w:t>.</w:t>
      </w:r>
      <w:r w:rsidR="00B1434E" w:rsidRPr="004D1FE0">
        <w:t xml:space="preserve"> </w:t>
      </w:r>
      <w:r w:rsidRPr="004D1FE0">
        <w:t xml:space="preserve"> For further information, please contact the EUCAS Helpline on 1800 305 544 between 8am and </w:t>
      </w:r>
      <w:r w:rsidR="006D0802">
        <w:t>3</w:t>
      </w:r>
      <w:r w:rsidRPr="004D1FE0">
        <w:t xml:space="preserve">pm </w:t>
      </w:r>
      <w:r w:rsidR="00EF7285" w:rsidRPr="004D1FE0">
        <w:t xml:space="preserve">AEDT </w:t>
      </w:r>
      <w:r w:rsidRPr="004D1FE0">
        <w:t xml:space="preserve">Monday to Friday (excluding public holidays) or by email at </w:t>
      </w:r>
      <w:hyperlink r:id="rId10" w:history="1">
        <w:r w:rsidR="006D0802" w:rsidRPr="00674AA0">
          <w:rPr>
            <w:rStyle w:val="Hyperlink"/>
          </w:rPr>
          <w:t>EUCAS@agriculture.gov.au</w:t>
        </w:r>
      </w:hyperlink>
      <w:r w:rsidRPr="004D1FE0">
        <w:t>.</w:t>
      </w:r>
    </w:p>
    <w:p w14:paraId="3C9834DF" w14:textId="6D132C10" w:rsidR="0021462B" w:rsidRPr="004D1FE0" w:rsidRDefault="0048056F" w:rsidP="00AC309B">
      <w:pPr>
        <w:pStyle w:val="ListParagraph"/>
        <w:numPr>
          <w:ilvl w:val="0"/>
          <w:numId w:val="4"/>
        </w:numPr>
        <w:spacing w:line="360" w:lineRule="auto"/>
      </w:pPr>
      <w:r w:rsidRPr="004D1FE0">
        <w:t xml:space="preserve">Managers can obtain information on the products that are currently registered for use as HGPs from the Australian Pesticide and Veterinary Medicine Authority (APVMA) website. The APVMA website is at </w:t>
      </w:r>
      <w:r w:rsidR="00552759" w:rsidRPr="004D1FE0">
        <w:t>apvma.gov.au</w:t>
      </w:r>
      <w:r w:rsidRPr="004D1FE0">
        <w:t xml:space="preserve"> and </w:t>
      </w:r>
      <w:r w:rsidR="00290515" w:rsidRPr="004D1FE0">
        <w:t xml:space="preserve">includes the link to the APVMA database </w:t>
      </w:r>
      <w:r w:rsidRPr="004D1FE0">
        <w:t>P</w:t>
      </w:r>
      <w:r w:rsidR="00290515" w:rsidRPr="004D1FE0">
        <w:t>UBCRIS</w:t>
      </w:r>
      <w:r w:rsidRPr="004D1FE0">
        <w:t>, which allows you to search for all registered agricultural and veterinary products including those that contain HGPs</w:t>
      </w:r>
      <w:r w:rsidR="00290515" w:rsidRPr="004D1FE0">
        <w:t>. The direct link to PUBCRIS</w:t>
      </w:r>
      <w:r w:rsidRPr="004D1FE0">
        <w:t xml:space="preserve"> is at </w:t>
      </w:r>
      <w:bookmarkStart w:id="13" w:name="_Toc44380827"/>
      <w:r w:rsidR="00290515" w:rsidRPr="004D1FE0">
        <w:fldChar w:fldCharType="begin"/>
      </w:r>
      <w:r w:rsidR="00290515" w:rsidRPr="004D1FE0">
        <w:instrText xml:space="preserve"> HYPERLINK "https://portal.apvma.gov.au/pubcris" </w:instrText>
      </w:r>
      <w:r w:rsidR="00290515" w:rsidRPr="004D1FE0">
        <w:fldChar w:fldCharType="separate"/>
      </w:r>
      <w:r w:rsidR="00290515" w:rsidRPr="004D1FE0">
        <w:t>https://portal.apvma.gov.au/pubcris</w:t>
      </w:r>
      <w:r w:rsidR="00290515" w:rsidRPr="004D1FE0">
        <w:fldChar w:fldCharType="end"/>
      </w:r>
      <w:r w:rsidR="00290515" w:rsidRPr="004D1FE0">
        <w:t>.</w:t>
      </w:r>
    </w:p>
    <w:p w14:paraId="363120C2" w14:textId="77777777" w:rsidR="00D4634A" w:rsidRPr="00361AFF" w:rsidRDefault="00D4634A">
      <w:r w:rsidRPr="00361AFF">
        <w:br w:type="page"/>
      </w:r>
    </w:p>
    <w:p w14:paraId="3E8C7602" w14:textId="77777777" w:rsidR="004D1FE0" w:rsidRDefault="0048056F" w:rsidP="00AC309B">
      <w:pPr>
        <w:pStyle w:val="Heading2"/>
        <w:numPr>
          <w:ilvl w:val="0"/>
          <w:numId w:val="5"/>
        </w:numPr>
      </w:pPr>
      <w:bookmarkStart w:id="14" w:name="_Toc50728302"/>
      <w:bookmarkStart w:id="15" w:name="_Toc83365350"/>
      <w:r w:rsidRPr="0039574A">
        <w:lastRenderedPageBreak/>
        <w:t>FARM ACCREDITATION</w:t>
      </w:r>
      <w:bookmarkStart w:id="16" w:name="_Toc44380828"/>
      <w:bookmarkStart w:id="17" w:name="_Toc50728303"/>
      <w:bookmarkEnd w:id="13"/>
      <w:bookmarkEnd w:id="14"/>
      <w:bookmarkEnd w:id="15"/>
    </w:p>
    <w:p w14:paraId="6487E5D8" w14:textId="1BE8C7E0" w:rsidR="0021462B" w:rsidRPr="0039574A" w:rsidRDefault="0048056F" w:rsidP="00AC309B">
      <w:pPr>
        <w:pStyle w:val="Heading3"/>
        <w:numPr>
          <w:ilvl w:val="1"/>
          <w:numId w:val="5"/>
        </w:numPr>
      </w:pPr>
      <w:bookmarkStart w:id="18" w:name="_Toc83365351"/>
      <w:r w:rsidRPr="0039574A">
        <w:t>Accreditation procedure</w:t>
      </w:r>
      <w:bookmarkEnd w:id="16"/>
      <w:bookmarkEnd w:id="17"/>
      <w:bookmarkEnd w:id="18"/>
    </w:p>
    <w:p w14:paraId="5EAEEBAA" w14:textId="500A3310" w:rsidR="003F6871" w:rsidRDefault="0048056F" w:rsidP="00AC309B">
      <w:pPr>
        <w:pStyle w:val="ListParagraph"/>
        <w:numPr>
          <w:ilvl w:val="0"/>
          <w:numId w:val="6"/>
        </w:numPr>
        <w:spacing w:line="360" w:lineRule="auto"/>
      </w:pPr>
      <w:r w:rsidRPr="003F6871">
        <w:t xml:space="preserve">Farms must be EUCAS accredited </w:t>
      </w:r>
      <w:proofErr w:type="gramStart"/>
      <w:r w:rsidRPr="003F6871">
        <w:t>in order to</w:t>
      </w:r>
      <w:proofErr w:type="gramEnd"/>
      <w:r w:rsidRPr="003F6871">
        <w:t xml:space="preserve"> produce animals th</w:t>
      </w:r>
      <w:r w:rsidR="009966F2">
        <w:t>at have</w:t>
      </w:r>
      <w:r w:rsidRPr="003F6871">
        <w:t xml:space="preserve"> meat </w:t>
      </w:r>
      <w:r w:rsidR="00537D76" w:rsidRPr="003F6871">
        <w:t xml:space="preserve">and meat products </w:t>
      </w:r>
      <w:r w:rsidRPr="003F6871">
        <w:t>of which is eligible for export to the EU.</w:t>
      </w:r>
      <w:r w:rsidR="004D1FE0" w:rsidRPr="004D1FE0">
        <w:t xml:space="preserve"> </w:t>
      </w:r>
    </w:p>
    <w:p w14:paraId="66EC18B8" w14:textId="77777777" w:rsidR="003F6871" w:rsidRDefault="0048056F" w:rsidP="00AC309B">
      <w:pPr>
        <w:pStyle w:val="ListParagraph"/>
        <w:numPr>
          <w:ilvl w:val="0"/>
          <w:numId w:val="6"/>
        </w:numPr>
        <w:spacing w:line="360" w:lineRule="auto"/>
      </w:pPr>
      <w:r w:rsidRPr="003F6871">
        <w:t>Before the department can grant accreditation, the manager must:</w:t>
      </w:r>
    </w:p>
    <w:p w14:paraId="308D3B2F" w14:textId="77777777" w:rsidR="004D1FE0" w:rsidRDefault="0048056F" w:rsidP="00AC309B">
      <w:pPr>
        <w:pStyle w:val="ListParagraph"/>
        <w:numPr>
          <w:ilvl w:val="1"/>
          <w:numId w:val="6"/>
        </w:numPr>
        <w:spacing w:line="360" w:lineRule="auto"/>
      </w:pPr>
      <w:r w:rsidRPr="003F6871">
        <w:t xml:space="preserve">Remove any HGP </w:t>
      </w:r>
      <w:r w:rsidR="00074D95" w:rsidRPr="003F6871">
        <w:t xml:space="preserve">or oestradiol </w:t>
      </w:r>
      <w:r w:rsidRPr="003F6871">
        <w:t>treated cattle or cattle not permitted to be on an accredited property (see section 2.2 for cattle permitted to be on an accredited farm</w:t>
      </w:r>
      <w:proofErr w:type="gramStart"/>
      <w:r w:rsidRPr="003F6871">
        <w:t>);</w:t>
      </w:r>
      <w:proofErr w:type="gramEnd"/>
    </w:p>
    <w:p w14:paraId="2F17B4DE" w14:textId="77777777" w:rsidR="004D1FE0" w:rsidRDefault="0048056F" w:rsidP="00AC309B">
      <w:pPr>
        <w:pStyle w:val="ListParagraph"/>
        <w:numPr>
          <w:ilvl w:val="1"/>
          <w:numId w:val="6"/>
        </w:numPr>
        <w:spacing w:line="360" w:lineRule="auto"/>
      </w:pPr>
      <w:r w:rsidRPr="004D1FE0">
        <w:t>Remove any HGPs</w:t>
      </w:r>
      <w:r w:rsidR="00074D95" w:rsidRPr="004D1FE0">
        <w:t xml:space="preserve"> or oestradiol </w:t>
      </w:r>
      <w:r w:rsidR="005779D2" w:rsidRPr="004D1FE0">
        <w:t xml:space="preserve">products </w:t>
      </w:r>
      <w:r w:rsidRPr="004D1FE0">
        <w:t xml:space="preserve">from the </w:t>
      </w:r>
      <w:proofErr w:type="gramStart"/>
      <w:r w:rsidRPr="004D1FE0">
        <w:t>property;</w:t>
      </w:r>
      <w:proofErr w:type="gramEnd"/>
    </w:p>
    <w:p w14:paraId="74B45804" w14:textId="77777777" w:rsidR="004D1FE0" w:rsidRDefault="0048056F" w:rsidP="00AC309B">
      <w:pPr>
        <w:pStyle w:val="ListParagraph"/>
        <w:numPr>
          <w:ilvl w:val="1"/>
          <w:numId w:val="6"/>
        </w:numPr>
        <w:spacing w:line="360" w:lineRule="auto"/>
      </w:pPr>
      <w:r w:rsidRPr="004D1FE0">
        <w:t xml:space="preserve">Identify all cattle on the property with an NLIS device (see </w:t>
      </w:r>
      <w:r w:rsidR="00715654" w:rsidRPr="004D1FE0">
        <w:t xml:space="preserve">section </w:t>
      </w:r>
      <w:r w:rsidRPr="004D1FE0">
        <w:t>2.3</w:t>
      </w:r>
      <w:r w:rsidR="00715654" w:rsidRPr="004D1FE0">
        <w:t xml:space="preserve"> for cattle identification requirements</w:t>
      </w:r>
      <w:r w:rsidRPr="004D1FE0">
        <w:t>); and</w:t>
      </w:r>
    </w:p>
    <w:p w14:paraId="5006735C" w14:textId="154AE15D" w:rsidR="0021462B" w:rsidRPr="004D1FE0" w:rsidRDefault="0048056F" w:rsidP="00AC309B">
      <w:pPr>
        <w:pStyle w:val="ListParagraph"/>
        <w:numPr>
          <w:ilvl w:val="1"/>
          <w:numId w:val="6"/>
        </w:numPr>
        <w:spacing w:line="360" w:lineRule="auto"/>
      </w:pPr>
      <w:r w:rsidRPr="004D1FE0">
        <w:t>Reconcile their account on the NLIS database.</w:t>
      </w:r>
    </w:p>
    <w:p w14:paraId="228473C7" w14:textId="47428E37" w:rsidR="0021462B" w:rsidRPr="0039574A" w:rsidRDefault="0048056F" w:rsidP="00AC309B">
      <w:pPr>
        <w:pStyle w:val="ListParagraph"/>
        <w:numPr>
          <w:ilvl w:val="0"/>
          <w:numId w:val="6"/>
        </w:numPr>
        <w:spacing w:line="360" w:lineRule="auto"/>
      </w:pPr>
      <w:r w:rsidRPr="0039574A">
        <w:t>A manager can obtain an application form for accreditation from the department by contacting the EUCAS help line on 1800 305 544 or from the department’s websit</w:t>
      </w:r>
      <w:r w:rsidR="00181ECB">
        <w:t>e</w:t>
      </w:r>
      <w:r w:rsidRPr="0039574A">
        <w:t xml:space="preserve">. The manager must submit a completed application form </w:t>
      </w:r>
      <w:r w:rsidR="005779D2" w:rsidRPr="0039574A">
        <w:t xml:space="preserve">to the department </w:t>
      </w:r>
      <w:r w:rsidRPr="0039574A">
        <w:t>with the appropriate attachments. The department will assess the application and may in some cases seek clarification and confirmation of answers from applicants.</w:t>
      </w:r>
      <w:r w:rsidR="001D5106">
        <w:t xml:space="preserve"> Please note that it may take up to 120 days for the approval process to </w:t>
      </w:r>
      <w:r w:rsidR="00833960">
        <w:t>be completed.</w:t>
      </w:r>
    </w:p>
    <w:p w14:paraId="08A2DA00" w14:textId="45D346FD" w:rsidR="00074D95" w:rsidRDefault="0048056F" w:rsidP="00AC309B">
      <w:pPr>
        <w:pStyle w:val="ListParagraph"/>
        <w:numPr>
          <w:ilvl w:val="0"/>
          <w:numId w:val="6"/>
        </w:numPr>
        <w:spacing w:line="360" w:lineRule="auto"/>
      </w:pPr>
      <w:r w:rsidRPr="0039574A">
        <w:t>If the application is approved, the department will accredit the farm</w:t>
      </w:r>
      <w:r w:rsidR="00290515">
        <w:t>, provide a notice of accreditation to the manager</w:t>
      </w:r>
      <w:r w:rsidR="00074D95">
        <w:t xml:space="preserve"> and update NLIS to reflect the EUCAS status</w:t>
      </w:r>
      <w:r w:rsidR="00290515">
        <w:t xml:space="preserve"> of the PIC</w:t>
      </w:r>
      <w:r w:rsidRPr="0039574A">
        <w:t xml:space="preserve">. </w:t>
      </w:r>
    </w:p>
    <w:p w14:paraId="6C87780B" w14:textId="516F7FEE" w:rsidR="00074D95" w:rsidRDefault="0048056F" w:rsidP="00AC309B">
      <w:pPr>
        <w:pStyle w:val="ListParagraph"/>
        <w:numPr>
          <w:ilvl w:val="0"/>
          <w:numId w:val="6"/>
        </w:numPr>
        <w:spacing w:line="360" w:lineRule="auto"/>
      </w:pPr>
      <w:r w:rsidRPr="0039574A">
        <w:t>The department grants accreditation</w:t>
      </w:r>
      <w:r w:rsidR="00290515">
        <w:t xml:space="preserve"> for a property for an initial period of</w:t>
      </w:r>
      <w:r w:rsidRPr="0039574A">
        <w:t xml:space="preserve"> 12 months unless the manager </w:t>
      </w:r>
      <w:r w:rsidR="00290515">
        <w:t xml:space="preserve">submits a written request to withdraw their </w:t>
      </w:r>
      <w:r w:rsidR="00833960">
        <w:t>accreditation,</w:t>
      </w:r>
      <w:r w:rsidR="00290515">
        <w:t xml:space="preserve"> </w:t>
      </w:r>
      <w:r w:rsidRPr="0039574A">
        <w:t xml:space="preserve">or the department revokes it. </w:t>
      </w:r>
      <w:r w:rsidR="00074D95" w:rsidRPr="0039574A">
        <w:t xml:space="preserve">The department will send </w:t>
      </w:r>
      <w:r w:rsidR="00290515">
        <w:t xml:space="preserve">a reminder to the manager before the end of the </w:t>
      </w:r>
      <w:r w:rsidR="00F72CFF">
        <w:t>12-month</w:t>
      </w:r>
      <w:r w:rsidR="00290515">
        <w:t xml:space="preserve"> period, providing the opportunity to renew their accreditation.</w:t>
      </w:r>
    </w:p>
    <w:p w14:paraId="4E5A6D96" w14:textId="3FA420EA" w:rsidR="0021462B" w:rsidRPr="0039574A" w:rsidRDefault="00074D95" w:rsidP="00AC309B">
      <w:pPr>
        <w:pStyle w:val="ListParagraph"/>
        <w:numPr>
          <w:ilvl w:val="0"/>
          <w:numId w:val="6"/>
        </w:numPr>
        <w:spacing w:line="360" w:lineRule="auto"/>
      </w:pPr>
      <w:r>
        <w:t>The manager must apply for a renewal of their accreditation before the end of the initial 12-month period to retain accreditation.</w:t>
      </w:r>
    </w:p>
    <w:p w14:paraId="7E2AFA97" w14:textId="32A67ABF" w:rsidR="0021462B" w:rsidRDefault="0048056F" w:rsidP="00AC309B">
      <w:pPr>
        <w:pStyle w:val="ListParagraph"/>
        <w:numPr>
          <w:ilvl w:val="0"/>
          <w:numId w:val="6"/>
        </w:numPr>
        <w:spacing w:line="360" w:lineRule="auto"/>
      </w:pPr>
      <w:r w:rsidRPr="0039574A">
        <w:t xml:space="preserve">The manager is legally responsible for ensuring compliance with all conditions of the property accreditation. This responsibility only ceases when the manager notifies the department in writing that they have </w:t>
      </w:r>
      <w:r w:rsidR="00074D95">
        <w:t>withdrawn</w:t>
      </w:r>
      <w:r w:rsidR="00074D95" w:rsidRPr="0039574A">
        <w:t xml:space="preserve"> </w:t>
      </w:r>
      <w:r w:rsidR="005779D2">
        <w:t xml:space="preserve">from </w:t>
      </w:r>
      <w:r w:rsidRPr="0039574A">
        <w:t>that responsibility. If the manager changes</w:t>
      </w:r>
      <w:r w:rsidR="00F72CFF">
        <w:t>,</w:t>
      </w:r>
      <w:r w:rsidRPr="0039574A">
        <w:t xml:space="preserve"> </w:t>
      </w:r>
      <w:r w:rsidR="00500960">
        <w:t xml:space="preserve">or the property is sold </w:t>
      </w:r>
      <w:r w:rsidRPr="0039574A">
        <w:t xml:space="preserve">and the new manager wants to continue EUCAS accreditation, they must apply immediately for </w:t>
      </w:r>
      <w:r w:rsidR="00074D95">
        <w:t xml:space="preserve">initial </w:t>
      </w:r>
      <w:r w:rsidRPr="0039574A">
        <w:t>accreditation</w:t>
      </w:r>
      <w:r w:rsidR="00074D95">
        <w:t xml:space="preserve"> as above. </w:t>
      </w:r>
      <w:r w:rsidRPr="0039574A">
        <w:t xml:space="preserve"> </w:t>
      </w:r>
    </w:p>
    <w:p w14:paraId="50DE8970" w14:textId="0DD0D744" w:rsidR="004F6B66" w:rsidRPr="004F6B66" w:rsidRDefault="00500960" w:rsidP="00AC309B">
      <w:pPr>
        <w:pStyle w:val="ListParagraph"/>
        <w:numPr>
          <w:ilvl w:val="0"/>
          <w:numId w:val="6"/>
        </w:numPr>
        <w:spacing w:line="360" w:lineRule="auto"/>
      </w:pPr>
      <w:r>
        <w:rPr>
          <w:rFonts w:cstheme="minorHAnsi"/>
        </w:rPr>
        <w:lastRenderedPageBreak/>
        <w:t xml:space="preserve"> </w:t>
      </w:r>
      <w:r w:rsidRPr="009F70C0">
        <w:rPr>
          <w:rFonts w:cstheme="minorHAnsi"/>
        </w:rPr>
        <w:t xml:space="preserve">If the manager wishes to withdraw their accreditation, they must </w:t>
      </w:r>
      <w:r w:rsidR="00252844">
        <w:rPr>
          <w:rFonts w:cstheme="minorHAnsi"/>
        </w:rPr>
        <w:t xml:space="preserve">inform the department and complete </w:t>
      </w:r>
      <w:r w:rsidR="00996144">
        <w:rPr>
          <w:rFonts w:cstheme="minorHAnsi"/>
        </w:rPr>
        <w:t xml:space="preserve">and submit </w:t>
      </w:r>
      <w:r w:rsidR="00252844">
        <w:rPr>
          <w:rFonts w:cstheme="minorHAnsi"/>
        </w:rPr>
        <w:t xml:space="preserve">the </w:t>
      </w:r>
      <w:r w:rsidR="00996144" w:rsidRPr="00996144">
        <w:rPr>
          <w:rFonts w:cstheme="minorHAnsi"/>
          <w:i/>
          <w:iCs/>
        </w:rPr>
        <w:t>Notification of withdrawal of a property from EUCAS accreditation</w:t>
      </w:r>
      <w:r w:rsidR="00996144">
        <w:rPr>
          <w:rFonts w:cstheme="minorHAnsi"/>
        </w:rPr>
        <w:t xml:space="preserve"> form to </w:t>
      </w:r>
      <w:hyperlink r:id="rId11" w:history="1">
        <w:r w:rsidR="00996144" w:rsidRPr="00674AA0">
          <w:rPr>
            <w:rStyle w:val="Hyperlink"/>
            <w:rFonts w:cstheme="minorHAnsi"/>
          </w:rPr>
          <w:t>EUCAS@agriculture.gov.au</w:t>
        </w:r>
      </w:hyperlink>
      <w:r>
        <w:rPr>
          <w:rFonts w:cstheme="minorHAnsi"/>
        </w:rPr>
        <w:t>.</w:t>
      </w:r>
      <w:bookmarkStart w:id="19" w:name="_Toc50728304"/>
    </w:p>
    <w:p w14:paraId="51DC70A9" w14:textId="503E71A4" w:rsidR="0021462B" w:rsidRPr="00D9449A" w:rsidRDefault="0048056F" w:rsidP="00AC309B">
      <w:pPr>
        <w:pStyle w:val="Heading3"/>
        <w:numPr>
          <w:ilvl w:val="1"/>
          <w:numId w:val="5"/>
        </w:numPr>
      </w:pPr>
      <w:bookmarkStart w:id="20" w:name="_Toc83365352"/>
      <w:r w:rsidRPr="00D9449A">
        <w:t>Cattle permitted on accredited farms</w:t>
      </w:r>
      <w:bookmarkEnd w:id="19"/>
      <w:bookmarkEnd w:id="20"/>
    </w:p>
    <w:p w14:paraId="10DADC56" w14:textId="77777777" w:rsidR="0021462B" w:rsidRPr="0039574A" w:rsidRDefault="0048056F" w:rsidP="00D9449A">
      <w:pPr>
        <w:spacing w:line="360" w:lineRule="auto"/>
        <w:ind w:firstLine="284"/>
      </w:pPr>
      <w:r w:rsidRPr="0039574A">
        <w:t>The only cattle permitted to be on accredited farms are:</w:t>
      </w:r>
    </w:p>
    <w:p w14:paraId="37439A05" w14:textId="4332FF85" w:rsidR="0021462B" w:rsidRPr="00AC309B" w:rsidRDefault="0048056F" w:rsidP="00AC309B">
      <w:pPr>
        <w:pStyle w:val="ListParagraph"/>
        <w:numPr>
          <w:ilvl w:val="0"/>
          <w:numId w:val="7"/>
        </w:numPr>
        <w:spacing w:line="360" w:lineRule="auto"/>
      </w:pPr>
      <w:bookmarkStart w:id="21" w:name="_Toc50728305"/>
      <w:r w:rsidRPr="00AC309B">
        <w:t>EUCAS cattle:</w:t>
      </w:r>
      <w:bookmarkEnd w:id="21"/>
    </w:p>
    <w:p w14:paraId="24DE8092" w14:textId="77777777" w:rsidR="00D9449A" w:rsidRDefault="0048056F" w:rsidP="00AC309B">
      <w:pPr>
        <w:pStyle w:val="ListParagraph"/>
        <w:numPr>
          <w:ilvl w:val="1"/>
          <w:numId w:val="6"/>
        </w:numPr>
        <w:spacing w:line="360" w:lineRule="auto"/>
      </w:pPr>
      <w:r w:rsidRPr="003F6871">
        <w:t xml:space="preserve">cattle born on the farm </w:t>
      </w:r>
      <w:r w:rsidR="00500960" w:rsidRPr="003F6871">
        <w:t xml:space="preserve">after accreditation </w:t>
      </w:r>
      <w:r w:rsidRPr="003F6871">
        <w:t>and that have never been treated with HGPs</w:t>
      </w:r>
      <w:r w:rsidR="00074D95" w:rsidRPr="003F6871">
        <w:t xml:space="preserve"> or </w:t>
      </w:r>
      <w:proofErr w:type="gramStart"/>
      <w:r w:rsidR="00074D95" w:rsidRPr="003F6871">
        <w:t>oestradiol;</w:t>
      </w:r>
      <w:proofErr w:type="gramEnd"/>
    </w:p>
    <w:p w14:paraId="6FBDC19C" w14:textId="77777777" w:rsidR="00D9449A" w:rsidRDefault="0048056F" w:rsidP="00AC309B">
      <w:pPr>
        <w:pStyle w:val="ListParagraph"/>
        <w:numPr>
          <w:ilvl w:val="1"/>
          <w:numId w:val="6"/>
        </w:numPr>
        <w:spacing w:line="360" w:lineRule="auto"/>
      </w:pPr>
      <w:r w:rsidRPr="00D9449A">
        <w:t xml:space="preserve">cattle raised under </w:t>
      </w:r>
      <w:r w:rsidR="00D25DBA" w:rsidRPr="00D9449A">
        <w:t>the manager’s</w:t>
      </w:r>
      <w:r w:rsidR="00074D95" w:rsidRPr="00D9449A">
        <w:t xml:space="preserve"> </w:t>
      </w:r>
      <w:r w:rsidR="00500960" w:rsidRPr="00D9449A">
        <w:t>control</w:t>
      </w:r>
      <w:r w:rsidR="00EC56F1" w:rsidRPr="00D9449A">
        <w:t>;</w:t>
      </w:r>
      <w:r w:rsidR="00500960" w:rsidRPr="00D9449A">
        <w:t xml:space="preserve"> either born on the property or</w:t>
      </w:r>
      <w:r w:rsidRPr="00D9449A">
        <w:t xml:space="preserve"> </w:t>
      </w:r>
      <w:r w:rsidR="00470EA1" w:rsidRPr="00D9449A">
        <w:t>introduced to the property prior to accreditation</w:t>
      </w:r>
      <w:r w:rsidR="00EC56F1" w:rsidRPr="00D9449A">
        <w:t>; have lifetime traceability status;</w:t>
      </w:r>
      <w:r w:rsidR="00470EA1" w:rsidRPr="00D9449A">
        <w:t xml:space="preserve"> </w:t>
      </w:r>
      <w:r w:rsidR="00EC56F1" w:rsidRPr="00D9449A">
        <w:t xml:space="preserve">and </w:t>
      </w:r>
      <w:r w:rsidRPr="00D9449A">
        <w:t>have never been treated with HGPs</w:t>
      </w:r>
      <w:r w:rsidR="00074D95" w:rsidRPr="00D9449A">
        <w:t xml:space="preserve"> or oestradiol</w:t>
      </w:r>
      <w:r w:rsidRPr="00D9449A">
        <w:t xml:space="preserve"> (these cattle will be subject to detailed verification checks</w:t>
      </w:r>
      <w:proofErr w:type="gramStart"/>
      <w:r w:rsidRPr="00D9449A">
        <w:t>)</w:t>
      </w:r>
      <w:r w:rsidR="00074D95" w:rsidRPr="00D9449A">
        <w:t>;</w:t>
      </w:r>
      <w:proofErr w:type="gramEnd"/>
      <w:r w:rsidR="00074D95" w:rsidRPr="00D9449A">
        <w:t xml:space="preserve"> </w:t>
      </w:r>
    </w:p>
    <w:p w14:paraId="07FBF842" w14:textId="4331FCD8" w:rsidR="0021462B" w:rsidRPr="00D9449A" w:rsidRDefault="0048056F" w:rsidP="00AC309B">
      <w:pPr>
        <w:pStyle w:val="ListParagraph"/>
        <w:numPr>
          <w:ilvl w:val="1"/>
          <w:numId w:val="6"/>
        </w:numPr>
        <w:spacing w:line="360" w:lineRule="auto"/>
      </w:pPr>
      <w:r w:rsidRPr="00D9449A">
        <w:t>cattle transferred from a property that was EUCAS accredited at the time of the transfer and the EUVD confirms that the cattle have not been treated with HGPs</w:t>
      </w:r>
      <w:r w:rsidR="00074D95" w:rsidRPr="00D9449A">
        <w:t xml:space="preserve"> or oestradiol</w:t>
      </w:r>
      <w:r w:rsidRPr="00D9449A">
        <w:t xml:space="preserve">. </w:t>
      </w:r>
    </w:p>
    <w:p w14:paraId="686FB2AC" w14:textId="77777777" w:rsidR="0021462B" w:rsidRPr="00AC309B" w:rsidRDefault="002A2CC9" w:rsidP="00AC309B">
      <w:pPr>
        <w:pStyle w:val="ListParagraph"/>
        <w:numPr>
          <w:ilvl w:val="0"/>
          <w:numId w:val="7"/>
        </w:numPr>
        <w:spacing w:line="360" w:lineRule="auto"/>
      </w:pPr>
      <w:bookmarkStart w:id="22" w:name="_Toc50728306"/>
      <w:r w:rsidRPr="00AC309B">
        <w:t>Non</w:t>
      </w:r>
      <w:r w:rsidR="0048056F" w:rsidRPr="00AC309B">
        <w:t>-EUCAS cattle</w:t>
      </w:r>
      <w:bookmarkEnd w:id="22"/>
    </w:p>
    <w:p w14:paraId="5C728C14" w14:textId="77777777" w:rsidR="00D9449A" w:rsidRDefault="00D019EE" w:rsidP="00AC309B">
      <w:pPr>
        <w:pStyle w:val="ListParagraph"/>
        <w:numPr>
          <w:ilvl w:val="0"/>
          <w:numId w:val="8"/>
        </w:numPr>
        <w:spacing w:line="360" w:lineRule="auto"/>
      </w:pPr>
      <w:r w:rsidRPr="00B656AC">
        <w:t>Non</w:t>
      </w:r>
      <w:r w:rsidR="00DF4652" w:rsidRPr="00B656AC">
        <w:t xml:space="preserve"> </w:t>
      </w:r>
      <w:r w:rsidRPr="00B656AC">
        <w:t>EU</w:t>
      </w:r>
      <w:r w:rsidR="00DF4652" w:rsidRPr="00B656AC">
        <w:t>CAS</w:t>
      </w:r>
      <w:r w:rsidRPr="00B656AC">
        <w:t xml:space="preserve"> </w:t>
      </w:r>
      <w:r w:rsidR="0048056F" w:rsidRPr="00B656AC">
        <w:t>breeding</w:t>
      </w:r>
      <w:r w:rsidR="00074D95" w:rsidRPr="00B656AC">
        <w:t xml:space="preserve"> cattle</w:t>
      </w:r>
      <w:r w:rsidR="0048056F" w:rsidRPr="00B656AC">
        <w:t xml:space="preserve"> </w:t>
      </w:r>
      <w:r w:rsidR="00074D95" w:rsidRPr="00B656AC">
        <w:t xml:space="preserve">for restocking purposes such as </w:t>
      </w:r>
      <w:r w:rsidR="0048056F" w:rsidRPr="00B656AC">
        <w:t xml:space="preserve">bulls and </w:t>
      </w:r>
      <w:r w:rsidR="00074D95" w:rsidRPr="00B656AC">
        <w:t xml:space="preserve">females </w:t>
      </w:r>
      <w:r w:rsidR="0046063D" w:rsidRPr="00B656AC">
        <w:t xml:space="preserve">(cows, </w:t>
      </w:r>
      <w:proofErr w:type="gramStart"/>
      <w:r w:rsidR="0046063D" w:rsidRPr="00B656AC">
        <w:t>heifers</w:t>
      </w:r>
      <w:proofErr w:type="gramEnd"/>
      <w:r w:rsidR="0046063D" w:rsidRPr="00B656AC">
        <w:t xml:space="preserve"> or pregnant females) </w:t>
      </w:r>
      <w:r w:rsidR="00074D95" w:rsidRPr="00B656AC">
        <w:t>do</w:t>
      </w:r>
      <w:r w:rsidR="0048056F" w:rsidRPr="00B656AC">
        <w:t xml:space="preserve"> not need to meet the above criteria of being born on the farm or transferred from a EUCAS accredited property, however they are not eligible</w:t>
      </w:r>
      <w:r w:rsidR="005779D2" w:rsidRPr="00B656AC">
        <w:t xml:space="preserve"> to be </w:t>
      </w:r>
      <w:r w:rsidR="00DF4652" w:rsidRPr="00B656AC">
        <w:t>used to produce meat and meat products destined</w:t>
      </w:r>
      <w:r w:rsidR="0048056F" w:rsidRPr="00B656AC">
        <w:t xml:space="preserve"> for the EU market</w:t>
      </w:r>
      <w:r w:rsidR="00500960" w:rsidRPr="00B656AC">
        <w:t>.</w:t>
      </w:r>
      <w:r w:rsidR="00AF6169" w:rsidRPr="00B656AC">
        <w:t xml:space="preserve"> </w:t>
      </w:r>
      <w:r w:rsidR="00D1619E" w:rsidRPr="00B656AC">
        <w:t>All non-EUCAS breeding bulls and breeding females must be HGP free</w:t>
      </w:r>
      <w:r w:rsidR="0048056F" w:rsidRPr="00B656AC">
        <w:t xml:space="preserve">. </w:t>
      </w:r>
      <w:r w:rsidR="00A2762E" w:rsidRPr="00B656AC">
        <w:t xml:space="preserve">Please note, cows with calves at foot are not eligible to enter a EUCAS accredited property. </w:t>
      </w:r>
    </w:p>
    <w:p w14:paraId="5968A9C9" w14:textId="77777777" w:rsidR="00D9449A" w:rsidRPr="00D9449A" w:rsidRDefault="00D1619E" w:rsidP="00AC309B">
      <w:pPr>
        <w:pStyle w:val="ListParagraph"/>
        <w:numPr>
          <w:ilvl w:val="0"/>
          <w:numId w:val="8"/>
        </w:numPr>
        <w:spacing w:line="360" w:lineRule="auto"/>
      </w:pPr>
      <w:r w:rsidRPr="00D9449A">
        <w:rPr>
          <w:rFonts w:cstheme="minorHAnsi"/>
        </w:rPr>
        <w:t>For non-EUCAS breeding females to be eligible to enter a EUCAS property, they must be HGP free and have lifetime traceability in the NLIS database. If the non-EUCAS breeding females are not HGP free (</w:t>
      </w:r>
      <w:proofErr w:type="gramStart"/>
      <w:r w:rsidRPr="00D9449A">
        <w:rPr>
          <w:rFonts w:cstheme="minorHAnsi"/>
        </w:rPr>
        <w:t>i.e.</w:t>
      </w:r>
      <w:proofErr w:type="gramEnd"/>
      <w:r w:rsidRPr="00D9449A">
        <w:rPr>
          <w:rFonts w:cstheme="minorHAnsi"/>
        </w:rPr>
        <w:t xml:space="preserve"> the NVD for the cattle declares they have been treated with HGP) they will not be eligible to be on an accredited property. </w:t>
      </w:r>
    </w:p>
    <w:p w14:paraId="7776A323" w14:textId="77777777" w:rsidR="00D9449A" w:rsidRPr="00D9449A" w:rsidRDefault="00D1619E" w:rsidP="00AC309B">
      <w:pPr>
        <w:pStyle w:val="ListParagraph"/>
        <w:numPr>
          <w:ilvl w:val="0"/>
          <w:numId w:val="8"/>
        </w:numPr>
        <w:spacing w:line="360" w:lineRule="auto"/>
      </w:pPr>
      <w:r w:rsidRPr="00D9449A">
        <w:rPr>
          <w:rFonts w:cstheme="minorHAnsi"/>
        </w:rPr>
        <w:t xml:space="preserve">If non-EUCAS breeding females do not have lifetime traceability in the NLIS database, the department will notify the manager. Lifetime traceability will either need to be restored (if possible) or the non-EUCAS breeding female will not be eligible to be on an accredited property. </w:t>
      </w:r>
    </w:p>
    <w:p w14:paraId="0DA8D9A5" w14:textId="73A0B618" w:rsidR="004F6B66" w:rsidRPr="00D9449A" w:rsidRDefault="00D1619E" w:rsidP="00AC309B">
      <w:pPr>
        <w:pStyle w:val="ListParagraph"/>
        <w:numPr>
          <w:ilvl w:val="0"/>
          <w:numId w:val="8"/>
        </w:numPr>
        <w:spacing w:line="360" w:lineRule="auto"/>
      </w:pPr>
      <w:r w:rsidRPr="00D9449A">
        <w:rPr>
          <w:rFonts w:cstheme="minorHAnsi"/>
        </w:rPr>
        <w:t xml:space="preserve">If the non-EUCAS breeding cattle are eligible, the future progeny of these cattle will be EUCAS eligible. Once a non-EUCAS breeding female has been identified as </w:t>
      </w:r>
      <w:r w:rsidRPr="00D9449A">
        <w:rPr>
          <w:rFonts w:cstheme="minorHAnsi"/>
        </w:rPr>
        <w:lastRenderedPageBreak/>
        <w:t xml:space="preserve">eligible to enter a EUCAS accredited property, the eligible non-EUCAS breeding female may be transferred/sold to any other EUCAS accredited property. </w:t>
      </w:r>
      <w:bookmarkStart w:id="23" w:name="_Toc50728307"/>
    </w:p>
    <w:p w14:paraId="4F3279A2" w14:textId="557D5B73" w:rsidR="0021462B" w:rsidRPr="00D9449A" w:rsidRDefault="004F6B66" w:rsidP="00155E40">
      <w:pPr>
        <w:pStyle w:val="Heading3"/>
        <w:numPr>
          <w:ilvl w:val="1"/>
          <w:numId w:val="5"/>
        </w:numPr>
      </w:pPr>
      <w:r>
        <w:rPr>
          <w:rFonts w:cstheme="minorHAnsi"/>
          <w:szCs w:val="22"/>
        </w:rPr>
        <w:br w:type="page"/>
      </w:r>
      <w:bookmarkStart w:id="24" w:name="_Toc83365353"/>
      <w:r w:rsidR="0048056F" w:rsidRPr="00D9449A">
        <w:lastRenderedPageBreak/>
        <w:t>Individual identification</w:t>
      </w:r>
      <w:bookmarkEnd w:id="23"/>
      <w:bookmarkEnd w:id="24"/>
    </w:p>
    <w:p w14:paraId="67A73180" w14:textId="77777777" w:rsidR="00D9449A" w:rsidRDefault="0048056F" w:rsidP="00AC309B">
      <w:pPr>
        <w:pStyle w:val="ListParagraph"/>
        <w:numPr>
          <w:ilvl w:val="0"/>
          <w:numId w:val="9"/>
        </w:numPr>
        <w:spacing w:line="360" w:lineRule="auto"/>
        <w:rPr>
          <w:rFonts w:cstheme="minorHAnsi"/>
        </w:rPr>
      </w:pPr>
      <w:r w:rsidRPr="00D9449A">
        <w:rPr>
          <w:rFonts w:cstheme="minorHAnsi"/>
        </w:rPr>
        <w:t>All weaned cattle (</w:t>
      </w:r>
      <w:proofErr w:type="gramStart"/>
      <w:r w:rsidRPr="00D9449A">
        <w:rPr>
          <w:rFonts w:cstheme="minorHAnsi"/>
        </w:rPr>
        <w:t>with the exception of</w:t>
      </w:r>
      <w:proofErr w:type="gramEnd"/>
      <w:r w:rsidRPr="00D9449A">
        <w:rPr>
          <w:rFonts w:cstheme="minorHAnsi"/>
        </w:rPr>
        <w:t xml:space="preserve"> mature breeding bulls) on a EUCAS accredited farm must be individually identified by the end of the first 12 months of accreditation</w:t>
      </w:r>
      <w:r w:rsidR="00486DCA" w:rsidRPr="00D9449A">
        <w:rPr>
          <w:rFonts w:cstheme="minorHAnsi"/>
        </w:rPr>
        <w:t>,</w:t>
      </w:r>
      <w:r w:rsidR="00B859CF" w:rsidRPr="00D9449A">
        <w:rPr>
          <w:rFonts w:cstheme="minorHAnsi"/>
        </w:rPr>
        <w:t xml:space="preserve"> or before they leave the farm.</w:t>
      </w:r>
    </w:p>
    <w:p w14:paraId="175C9AAB" w14:textId="3261A943" w:rsidR="00B656AC" w:rsidRPr="00D9449A" w:rsidRDefault="0048056F" w:rsidP="00AC309B">
      <w:pPr>
        <w:pStyle w:val="ListParagraph"/>
        <w:numPr>
          <w:ilvl w:val="0"/>
          <w:numId w:val="9"/>
        </w:numPr>
        <w:spacing w:line="360" w:lineRule="auto"/>
        <w:rPr>
          <w:rFonts w:cstheme="minorHAnsi"/>
        </w:rPr>
      </w:pPr>
      <w:r w:rsidRPr="00D9449A">
        <w:t>In the following cases, cattle must be identified before the end of the first 12 months of accreditation:</w:t>
      </w:r>
    </w:p>
    <w:p w14:paraId="48B33869" w14:textId="3A264D10" w:rsidR="00D9449A" w:rsidRDefault="0048056F" w:rsidP="00AC309B">
      <w:pPr>
        <w:pStyle w:val="ListParagraph"/>
        <w:numPr>
          <w:ilvl w:val="0"/>
          <w:numId w:val="10"/>
        </w:numPr>
        <w:spacing w:line="360" w:lineRule="auto"/>
      </w:pPr>
      <w:r w:rsidRPr="00B656AC">
        <w:t xml:space="preserve">calves born on the farm after accreditation must be identified by the time they are </w:t>
      </w:r>
      <w:proofErr w:type="gramStart"/>
      <w:r w:rsidRPr="00B656AC">
        <w:t>weaned</w:t>
      </w:r>
      <w:r w:rsidR="00A17668">
        <w:t>;</w:t>
      </w:r>
      <w:proofErr w:type="gramEnd"/>
    </w:p>
    <w:p w14:paraId="7F5DB9CD" w14:textId="6A67282A" w:rsidR="00D9449A" w:rsidRDefault="0048056F" w:rsidP="00AC309B">
      <w:pPr>
        <w:pStyle w:val="ListParagraph"/>
        <w:numPr>
          <w:ilvl w:val="0"/>
          <w:numId w:val="10"/>
        </w:numPr>
        <w:spacing w:line="360" w:lineRule="auto"/>
      </w:pPr>
      <w:r w:rsidRPr="00D9449A">
        <w:t xml:space="preserve">EUCAS cattle consigned to an accredited farm, feedlot, saleyard or EU listed abattoir must be identified before they leave the </w:t>
      </w:r>
      <w:proofErr w:type="gramStart"/>
      <w:r w:rsidRPr="00D9449A">
        <w:t>farm</w:t>
      </w:r>
      <w:r w:rsidR="00A17668">
        <w:t>;</w:t>
      </w:r>
      <w:proofErr w:type="gramEnd"/>
    </w:p>
    <w:p w14:paraId="03ABB202" w14:textId="7541FB97" w:rsidR="004F6B66" w:rsidRPr="00D9449A" w:rsidRDefault="0048056F" w:rsidP="00AC309B">
      <w:pPr>
        <w:pStyle w:val="ListParagraph"/>
        <w:numPr>
          <w:ilvl w:val="0"/>
          <w:numId w:val="10"/>
        </w:numPr>
        <w:spacing w:line="360" w:lineRule="auto"/>
      </w:pPr>
      <w:r w:rsidRPr="00D9449A">
        <w:t>EUCAS cattle moved from the farm for limited periods to agricultural shows, camp drafting events etc</w:t>
      </w:r>
      <w:r w:rsidR="00D1619E" w:rsidRPr="00D9449A">
        <w:t xml:space="preserve"> </w:t>
      </w:r>
      <w:r w:rsidR="00D1619E" w:rsidRPr="00D9449A">
        <w:rPr>
          <w:rFonts w:cstheme="minorHAnsi"/>
        </w:rPr>
        <w:t>must be identified before they leave the farm.</w:t>
      </w:r>
      <w:r w:rsidR="00DF4652" w:rsidRPr="00D9449A">
        <w:t xml:space="preserve"> </w:t>
      </w:r>
      <w:bookmarkStart w:id="25" w:name="_Toc44380830"/>
      <w:bookmarkStart w:id="26" w:name="_Toc50728308"/>
    </w:p>
    <w:p w14:paraId="1A0450FD" w14:textId="0A4AF706" w:rsidR="0021462B" w:rsidRPr="00D9449A" w:rsidRDefault="0048056F" w:rsidP="00AC309B">
      <w:pPr>
        <w:pStyle w:val="Heading3"/>
        <w:numPr>
          <w:ilvl w:val="1"/>
          <w:numId w:val="5"/>
        </w:numPr>
      </w:pPr>
      <w:bookmarkStart w:id="27" w:name="_Toc83365354"/>
      <w:r w:rsidRPr="00D9449A">
        <w:t>Lost individual identification</w:t>
      </w:r>
      <w:bookmarkEnd w:id="25"/>
      <w:bookmarkEnd w:id="26"/>
      <w:bookmarkEnd w:id="27"/>
    </w:p>
    <w:p w14:paraId="0F7AD02F" w14:textId="77777777" w:rsidR="00D9449A" w:rsidRDefault="0048056F" w:rsidP="00AC309B">
      <w:pPr>
        <w:pStyle w:val="ListParagraph"/>
        <w:numPr>
          <w:ilvl w:val="0"/>
          <w:numId w:val="11"/>
        </w:numPr>
        <w:spacing w:line="360" w:lineRule="auto"/>
        <w:rPr>
          <w:rFonts w:cstheme="minorHAnsi"/>
        </w:rPr>
      </w:pPr>
      <w:r w:rsidRPr="00D9449A">
        <w:rPr>
          <w:rFonts w:cstheme="minorHAnsi"/>
        </w:rPr>
        <w:t>The manager is responsible for replacing lost RFID</w:t>
      </w:r>
      <w:r w:rsidR="00D1619E" w:rsidRPr="00D9449A">
        <w:rPr>
          <w:rFonts w:cstheme="minorHAnsi"/>
        </w:rPr>
        <w:t>(</w:t>
      </w:r>
      <w:r w:rsidRPr="00D9449A">
        <w:rPr>
          <w:rFonts w:cstheme="minorHAnsi"/>
        </w:rPr>
        <w:t>s</w:t>
      </w:r>
      <w:r w:rsidR="00D1619E" w:rsidRPr="00D9449A">
        <w:rPr>
          <w:rFonts w:cstheme="minorHAnsi"/>
        </w:rPr>
        <w:t>)</w:t>
      </w:r>
      <w:r w:rsidRPr="00D9449A">
        <w:rPr>
          <w:rFonts w:cstheme="minorHAnsi"/>
        </w:rPr>
        <w:t xml:space="preserve"> at the earliest possible opportunity. If the manager cannot verify the identity of the individual animal by a secondary method of identification, the animal must be removed from the property and the NLIS database notified that the animal is no longer EU eligible.</w:t>
      </w:r>
    </w:p>
    <w:p w14:paraId="0C3A4E84" w14:textId="6684CB5E" w:rsidR="00B656AC" w:rsidRPr="00D9449A" w:rsidRDefault="0048056F" w:rsidP="00AC309B">
      <w:pPr>
        <w:pStyle w:val="ListParagraph"/>
        <w:numPr>
          <w:ilvl w:val="0"/>
          <w:numId w:val="11"/>
        </w:numPr>
        <w:spacing w:line="360" w:lineRule="auto"/>
        <w:rPr>
          <w:rFonts w:cstheme="minorHAnsi"/>
        </w:rPr>
      </w:pPr>
      <w:r w:rsidRPr="00D9449A">
        <w:t>The manager must keep the following records whenever replacement-RFIDs are used:</w:t>
      </w:r>
    </w:p>
    <w:p w14:paraId="7A47D73A" w14:textId="7CD4DFCA" w:rsidR="00AC309B" w:rsidRDefault="0048056F" w:rsidP="00AC309B">
      <w:pPr>
        <w:pStyle w:val="ListParagraph"/>
        <w:numPr>
          <w:ilvl w:val="0"/>
          <w:numId w:val="12"/>
        </w:numPr>
        <w:spacing w:line="360" w:lineRule="auto"/>
      </w:pPr>
      <w:r w:rsidRPr="00B656AC">
        <w:t>NLIS or RFID number of replacement-</w:t>
      </w:r>
      <w:proofErr w:type="gramStart"/>
      <w:r w:rsidRPr="00B656AC">
        <w:t>RFID</w:t>
      </w:r>
      <w:r w:rsidR="00BC1FFA">
        <w:t>;</w:t>
      </w:r>
      <w:proofErr w:type="gramEnd"/>
    </w:p>
    <w:p w14:paraId="3CEA0272" w14:textId="0D9A45E4" w:rsidR="00AC309B" w:rsidRDefault="0048056F" w:rsidP="00AC309B">
      <w:pPr>
        <w:pStyle w:val="ListParagraph"/>
        <w:numPr>
          <w:ilvl w:val="0"/>
          <w:numId w:val="12"/>
        </w:numPr>
        <w:spacing w:line="360" w:lineRule="auto"/>
      </w:pPr>
      <w:r w:rsidRPr="00AC309B">
        <w:t xml:space="preserve">NLIS or RFID number of lost device, if </w:t>
      </w:r>
      <w:proofErr w:type="gramStart"/>
      <w:r w:rsidRPr="00AC309B">
        <w:t>known</w:t>
      </w:r>
      <w:r w:rsidR="00BC1FFA">
        <w:t>;</w:t>
      </w:r>
      <w:proofErr w:type="gramEnd"/>
    </w:p>
    <w:p w14:paraId="1FFA0832" w14:textId="7277F8E4" w:rsidR="00AC309B" w:rsidRDefault="0048056F" w:rsidP="00AC309B">
      <w:pPr>
        <w:pStyle w:val="ListParagraph"/>
        <w:numPr>
          <w:ilvl w:val="0"/>
          <w:numId w:val="12"/>
        </w:numPr>
        <w:spacing w:line="360" w:lineRule="auto"/>
      </w:pPr>
      <w:r w:rsidRPr="00AC309B">
        <w:t xml:space="preserve">the date of </w:t>
      </w:r>
      <w:proofErr w:type="gramStart"/>
      <w:r w:rsidRPr="00AC309B">
        <w:t>replacement</w:t>
      </w:r>
      <w:r w:rsidR="00BC1FFA">
        <w:t>;</w:t>
      </w:r>
      <w:proofErr w:type="gramEnd"/>
    </w:p>
    <w:p w14:paraId="23423DF5" w14:textId="7F944473" w:rsidR="00AC309B" w:rsidRDefault="0048056F" w:rsidP="00AC309B">
      <w:pPr>
        <w:pStyle w:val="ListParagraph"/>
        <w:numPr>
          <w:ilvl w:val="0"/>
          <w:numId w:val="12"/>
        </w:numPr>
        <w:spacing w:line="360" w:lineRule="auto"/>
      </w:pPr>
      <w:r w:rsidRPr="00AC309B">
        <w:t xml:space="preserve">colour of the replacement </w:t>
      </w:r>
      <w:proofErr w:type="gramStart"/>
      <w:r w:rsidRPr="00AC309B">
        <w:t>RFID</w:t>
      </w:r>
      <w:r w:rsidR="00BC1FFA">
        <w:t>;</w:t>
      </w:r>
      <w:proofErr w:type="gramEnd"/>
    </w:p>
    <w:p w14:paraId="2645CF63" w14:textId="7612F945" w:rsidR="00AC309B" w:rsidRDefault="0048056F" w:rsidP="00AC309B">
      <w:pPr>
        <w:pStyle w:val="ListParagraph"/>
        <w:numPr>
          <w:ilvl w:val="0"/>
          <w:numId w:val="12"/>
        </w:numPr>
        <w:spacing w:line="360" w:lineRule="auto"/>
      </w:pPr>
      <w:r w:rsidRPr="00AC309B">
        <w:t xml:space="preserve">if a white breeder RFID is used, the information required to establish </w:t>
      </w:r>
      <w:bookmarkStart w:id="28" w:name="_Toc44380831"/>
      <w:r w:rsidRPr="00AC309B">
        <w:t>the property on which the animal was born</w:t>
      </w:r>
      <w:r w:rsidR="00BC1FFA">
        <w:t>;</w:t>
      </w:r>
      <w:r w:rsidRPr="00AC309B">
        <w:t xml:space="preserve"> and</w:t>
      </w:r>
    </w:p>
    <w:p w14:paraId="1B5BC82F" w14:textId="50F1B1E5" w:rsidR="00137297" w:rsidRPr="00AC309B" w:rsidRDefault="0048056F" w:rsidP="00AC309B">
      <w:pPr>
        <w:pStyle w:val="ListParagraph"/>
        <w:numPr>
          <w:ilvl w:val="0"/>
          <w:numId w:val="12"/>
        </w:numPr>
        <w:spacing w:line="360" w:lineRule="auto"/>
      </w:pPr>
      <w:r w:rsidRPr="00AC309B">
        <w:t>Details of any secondary method of identification used</w:t>
      </w:r>
      <w:bookmarkStart w:id="29" w:name="_Toc50728309"/>
      <w:r w:rsidR="00BC1FFA">
        <w:t>.</w:t>
      </w:r>
    </w:p>
    <w:p w14:paraId="082A599C" w14:textId="6CF08279" w:rsidR="0021462B" w:rsidRPr="00D9449A" w:rsidRDefault="0048056F" w:rsidP="00AC309B">
      <w:pPr>
        <w:pStyle w:val="Heading3"/>
        <w:numPr>
          <w:ilvl w:val="1"/>
          <w:numId w:val="5"/>
        </w:numPr>
      </w:pPr>
      <w:bookmarkStart w:id="30" w:name="_Toc83365355"/>
      <w:r w:rsidRPr="00D9449A">
        <w:t>Cattle movements</w:t>
      </w:r>
      <w:bookmarkEnd w:id="28"/>
      <w:bookmarkEnd w:id="29"/>
      <w:bookmarkEnd w:id="30"/>
    </w:p>
    <w:p w14:paraId="07175263" w14:textId="77777777" w:rsidR="00AC309B" w:rsidRDefault="0048056F" w:rsidP="00AC309B">
      <w:pPr>
        <w:pStyle w:val="ListParagraph"/>
        <w:numPr>
          <w:ilvl w:val="0"/>
          <w:numId w:val="13"/>
        </w:numPr>
        <w:spacing w:line="360" w:lineRule="auto"/>
        <w:rPr>
          <w:rFonts w:cstheme="minorHAnsi"/>
        </w:rPr>
      </w:pPr>
      <w:r w:rsidRPr="00AC309B">
        <w:rPr>
          <w:rFonts w:cstheme="minorHAnsi"/>
        </w:rPr>
        <w:t xml:space="preserve">The manager is responsible for ensuring all movements of cattle transferred on and off an accredited farm have been recorded in the NLIS database. This is to ensure the integrity of EUCAS and is additional to state or territory requirements. </w:t>
      </w:r>
    </w:p>
    <w:p w14:paraId="5645A5FD" w14:textId="3851F1B3" w:rsidR="00AC309B" w:rsidRPr="00AC309B" w:rsidRDefault="00D019EE" w:rsidP="00AC309B">
      <w:pPr>
        <w:pStyle w:val="ListParagraph"/>
        <w:numPr>
          <w:ilvl w:val="0"/>
          <w:numId w:val="13"/>
        </w:numPr>
        <w:spacing w:line="360" w:lineRule="auto"/>
        <w:rPr>
          <w:rFonts w:cstheme="minorHAnsi"/>
        </w:rPr>
      </w:pPr>
      <w:r w:rsidRPr="00AC309B">
        <w:t>For EU</w:t>
      </w:r>
      <w:r w:rsidR="00DB3C22" w:rsidRPr="00D9449A">
        <w:rPr>
          <w:rFonts w:cstheme="minorHAnsi"/>
        </w:rPr>
        <w:t>-</w:t>
      </w:r>
      <w:r w:rsidRPr="00AC309B">
        <w:t xml:space="preserve">eligible cattle, a correctly completed EUVD (either the original for hard copy EUVDs, or an </w:t>
      </w:r>
      <w:proofErr w:type="spellStart"/>
      <w:r w:rsidRPr="00AC309B">
        <w:t>eEUVD</w:t>
      </w:r>
      <w:proofErr w:type="spellEnd"/>
      <w:r w:rsidRPr="00AC309B">
        <w:t xml:space="preserve">) must accompany EUCAS cattle </w:t>
      </w:r>
      <w:r w:rsidR="00D1619E" w:rsidRPr="00AC309B">
        <w:t xml:space="preserve">moved </w:t>
      </w:r>
      <w:r w:rsidRPr="00AC309B">
        <w:t>from one accredited property to another accredited property or EU</w:t>
      </w:r>
      <w:r w:rsidR="00DB3C22" w:rsidRPr="00D9449A">
        <w:rPr>
          <w:rFonts w:cstheme="minorHAnsi"/>
        </w:rPr>
        <w:t>-</w:t>
      </w:r>
      <w:r w:rsidRPr="00AC309B">
        <w:t xml:space="preserve">listed abattoir. </w:t>
      </w:r>
      <w:bookmarkStart w:id="31" w:name="_Hlk50727447"/>
      <w:bookmarkStart w:id="32" w:name="_Hlk50727356"/>
    </w:p>
    <w:p w14:paraId="606A820F" w14:textId="77777777" w:rsidR="00AC309B" w:rsidRPr="00AC309B" w:rsidRDefault="0048056F" w:rsidP="00AC309B">
      <w:pPr>
        <w:pStyle w:val="ListParagraph"/>
        <w:numPr>
          <w:ilvl w:val="0"/>
          <w:numId w:val="13"/>
        </w:numPr>
        <w:spacing w:line="360" w:lineRule="auto"/>
        <w:rPr>
          <w:rFonts w:cstheme="minorHAnsi"/>
        </w:rPr>
      </w:pPr>
      <w:r w:rsidRPr="00AC309B">
        <w:lastRenderedPageBreak/>
        <w:t xml:space="preserve">Managers of accredited farms may allow neighbours to move non-EUCAS cattle on to an accredited farm to enable </w:t>
      </w:r>
      <w:bookmarkEnd w:id="31"/>
      <w:r w:rsidRPr="00AC309B">
        <w:t xml:space="preserve">the use of yards and similar equipment. Conversely, managers of accredited farms may use facilities on non-accredited farms </w:t>
      </w:r>
      <w:bookmarkEnd w:id="32"/>
      <w:r w:rsidRPr="00AC309B">
        <w:t xml:space="preserve">for short-term purposes (including branding, </w:t>
      </w:r>
      <w:proofErr w:type="gramStart"/>
      <w:r w:rsidRPr="00AC309B">
        <w:t>vaccinating</w:t>
      </w:r>
      <w:proofErr w:type="gramEnd"/>
      <w:r w:rsidRPr="00AC309B">
        <w:t xml:space="preserve"> and loading)</w:t>
      </w:r>
      <w:r w:rsidR="00D1619E" w:rsidRPr="00AC309B">
        <w:t xml:space="preserve"> as long as segregation from non-EUCAS cattle is maintained</w:t>
      </w:r>
      <w:r w:rsidRPr="00AC309B">
        <w:t>. The manager must keep records of these movements.</w:t>
      </w:r>
    </w:p>
    <w:p w14:paraId="48457906" w14:textId="03CAFF33" w:rsidR="00B656AC" w:rsidRPr="00AC309B" w:rsidRDefault="0048056F" w:rsidP="00AC309B">
      <w:pPr>
        <w:pStyle w:val="ListParagraph"/>
        <w:numPr>
          <w:ilvl w:val="0"/>
          <w:numId w:val="13"/>
        </w:numPr>
        <w:spacing w:line="360" w:lineRule="auto"/>
        <w:rPr>
          <w:rFonts w:cstheme="minorHAnsi"/>
        </w:rPr>
      </w:pPr>
      <w:r w:rsidRPr="00AC309B">
        <w:t>Cattle in EUCAS may only move to ‘eligible destinations’ to maintain their status as EUCAS cattle.</w:t>
      </w:r>
      <w:r w:rsidR="00FF7E54" w:rsidRPr="00AC309B">
        <w:t xml:space="preserve"> Managers unsure whether a particular destination or purpose is allowed under EUCAS should contact the department on 1800 305 544 or by email at</w:t>
      </w:r>
      <w:hyperlink r:id="rId12" w:history="1">
        <w:r w:rsidR="00DB3C22" w:rsidRPr="00674AA0">
          <w:rPr>
            <w:rStyle w:val="Hyperlink"/>
          </w:rPr>
          <w:t xml:space="preserve"> EUCAS@agriculture.gov.au</w:t>
        </w:r>
      </w:hyperlink>
      <w:r w:rsidR="00FF7E54" w:rsidRPr="00AC309B">
        <w:t xml:space="preserve"> for advice</w:t>
      </w:r>
      <w:r w:rsidR="00181ECB" w:rsidRPr="00AC309B">
        <w:t>.</w:t>
      </w:r>
      <w:r w:rsidRPr="00AC309B">
        <w:t xml:space="preserve"> Eligible destinations are:</w:t>
      </w:r>
    </w:p>
    <w:p w14:paraId="2713D3B0" w14:textId="1DACEB92" w:rsidR="00AC309B" w:rsidRDefault="0048056F" w:rsidP="00AC309B">
      <w:pPr>
        <w:pStyle w:val="ListParagraph"/>
        <w:numPr>
          <w:ilvl w:val="0"/>
          <w:numId w:val="14"/>
        </w:numPr>
        <w:spacing w:line="360" w:lineRule="auto"/>
      </w:pPr>
      <w:r w:rsidRPr="00B656AC">
        <w:t xml:space="preserve">accredited </w:t>
      </w:r>
      <w:proofErr w:type="gramStart"/>
      <w:r w:rsidRPr="00B656AC">
        <w:t>farms</w:t>
      </w:r>
      <w:r w:rsidR="00DB3C22">
        <w:t>;</w:t>
      </w:r>
      <w:proofErr w:type="gramEnd"/>
    </w:p>
    <w:p w14:paraId="0ADA8EDC" w14:textId="0DD601AE" w:rsidR="00AC309B" w:rsidRDefault="0048056F" w:rsidP="00AC309B">
      <w:pPr>
        <w:pStyle w:val="ListParagraph"/>
        <w:numPr>
          <w:ilvl w:val="0"/>
          <w:numId w:val="14"/>
        </w:numPr>
        <w:spacing w:line="360" w:lineRule="auto"/>
      </w:pPr>
      <w:r w:rsidRPr="00AC309B">
        <w:t xml:space="preserve">accredited </w:t>
      </w:r>
      <w:proofErr w:type="gramStart"/>
      <w:r w:rsidRPr="00AC309B">
        <w:t>feedlots</w:t>
      </w:r>
      <w:r w:rsidR="00DB3C22">
        <w:t>;</w:t>
      </w:r>
      <w:proofErr w:type="gramEnd"/>
    </w:p>
    <w:p w14:paraId="3BF2C737" w14:textId="16BD5381" w:rsidR="00AC309B" w:rsidRDefault="0048056F" w:rsidP="00AC309B">
      <w:pPr>
        <w:pStyle w:val="ListParagraph"/>
        <w:numPr>
          <w:ilvl w:val="0"/>
          <w:numId w:val="14"/>
        </w:numPr>
        <w:spacing w:line="360" w:lineRule="auto"/>
      </w:pPr>
      <w:r w:rsidRPr="00AC309B">
        <w:t>accredited saleyards for designated EU</w:t>
      </w:r>
      <w:r w:rsidR="00DB3C22">
        <w:t>-</w:t>
      </w:r>
      <w:r w:rsidRPr="00AC309B">
        <w:t xml:space="preserve">eligible cattle </w:t>
      </w:r>
      <w:proofErr w:type="gramStart"/>
      <w:r w:rsidRPr="00AC309B">
        <w:t>sales</w:t>
      </w:r>
      <w:r w:rsidR="00DB3C22">
        <w:t>;</w:t>
      </w:r>
      <w:proofErr w:type="gramEnd"/>
    </w:p>
    <w:p w14:paraId="6D80B55A" w14:textId="6D78ED67" w:rsidR="00AC309B" w:rsidRDefault="0048056F" w:rsidP="00AC309B">
      <w:pPr>
        <w:pStyle w:val="ListParagraph"/>
        <w:numPr>
          <w:ilvl w:val="0"/>
          <w:numId w:val="14"/>
        </w:numPr>
        <w:spacing w:line="360" w:lineRule="auto"/>
      </w:pPr>
      <w:r w:rsidRPr="00AC309B">
        <w:t>EU</w:t>
      </w:r>
      <w:r w:rsidR="00DB3C22">
        <w:t>-</w:t>
      </w:r>
      <w:r w:rsidRPr="00AC309B">
        <w:t xml:space="preserve">listed abattoirs for </w:t>
      </w:r>
      <w:proofErr w:type="gramStart"/>
      <w:r w:rsidRPr="00AC309B">
        <w:t>slaughter</w:t>
      </w:r>
      <w:r w:rsidR="00DB3C22">
        <w:t>;</w:t>
      </w:r>
      <w:proofErr w:type="gramEnd"/>
    </w:p>
    <w:p w14:paraId="21F4D6D3" w14:textId="53386D92" w:rsidR="00FF7E54" w:rsidRPr="00AC309B" w:rsidRDefault="0048056F" w:rsidP="00AC309B">
      <w:pPr>
        <w:pStyle w:val="ListParagraph"/>
        <w:numPr>
          <w:ilvl w:val="0"/>
          <w:numId w:val="14"/>
        </w:numPr>
        <w:spacing w:line="360" w:lineRule="auto"/>
      </w:pPr>
      <w:r w:rsidRPr="00AC309B">
        <w:t xml:space="preserve">agricultural shows, camp-drafting </w:t>
      </w:r>
      <w:proofErr w:type="gramStart"/>
      <w:r w:rsidRPr="00AC309B">
        <w:t>competitions</w:t>
      </w:r>
      <w:proofErr w:type="gramEnd"/>
      <w:r w:rsidRPr="00AC309B">
        <w:t xml:space="preserve"> or any oth</w:t>
      </w:r>
      <w:r w:rsidR="00DB74C2" w:rsidRPr="00AC309B">
        <w:t xml:space="preserve">er events where the cattle move </w:t>
      </w:r>
      <w:r w:rsidRPr="00AC309B">
        <w:t>temporarily and remain under the supervision of the manager of the accredited</w:t>
      </w:r>
      <w:r w:rsidR="001116B3" w:rsidRPr="00AC309B">
        <w:t xml:space="preserve"> </w:t>
      </w:r>
      <w:r w:rsidR="00137297" w:rsidRPr="00AC309B">
        <w:t>farm,</w:t>
      </w:r>
      <w:r w:rsidRPr="00AC309B">
        <w:t xml:space="preserve"> or someone authorised by the manager to tend the cattle on their behalf. The manager must verify the individual identity of cattle on their return.</w:t>
      </w:r>
      <w:r w:rsidR="00FF7E54" w:rsidRPr="00AC309B">
        <w:t xml:space="preserve"> </w:t>
      </w:r>
    </w:p>
    <w:p w14:paraId="67A73ED2" w14:textId="77777777" w:rsidR="00AC309B" w:rsidRDefault="00181ECB" w:rsidP="00AC309B">
      <w:pPr>
        <w:pStyle w:val="ListParagraph"/>
        <w:numPr>
          <w:ilvl w:val="0"/>
          <w:numId w:val="13"/>
        </w:numPr>
        <w:spacing w:line="360" w:lineRule="auto"/>
      </w:pPr>
      <w:r w:rsidRPr="00D25DBA">
        <w:t xml:space="preserve">Under special circumstances and only with </w:t>
      </w:r>
      <w:r w:rsidRPr="002E5F62">
        <w:rPr>
          <w:u w:val="single"/>
        </w:rPr>
        <w:t>prior approval</w:t>
      </w:r>
      <w:r w:rsidRPr="00D25DBA">
        <w:t xml:space="preserve"> from the department, managers may move EUCAS cattle from the accredited property for emergency agistment. The department has developed procedures for agistment to assist </w:t>
      </w:r>
      <w:r w:rsidR="0030119E">
        <w:t>manager</w:t>
      </w:r>
      <w:r w:rsidR="0030119E" w:rsidRPr="00D25DBA">
        <w:t xml:space="preserve">s </w:t>
      </w:r>
      <w:r w:rsidRPr="00D25DBA">
        <w:t>in drought or similar ‘natural</w:t>
      </w:r>
      <w:r w:rsidRPr="00D019EE">
        <w:t xml:space="preserve"> disaster</w:t>
      </w:r>
      <w:r w:rsidR="00D019EE">
        <w:t>’</w:t>
      </w:r>
      <w:r w:rsidR="0048056F" w:rsidRPr="00D019EE">
        <w:t xml:space="preserve"> situations. For further guidance</w:t>
      </w:r>
      <w:r>
        <w:t xml:space="preserve"> and the application form for agistments</w:t>
      </w:r>
      <w:r w:rsidR="0048056F" w:rsidRPr="00D019EE">
        <w:t>, see</w:t>
      </w:r>
      <w:r w:rsidR="00D1619E">
        <w:t xml:space="preserve"> the</w:t>
      </w:r>
      <w:r w:rsidR="0048056F" w:rsidRPr="00D019EE">
        <w:t xml:space="preserve"> agist</w:t>
      </w:r>
      <w:r w:rsidR="00D06CCE" w:rsidRPr="00D019EE">
        <w:t>ment</w:t>
      </w:r>
      <w:r w:rsidR="0048056F" w:rsidRPr="00D019EE">
        <w:t xml:space="preserve"> and stock route guidelines on the department’s webpage</w:t>
      </w:r>
      <w:r w:rsidR="00D1619E">
        <w:t xml:space="preserve"> or contact the department for further information</w:t>
      </w:r>
      <w:r w:rsidR="0048056F" w:rsidRPr="00D019EE">
        <w:t>.</w:t>
      </w:r>
    </w:p>
    <w:p w14:paraId="0DB2D872" w14:textId="62DA316E" w:rsidR="00137297" w:rsidRPr="00AC309B" w:rsidRDefault="0048056F" w:rsidP="00AC309B">
      <w:pPr>
        <w:pStyle w:val="ListParagraph"/>
        <w:numPr>
          <w:ilvl w:val="0"/>
          <w:numId w:val="13"/>
        </w:numPr>
        <w:spacing w:line="360" w:lineRule="auto"/>
      </w:pPr>
      <w:r w:rsidRPr="00AC309B">
        <w:t xml:space="preserve">If a manager moves cattle to a non-accredited saleyard, the cattle become ineligible for slaughter for the EU market. However, the department recognises that exceptional circumstances apply if the cattle are passed in for sale. In this </w:t>
      </w:r>
      <w:proofErr w:type="gramStart"/>
      <w:r w:rsidRPr="00AC309B">
        <w:t>particular case</w:t>
      </w:r>
      <w:proofErr w:type="gramEnd"/>
      <w:r w:rsidRPr="00AC309B">
        <w:t>, the cattle may be returned to the accredited farm and remain as EUCAS cattle provided the manager has maintained an auditable record of the movement that demonstrates that the traceability of the cattle was not breached.</w:t>
      </w:r>
      <w:bookmarkStart w:id="33" w:name="_Toc50728310"/>
      <w:bookmarkStart w:id="34" w:name="_Toc44380832"/>
    </w:p>
    <w:p w14:paraId="7D488130" w14:textId="6567E014" w:rsidR="0021462B" w:rsidRPr="00D9449A" w:rsidRDefault="00137297" w:rsidP="00AC309B">
      <w:pPr>
        <w:pStyle w:val="Heading3"/>
        <w:numPr>
          <w:ilvl w:val="1"/>
          <w:numId w:val="5"/>
        </w:numPr>
      </w:pPr>
      <w:r w:rsidRPr="00137297">
        <w:rPr>
          <w:szCs w:val="24"/>
        </w:rPr>
        <w:br w:type="page"/>
      </w:r>
      <w:bookmarkStart w:id="35" w:name="_Toc83365356"/>
      <w:r w:rsidR="0048056F" w:rsidRPr="00D9449A">
        <w:lastRenderedPageBreak/>
        <w:t>Database recording requirements</w:t>
      </w:r>
      <w:bookmarkEnd w:id="33"/>
      <w:bookmarkEnd w:id="35"/>
    </w:p>
    <w:bookmarkEnd w:id="34"/>
    <w:p w14:paraId="18940DE0" w14:textId="77777777" w:rsidR="00B656AC" w:rsidRDefault="0048056F" w:rsidP="00AC309B">
      <w:pPr>
        <w:pStyle w:val="ListParagraph"/>
        <w:numPr>
          <w:ilvl w:val="0"/>
          <w:numId w:val="15"/>
        </w:numPr>
        <w:spacing w:line="360" w:lineRule="auto"/>
      </w:pPr>
      <w:r w:rsidRPr="00B656AC">
        <w:t>The manager of an accredited property is required to ensure (and verify) that the NLIS database includes details of the following:</w:t>
      </w:r>
    </w:p>
    <w:p w14:paraId="431AF226" w14:textId="78BE1D90" w:rsidR="00137297" w:rsidRDefault="0048056F" w:rsidP="00AC309B">
      <w:pPr>
        <w:pStyle w:val="ListParagraph"/>
        <w:numPr>
          <w:ilvl w:val="0"/>
          <w:numId w:val="16"/>
        </w:numPr>
        <w:spacing w:line="360" w:lineRule="auto"/>
      </w:pPr>
      <w:r w:rsidRPr="00B656AC">
        <w:t>cattle moved on to the accredited farm, including cattle passed in at sale and returned to the farm</w:t>
      </w:r>
      <w:r w:rsidR="00782888">
        <w:t>:</w:t>
      </w:r>
      <w:r w:rsidRPr="00B656AC">
        <w:t xml:space="preserve"> within 7 days or in compliance with State/Territory legislative reporting requirements</w:t>
      </w:r>
      <w:r w:rsidR="00782888">
        <w:t>,</w:t>
      </w:r>
      <w:r w:rsidRPr="00B656AC">
        <w:t xml:space="preserve"> whichever is the </w:t>
      </w:r>
      <w:proofErr w:type="gramStart"/>
      <w:r w:rsidRPr="00B656AC">
        <w:t>lesser;</w:t>
      </w:r>
      <w:proofErr w:type="gramEnd"/>
    </w:p>
    <w:p w14:paraId="53092403" w14:textId="77777777" w:rsidR="00137297" w:rsidRDefault="00137297" w:rsidP="00AC309B">
      <w:pPr>
        <w:pStyle w:val="ListParagraph"/>
        <w:numPr>
          <w:ilvl w:val="0"/>
          <w:numId w:val="16"/>
        </w:numPr>
        <w:spacing w:line="360" w:lineRule="auto"/>
      </w:pPr>
      <w:r>
        <w:t>c</w:t>
      </w:r>
      <w:r w:rsidR="0048056F" w:rsidRPr="00137297">
        <w:t xml:space="preserve">attle moved from the accredited farm to a non-eligible destination: within 7 days or in compliance with State/Territory legislative reporting requirements whichever is the </w:t>
      </w:r>
      <w:proofErr w:type="gramStart"/>
      <w:r w:rsidR="0048056F" w:rsidRPr="00137297">
        <w:t>lesser;</w:t>
      </w:r>
      <w:proofErr w:type="gramEnd"/>
    </w:p>
    <w:p w14:paraId="0FDF5020" w14:textId="77777777" w:rsidR="00137297" w:rsidRDefault="0048056F" w:rsidP="00AC309B">
      <w:pPr>
        <w:pStyle w:val="ListParagraph"/>
        <w:numPr>
          <w:ilvl w:val="0"/>
          <w:numId w:val="16"/>
        </w:numPr>
        <w:spacing w:line="360" w:lineRule="auto"/>
      </w:pPr>
      <w:r w:rsidRPr="00137297">
        <w:t xml:space="preserve">cattle that arrive dead or die whilst under control of the farm: within 7 days of discovery of the deceased animal or in compliance with State/Territory legislative reporting requirements whichever is the </w:t>
      </w:r>
      <w:proofErr w:type="gramStart"/>
      <w:r w:rsidRPr="00137297">
        <w:t>lesser;</w:t>
      </w:r>
      <w:proofErr w:type="gramEnd"/>
    </w:p>
    <w:p w14:paraId="2C2B357A" w14:textId="77777777" w:rsidR="00137297" w:rsidRDefault="0048056F" w:rsidP="00AC309B">
      <w:pPr>
        <w:pStyle w:val="ListParagraph"/>
        <w:numPr>
          <w:ilvl w:val="0"/>
          <w:numId w:val="16"/>
        </w:numPr>
        <w:spacing w:line="360" w:lineRule="auto"/>
      </w:pPr>
      <w:r w:rsidRPr="00137297">
        <w:t>replacements for lost identification devices; and</w:t>
      </w:r>
    </w:p>
    <w:p w14:paraId="589378E5" w14:textId="12323BC2" w:rsidR="0021462B" w:rsidRPr="00137297" w:rsidRDefault="0048056F" w:rsidP="00AC309B">
      <w:pPr>
        <w:pStyle w:val="ListParagraph"/>
        <w:numPr>
          <w:ilvl w:val="0"/>
          <w:numId w:val="16"/>
        </w:numPr>
        <w:spacing w:line="360" w:lineRule="auto"/>
      </w:pPr>
      <w:r w:rsidRPr="00137297">
        <w:t>the downgrading of any EUCAS cattle to non-EUCAS cattle: within 7 days or in compliance with State/Territory legislative reporting requirements whichever is the lesser.</w:t>
      </w:r>
    </w:p>
    <w:p w14:paraId="2C91DB4F" w14:textId="47C619FA" w:rsidR="0021462B" w:rsidRPr="0039574A" w:rsidRDefault="0048056F" w:rsidP="00AC309B">
      <w:pPr>
        <w:pStyle w:val="ListParagraph"/>
        <w:numPr>
          <w:ilvl w:val="0"/>
          <w:numId w:val="15"/>
        </w:numPr>
        <w:spacing w:line="360" w:lineRule="auto"/>
      </w:pPr>
      <w:r w:rsidRPr="0039574A">
        <w:t xml:space="preserve">The manager must keep records of the NLIS </w:t>
      </w:r>
      <w:r w:rsidR="00295D35">
        <w:t>ID(s)</w:t>
      </w:r>
      <w:r w:rsidRPr="0039574A">
        <w:t xml:space="preserve"> of </w:t>
      </w:r>
      <w:r w:rsidR="00D019EE">
        <w:t>non-EU</w:t>
      </w:r>
      <w:r w:rsidR="00295D35">
        <w:t>CAS</w:t>
      </w:r>
      <w:r w:rsidR="00D019EE">
        <w:t xml:space="preserve"> </w:t>
      </w:r>
      <w:r w:rsidRPr="0039574A">
        <w:t xml:space="preserve">breeding </w:t>
      </w:r>
      <w:r w:rsidR="00D019EE">
        <w:t xml:space="preserve">cattle </w:t>
      </w:r>
      <w:r w:rsidR="00295D35">
        <w:t>(</w:t>
      </w:r>
      <w:r w:rsidR="00D019EE">
        <w:t>bulls and females</w:t>
      </w:r>
      <w:r w:rsidR="00295D35">
        <w:t>)</w:t>
      </w:r>
      <w:r w:rsidRPr="0039574A">
        <w:t xml:space="preserve"> that confirm that the animals are ineligible for EU slaughter.</w:t>
      </w:r>
    </w:p>
    <w:p w14:paraId="729731AC" w14:textId="77777777" w:rsidR="0021462B" w:rsidRPr="0039574A" w:rsidRDefault="0048056F" w:rsidP="00AC309B">
      <w:pPr>
        <w:pStyle w:val="ListParagraph"/>
        <w:numPr>
          <w:ilvl w:val="0"/>
          <w:numId w:val="15"/>
        </w:numPr>
        <w:spacing w:line="360" w:lineRule="auto"/>
      </w:pPr>
      <w:r w:rsidRPr="0039574A">
        <w:t>A manager is not required to notify the NLIS database when EUCAS cattle move to an eligible destination – notification is the responsibility of the receiving manager. However, all managers must check the NLIS database to verify the cattle movements have been recorded.</w:t>
      </w:r>
    </w:p>
    <w:p w14:paraId="6191CC87" w14:textId="7FD695BB" w:rsidR="0021462B" w:rsidRPr="0039574A" w:rsidRDefault="00F83309" w:rsidP="00AC309B">
      <w:pPr>
        <w:pStyle w:val="ListParagraph"/>
        <w:numPr>
          <w:ilvl w:val="0"/>
          <w:numId w:val="15"/>
        </w:numPr>
        <w:spacing w:line="360" w:lineRule="auto"/>
      </w:pPr>
      <w:r>
        <w:t>T</w:t>
      </w:r>
      <w:r w:rsidR="0048056F" w:rsidRPr="0039574A">
        <w:t>he manager must demonstrate that records of the numbers of devices on the property can be reconciled with the numbers of devices shown on the NLIS database</w:t>
      </w:r>
      <w:r w:rsidR="00295D35">
        <w:t xml:space="preserve"> at least once per annum</w:t>
      </w:r>
      <w:r w:rsidR="0048056F" w:rsidRPr="0039574A">
        <w:t xml:space="preserve">. </w:t>
      </w:r>
    </w:p>
    <w:p w14:paraId="78B5A2CE" w14:textId="3CAED17F" w:rsidR="00137297" w:rsidRDefault="0048056F" w:rsidP="00AC309B">
      <w:pPr>
        <w:pStyle w:val="ListParagraph"/>
        <w:numPr>
          <w:ilvl w:val="0"/>
          <w:numId w:val="15"/>
        </w:numPr>
        <w:spacing w:line="360" w:lineRule="auto"/>
      </w:pPr>
      <w:r w:rsidRPr="00AF6169">
        <w:t xml:space="preserve">The manager must ensure </w:t>
      </w:r>
      <w:r w:rsidR="00295D35" w:rsidRPr="00AF6169">
        <w:t>they</w:t>
      </w:r>
      <w:r w:rsidRPr="00AF6169">
        <w:t xml:space="preserve"> can account for all NLIS </w:t>
      </w:r>
      <w:r w:rsidR="00295D35" w:rsidRPr="00AF6169">
        <w:t>ID(s)</w:t>
      </w:r>
      <w:r w:rsidRPr="00AF6169">
        <w:t xml:space="preserve"> on the property. The devices on the property should correspond with those registered with the NLIS database. This may be achieved by scanning devices at annual muster or on an ongoing basis, at times convenient to usual management practices </w:t>
      </w:r>
      <w:proofErr w:type="gramStart"/>
      <w:r w:rsidRPr="00AF6169">
        <w:t>i.e.</w:t>
      </w:r>
      <w:proofErr w:type="gramEnd"/>
      <w:r w:rsidRPr="00AF6169">
        <w:t xml:space="preserve"> when moving stock, at weaning or when accounting for deaths</w:t>
      </w:r>
      <w:r w:rsidR="00181ECB" w:rsidRPr="00AF6169">
        <w:t>.</w:t>
      </w:r>
      <w:r w:rsidRPr="00AF6169">
        <w:t xml:space="preserve"> Records must be kept on site for audit purposes. </w:t>
      </w:r>
      <w:bookmarkStart w:id="36" w:name="_Toc44380833"/>
      <w:bookmarkStart w:id="37" w:name="_Toc50728311"/>
    </w:p>
    <w:p w14:paraId="19A7CAA2" w14:textId="6113D7A4" w:rsidR="00137297" w:rsidRDefault="00137297">
      <w:r>
        <w:br w:type="page"/>
      </w:r>
    </w:p>
    <w:p w14:paraId="52AA7AFD" w14:textId="7F53A946" w:rsidR="0021462B" w:rsidRPr="00D9449A" w:rsidRDefault="0048056F" w:rsidP="00AC309B">
      <w:pPr>
        <w:pStyle w:val="Heading3"/>
        <w:numPr>
          <w:ilvl w:val="1"/>
          <w:numId w:val="5"/>
        </w:numPr>
      </w:pPr>
      <w:bookmarkStart w:id="38" w:name="_Toc83365357"/>
      <w:r w:rsidRPr="00D9449A">
        <w:lastRenderedPageBreak/>
        <w:t>Record keeping</w:t>
      </w:r>
      <w:bookmarkEnd w:id="36"/>
      <w:bookmarkEnd w:id="37"/>
      <w:bookmarkEnd w:id="38"/>
    </w:p>
    <w:p w14:paraId="3729280A" w14:textId="1C36DD1F" w:rsidR="00B656AC" w:rsidRPr="00137297" w:rsidRDefault="0048056F" w:rsidP="00AC309B">
      <w:pPr>
        <w:pStyle w:val="ListParagraph"/>
        <w:numPr>
          <w:ilvl w:val="0"/>
          <w:numId w:val="17"/>
        </w:numPr>
        <w:spacing w:line="360" w:lineRule="auto"/>
      </w:pPr>
      <w:r w:rsidRPr="00137297">
        <w:t>Managers must keep the following records, including details such as, the departure date and return date, if necessary and the RFID/NLIS numbers of the cattle. Managers must comply with state or territory legislation concerning database notification requirements</w:t>
      </w:r>
    </w:p>
    <w:p w14:paraId="668899CF" w14:textId="77777777" w:rsidR="00137297" w:rsidRDefault="0048056F" w:rsidP="00AC309B">
      <w:pPr>
        <w:pStyle w:val="ListParagraph"/>
        <w:numPr>
          <w:ilvl w:val="0"/>
          <w:numId w:val="18"/>
        </w:numPr>
        <w:spacing w:line="360" w:lineRule="auto"/>
      </w:pPr>
      <w:r w:rsidRPr="00B656AC">
        <w:t xml:space="preserve">documentation supporting the HGP-free status of all introduced cattle on the property – </w:t>
      </w:r>
      <w:proofErr w:type="gramStart"/>
      <w:r w:rsidRPr="00B656AC">
        <w:t>e.g.</w:t>
      </w:r>
      <w:proofErr w:type="gramEnd"/>
      <w:r w:rsidRPr="00B656AC">
        <w:t xml:space="preserve"> vendor declarations</w:t>
      </w:r>
      <w:r w:rsidR="00D019EE" w:rsidRPr="00B656AC">
        <w:t>.</w:t>
      </w:r>
    </w:p>
    <w:p w14:paraId="358597F1" w14:textId="77777777" w:rsidR="00137297" w:rsidRDefault="0048056F" w:rsidP="00AC309B">
      <w:pPr>
        <w:pStyle w:val="ListParagraph"/>
        <w:numPr>
          <w:ilvl w:val="0"/>
          <w:numId w:val="18"/>
        </w:numPr>
        <w:spacing w:line="360" w:lineRule="auto"/>
      </w:pPr>
      <w:r w:rsidRPr="00137297">
        <w:t xml:space="preserve">documentation verifying that HGP </w:t>
      </w:r>
      <w:r w:rsidR="00D019EE" w:rsidRPr="00137297">
        <w:t xml:space="preserve">or oestradiol </w:t>
      </w:r>
      <w:r w:rsidRPr="00137297">
        <w:t>treated cattle have been removed from the farm</w:t>
      </w:r>
      <w:r w:rsidR="00295D35" w:rsidRPr="00137297">
        <w:t xml:space="preserve"> prior to accreditation</w:t>
      </w:r>
      <w:r w:rsidRPr="00137297">
        <w:t xml:space="preserve">, and that unused HGP </w:t>
      </w:r>
      <w:r w:rsidR="00D019EE" w:rsidRPr="00137297">
        <w:t xml:space="preserve">and oestradiol </w:t>
      </w:r>
      <w:r w:rsidRPr="00137297">
        <w:t xml:space="preserve">doses have been disposed of </w:t>
      </w:r>
      <w:r w:rsidR="00295D35" w:rsidRPr="00137297">
        <w:t xml:space="preserve">prior to accreditation </w:t>
      </w:r>
      <w:r w:rsidRPr="00137297">
        <w:t xml:space="preserve">(unused doses </w:t>
      </w:r>
      <w:r w:rsidR="00D019EE" w:rsidRPr="00137297">
        <w:t xml:space="preserve">of HGPs </w:t>
      </w:r>
      <w:r w:rsidRPr="00137297">
        <w:t>should be returned to either an HGP retailer or wholesaler, or to a local agricultural office). This is only necessary on farms where HGPs</w:t>
      </w:r>
      <w:r w:rsidR="00D019EE" w:rsidRPr="00137297">
        <w:t xml:space="preserve"> or oestradiol</w:t>
      </w:r>
      <w:r w:rsidRPr="00137297">
        <w:t xml:space="preserve"> have been used in the past</w:t>
      </w:r>
      <w:r w:rsidR="00D019EE" w:rsidRPr="00137297">
        <w:t>.</w:t>
      </w:r>
    </w:p>
    <w:p w14:paraId="2EB6D7ED" w14:textId="77777777" w:rsidR="00137297" w:rsidRDefault="0048056F" w:rsidP="00AC309B">
      <w:pPr>
        <w:pStyle w:val="ListParagraph"/>
        <w:numPr>
          <w:ilvl w:val="0"/>
          <w:numId w:val="18"/>
        </w:numPr>
        <w:spacing w:line="360" w:lineRule="auto"/>
      </w:pPr>
      <w:r w:rsidRPr="00137297">
        <w:t xml:space="preserve">a list of people </w:t>
      </w:r>
      <w:r w:rsidR="00295D35" w:rsidRPr="00137297">
        <w:t>approved t</w:t>
      </w:r>
      <w:r w:rsidRPr="00137297">
        <w:t>o sign EUVDs on the manager’s behalf</w:t>
      </w:r>
      <w:r w:rsidR="00D019EE" w:rsidRPr="00137297">
        <w:t>.</w:t>
      </w:r>
      <w:r w:rsidRPr="00137297">
        <w:t xml:space="preserve"> </w:t>
      </w:r>
    </w:p>
    <w:p w14:paraId="311AA21B" w14:textId="77777777" w:rsidR="00137297" w:rsidRDefault="0048056F" w:rsidP="00AC309B">
      <w:pPr>
        <w:pStyle w:val="ListParagraph"/>
        <w:numPr>
          <w:ilvl w:val="0"/>
          <w:numId w:val="18"/>
        </w:numPr>
        <w:spacing w:line="360" w:lineRule="auto"/>
      </w:pPr>
      <w:r w:rsidRPr="00137297">
        <w:t>details of all EUCAS cattle moving off the accredited farm to eligible destinations, including a copy of the accompanying EUVD</w:t>
      </w:r>
      <w:r w:rsidR="00D019EE" w:rsidRPr="00137297">
        <w:t>.</w:t>
      </w:r>
    </w:p>
    <w:p w14:paraId="7D04F091" w14:textId="77777777" w:rsidR="00137297" w:rsidRDefault="0048056F" w:rsidP="00AC309B">
      <w:pPr>
        <w:pStyle w:val="ListParagraph"/>
        <w:numPr>
          <w:ilvl w:val="0"/>
          <w:numId w:val="18"/>
        </w:numPr>
        <w:spacing w:line="360" w:lineRule="auto"/>
      </w:pPr>
      <w:r w:rsidRPr="00137297">
        <w:t xml:space="preserve">information on all </w:t>
      </w:r>
      <w:r w:rsidR="00295D35" w:rsidRPr="00137297">
        <w:t xml:space="preserve">eligible </w:t>
      </w:r>
      <w:r w:rsidR="00D019EE" w:rsidRPr="00137297">
        <w:t>non-EU</w:t>
      </w:r>
      <w:r w:rsidR="00295D35" w:rsidRPr="00137297">
        <w:t>CAS</w:t>
      </w:r>
      <w:r w:rsidR="00D019EE" w:rsidRPr="00137297">
        <w:t xml:space="preserve"> </w:t>
      </w:r>
      <w:r w:rsidRPr="00137297">
        <w:t>breeding bulls</w:t>
      </w:r>
      <w:r w:rsidR="00D019EE" w:rsidRPr="00137297">
        <w:t xml:space="preserve"> and females</w:t>
      </w:r>
      <w:r w:rsidRPr="00137297">
        <w:t xml:space="preserve"> moving onto the accredited </w:t>
      </w:r>
      <w:r w:rsidR="00295D35" w:rsidRPr="00137297">
        <w:t>property</w:t>
      </w:r>
      <w:r w:rsidRPr="00137297">
        <w:t xml:space="preserve"> (</w:t>
      </w:r>
      <w:proofErr w:type="gramStart"/>
      <w:r w:rsidRPr="00137297">
        <w:t>e.g.</w:t>
      </w:r>
      <w:proofErr w:type="gramEnd"/>
      <w:r w:rsidRPr="00137297">
        <w:t xml:space="preserve"> NLIS numbers)</w:t>
      </w:r>
      <w:r w:rsidR="00D019EE" w:rsidRPr="00137297">
        <w:t>.</w:t>
      </w:r>
    </w:p>
    <w:p w14:paraId="25E3B25D" w14:textId="77777777" w:rsidR="00137297" w:rsidRDefault="0048056F" w:rsidP="00AC309B">
      <w:pPr>
        <w:pStyle w:val="ListParagraph"/>
        <w:numPr>
          <w:ilvl w:val="0"/>
          <w:numId w:val="18"/>
        </w:numPr>
        <w:spacing w:line="360" w:lineRule="auto"/>
      </w:pPr>
      <w:r w:rsidRPr="00137297">
        <w:t>details of all cattle moving off the accredited farm to non-eligible destinations</w:t>
      </w:r>
      <w:r w:rsidR="00D019EE" w:rsidRPr="00137297">
        <w:t>.</w:t>
      </w:r>
      <w:r w:rsidRPr="00137297">
        <w:t xml:space="preserve"> </w:t>
      </w:r>
    </w:p>
    <w:p w14:paraId="4C59AEC0" w14:textId="77777777" w:rsidR="00137297" w:rsidRDefault="0048056F" w:rsidP="00AC309B">
      <w:pPr>
        <w:pStyle w:val="ListParagraph"/>
        <w:numPr>
          <w:ilvl w:val="0"/>
          <w:numId w:val="18"/>
        </w:numPr>
        <w:spacing w:line="360" w:lineRule="auto"/>
      </w:pPr>
      <w:r w:rsidRPr="00137297">
        <w:t>details of all EUCAS cattle that were sent to saleyards, passed in and returned to the accredited property, and</w:t>
      </w:r>
    </w:p>
    <w:p w14:paraId="2C541DA6" w14:textId="77777777" w:rsidR="00137297" w:rsidRDefault="0048056F" w:rsidP="00AC309B">
      <w:pPr>
        <w:pStyle w:val="ListParagraph"/>
        <w:numPr>
          <w:ilvl w:val="0"/>
          <w:numId w:val="18"/>
        </w:numPr>
        <w:spacing w:line="360" w:lineRule="auto"/>
      </w:pPr>
      <w:r w:rsidRPr="00137297">
        <w:t>information on replacement RFIDs</w:t>
      </w:r>
      <w:r w:rsidR="00D019EE" w:rsidRPr="00137297">
        <w:t>.</w:t>
      </w:r>
    </w:p>
    <w:p w14:paraId="252E7AEA" w14:textId="0B17D507" w:rsidR="0021462B" w:rsidRPr="00137297" w:rsidRDefault="00D019EE" w:rsidP="00AC309B">
      <w:pPr>
        <w:pStyle w:val="ListParagraph"/>
        <w:numPr>
          <w:ilvl w:val="0"/>
          <w:numId w:val="18"/>
        </w:numPr>
        <w:spacing w:line="360" w:lineRule="auto"/>
      </w:pPr>
      <w:r w:rsidRPr="00137297">
        <w:t xml:space="preserve">Information showing an annual PIC reconciliation has been conducted, such as the NLIS upload ID for the transaction, or on-farm records showing a manual reconciliation has been conducted. </w:t>
      </w:r>
      <w:r w:rsidR="0048056F" w:rsidRPr="00137297">
        <w:t xml:space="preserve">  </w:t>
      </w:r>
    </w:p>
    <w:p w14:paraId="115FA1E8" w14:textId="522D354A" w:rsidR="00137297" w:rsidRDefault="0048056F" w:rsidP="00AC309B">
      <w:pPr>
        <w:pStyle w:val="ListParagraph"/>
        <w:numPr>
          <w:ilvl w:val="0"/>
          <w:numId w:val="17"/>
        </w:numPr>
        <w:spacing w:line="360" w:lineRule="auto"/>
      </w:pPr>
      <w:r w:rsidRPr="0039574A">
        <w:t>Under EUCAS, managers must keep records for a minimum of two years. State and territory requirements for record maintenance may differ. Managers should consult their state or territory authorities to ensure that they also meet their requirements.</w:t>
      </w:r>
      <w:bookmarkStart w:id="39" w:name="_Toc50728312"/>
    </w:p>
    <w:p w14:paraId="2B62461B" w14:textId="1A4C4A69" w:rsidR="00137297" w:rsidRDefault="00137297">
      <w:r>
        <w:br w:type="page"/>
      </w:r>
    </w:p>
    <w:p w14:paraId="1F1DAB4D" w14:textId="219F0053" w:rsidR="0021462B" w:rsidRPr="00D9449A" w:rsidRDefault="0048056F" w:rsidP="00AC309B">
      <w:pPr>
        <w:pStyle w:val="Heading3"/>
        <w:numPr>
          <w:ilvl w:val="1"/>
          <w:numId w:val="5"/>
        </w:numPr>
      </w:pPr>
      <w:bookmarkStart w:id="40" w:name="_Toc83365358"/>
      <w:r w:rsidRPr="00D9449A">
        <w:lastRenderedPageBreak/>
        <w:t>Audits</w:t>
      </w:r>
      <w:bookmarkEnd w:id="39"/>
      <w:bookmarkEnd w:id="40"/>
    </w:p>
    <w:p w14:paraId="1B121A0C" w14:textId="77777777" w:rsidR="00137297" w:rsidRDefault="0048056F" w:rsidP="00AC309B">
      <w:pPr>
        <w:pStyle w:val="ListParagraph"/>
        <w:numPr>
          <w:ilvl w:val="0"/>
          <w:numId w:val="19"/>
        </w:numPr>
        <w:spacing w:line="360" w:lineRule="auto"/>
      </w:pPr>
      <w:r w:rsidRPr="00B656AC">
        <w:t xml:space="preserve">The department will audit farms on a random and targeted basis. The department has authorised AUS-MEAT auditors to carry out EUCAS audits in accordance with checklists developed in consultation with the department. </w:t>
      </w:r>
    </w:p>
    <w:p w14:paraId="4D0684FD" w14:textId="77777777" w:rsidR="00137297" w:rsidRDefault="0048056F" w:rsidP="00AC309B">
      <w:pPr>
        <w:pStyle w:val="ListParagraph"/>
        <w:numPr>
          <w:ilvl w:val="0"/>
          <w:numId w:val="19"/>
        </w:numPr>
        <w:spacing w:line="360" w:lineRule="auto"/>
      </w:pPr>
      <w:r w:rsidRPr="00137297">
        <w:t xml:space="preserve">In most cases, EUCAS auditors will contact the farm to ensure the </w:t>
      </w:r>
      <w:proofErr w:type="gramStart"/>
      <w:r w:rsidRPr="00137297">
        <w:t>manager</w:t>
      </w:r>
      <w:proofErr w:type="gramEnd"/>
      <w:r w:rsidRPr="00137297">
        <w:t xml:space="preserve"> or another responsible person will be present to assist in the audit</w:t>
      </w:r>
      <w:r w:rsidR="00295D35" w:rsidRPr="00137297">
        <w:t xml:space="preserve"> on the current accredited manager’s behalf</w:t>
      </w:r>
      <w:r w:rsidRPr="00137297">
        <w:t>. Auditors will have a report from the NLIS database that shows the transactions the property has reported to the NLIS. The auditor will refer all refusals to allow an audit to take place without due cause to the department.</w:t>
      </w:r>
    </w:p>
    <w:p w14:paraId="6E5D448C" w14:textId="3B8F5F67" w:rsidR="00137297" w:rsidRDefault="0048056F" w:rsidP="00AC309B">
      <w:pPr>
        <w:pStyle w:val="ListParagraph"/>
        <w:numPr>
          <w:ilvl w:val="0"/>
          <w:numId w:val="19"/>
        </w:numPr>
        <w:spacing w:line="360" w:lineRule="auto"/>
      </w:pPr>
      <w:r w:rsidRPr="00137297">
        <w:t>Auditors will discuss the outcome of the audit with the manager or their representative; in particular, auditors are required to outline any non-compliance detected and discuss the acceptability of any proposed corrective actions. Critical non-compliances will be referred directly to the department which may decide to revoke the accreditation.</w:t>
      </w:r>
      <w:bookmarkStart w:id="41" w:name="_Toc50728313"/>
    </w:p>
    <w:p w14:paraId="3B9EDCD8" w14:textId="64AD8213" w:rsidR="0021462B" w:rsidRPr="00D9449A" w:rsidRDefault="0048056F" w:rsidP="00AC309B">
      <w:pPr>
        <w:pStyle w:val="Heading3"/>
        <w:numPr>
          <w:ilvl w:val="1"/>
          <w:numId w:val="5"/>
        </w:numPr>
      </w:pPr>
      <w:bookmarkStart w:id="42" w:name="_Toc83365359"/>
      <w:r w:rsidRPr="00D9449A">
        <w:t>Obtaining EUVDs</w:t>
      </w:r>
      <w:bookmarkEnd w:id="41"/>
      <w:bookmarkEnd w:id="42"/>
      <w:r w:rsidRPr="00D9449A">
        <w:t xml:space="preserve"> </w:t>
      </w:r>
    </w:p>
    <w:p w14:paraId="588B2D00" w14:textId="23A6DF5C" w:rsidR="0021462B" w:rsidRPr="004D1FE0" w:rsidRDefault="0048056F" w:rsidP="00AC309B">
      <w:pPr>
        <w:pStyle w:val="ListParagraph"/>
        <w:numPr>
          <w:ilvl w:val="0"/>
          <w:numId w:val="20"/>
        </w:numPr>
        <w:spacing w:line="360" w:lineRule="auto"/>
      </w:pPr>
      <w:r w:rsidRPr="00181ECB">
        <w:t xml:space="preserve">EU Vendor declarations (EUVDs) can be ordered </w:t>
      </w:r>
      <w:r w:rsidRPr="004D1FE0">
        <w:t xml:space="preserve">online </w:t>
      </w:r>
      <w:r w:rsidRPr="005A0695">
        <w:t>at</w:t>
      </w:r>
      <w:r w:rsidR="005A0695">
        <w:t xml:space="preserve"> </w:t>
      </w:r>
      <w:hyperlink r:id="rId13" w:history="1">
        <w:r w:rsidR="005A0695" w:rsidRPr="007244D2">
          <w:rPr>
            <w:rStyle w:val="Hyperlink"/>
          </w:rPr>
          <w:t>www.lpa.nlis.com.au</w:t>
        </w:r>
      </w:hyperlink>
      <w:r w:rsidR="005A0695">
        <w:t xml:space="preserve"> </w:t>
      </w:r>
      <w:r w:rsidRPr="004D1FE0">
        <w:t>or</w:t>
      </w:r>
      <w:r w:rsidRPr="00181ECB">
        <w:t xml:space="preserve"> by calling 1800 683 111.</w:t>
      </w:r>
      <w:r w:rsidR="00295D35" w:rsidRPr="004D1FE0">
        <w:t xml:space="preserve"> EUVDs are only available for order for EUCAS accredited properties with an EU status in NLIS. </w:t>
      </w:r>
    </w:p>
    <w:p w14:paraId="6E4A2D5E" w14:textId="77777777" w:rsidR="0021462B" w:rsidRPr="0039574A" w:rsidRDefault="0021462B">
      <w:pPr>
        <w:spacing w:line="360" w:lineRule="auto"/>
      </w:pPr>
    </w:p>
    <w:sectPr w:rsidR="0021462B" w:rsidRPr="0039574A" w:rsidSect="000D2441">
      <w:headerReference w:type="default" r:id="rId14"/>
      <w:footerReference w:type="default" r:id="rId15"/>
      <w:headerReference w:type="first" r:id="rId16"/>
      <w:footerReference w:type="first" r:id="rId17"/>
      <w:footnotePr>
        <w:numFmt w:val="chicago"/>
      </w:footnotePr>
      <w:pgSz w:w="12240" w:h="15840"/>
      <w:pgMar w:top="1418" w:right="1134" w:bottom="130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FDA3" w14:textId="77777777" w:rsidR="00CA006E" w:rsidRDefault="00CA006E">
      <w:r>
        <w:separator/>
      </w:r>
    </w:p>
  </w:endnote>
  <w:endnote w:type="continuationSeparator" w:id="0">
    <w:p w14:paraId="285A77C9" w14:textId="77777777" w:rsidR="00CA006E" w:rsidRDefault="00C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T">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599758"/>
      <w:docPartObj>
        <w:docPartGallery w:val="Page Numbers (Bottom of Page)"/>
        <w:docPartUnique/>
      </w:docPartObj>
    </w:sdtPr>
    <w:sdtEndPr>
      <w:rPr>
        <w:noProof/>
      </w:rPr>
    </w:sdtEndPr>
    <w:sdtContent>
      <w:p w14:paraId="5D8EF14C" w14:textId="05857E96" w:rsidR="000D2441" w:rsidRDefault="000D2441" w:rsidP="000D2441">
        <w:pPr>
          <w:pStyle w:val="Footer"/>
        </w:pPr>
        <w:r>
          <w:t xml:space="preserve">Department of Agriculture, </w:t>
        </w:r>
        <w:r w:rsidR="001433DE">
          <w:t>Fisheries and Forestry</w:t>
        </w:r>
        <w:r>
          <w:tab/>
        </w:r>
        <w:r>
          <w:tab/>
        </w:r>
        <w:r>
          <w:tab/>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09B53CA4" w14:textId="39BAABC2" w:rsidR="000D2441" w:rsidRDefault="000D2441" w:rsidP="000D2441">
        <w:pPr>
          <w:pStyle w:val="Footer"/>
          <w:jc w:val="right"/>
        </w:pPr>
        <w:r>
          <w:t>Department of Agriculture and Water Resources</w:t>
        </w:r>
        <w:r>
          <w:tab/>
        </w:r>
        <w:r>
          <w:fldChar w:fldCharType="begin"/>
        </w:r>
        <w:r>
          <w:instrText xml:space="preserve"> PAGE   \* MERGEFORMAT </w:instrText>
        </w:r>
        <w:r>
          <w:fldChar w:fldCharType="separate"/>
        </w:r>
        <w: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5297" w14:textId="77777777" w:rsidR="00CA006E" w:rsidRDefault="00CA006E">
      <w:r>
        <w:separator/>
      </w:r>
    </w:p>
  </w:footnote>
  <w:footnote w:type="continuationSeparator" w:id="0">
    <w:p w14:paraId="7FFC8A82" w14:textId="77777777" w:rsidR="00CA006E" w:rsidRDefault="00CA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D41E" w14:textId="115CD37D" w:rsidR="000D2441" w:rsidRDefault="000D2441">
    <w:pPr>
      <w:pStyle w:val="Header"/>
    </w:pPr>
    <w:r w:rsidRPr="000D2441">
      <w:t>EUROPEAN UNION CATTLE ACCREDITATION SCHEME (EUCAS)</w:t>
    </w:r>
    <w:r>
      <w:t xml:space="preserve"> – RULES FOR FARMS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456B" w14:textId="1399AA49" w:rsidR="000D2441" w:rsidRDefault="000D2441">
    <w:pPr>
      <w:pStyle w:val="Header"/>
    </w:pPr>
    <w:r w:rsidRPr="000D2441">
      <w:t>EUROPEAN UNION CATTLE ACCREDITATION SCHEME (EUCAS)</w:t>
    </w:r>
    <w:r>
      <w:t xml:space="preserve"> – RULES FOR FARMS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EB"/>
    <w:multiLevelType w:val="multilevel"/>
    <w:tmpl w:val="5266ACA8"/>
    <w:lvl w:ilvl="0">
      <w:start w:val="1"/>
      <w:numFmt w:val="decimal"/>
      <w:lvlText w:val="%1."/>
      <w:lvlJc w:val="left"/>
      <w:pPr>
        <w:ind w:left="1004"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181A5CD6"/>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1D6F5E57"/>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18115CE"/>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1CA6A00"/>
    <w:multiLevelType w:val="hybridMultilevel"/>
    <w:tmpl w:val="BAA02CB0"/>
    <w:lvl w:ilvl="0" w:tplc="D8745BD6">
      <w:start w:val="1"/>
      <w:numFmt w:val="lowerRoman"/>
      <w:lvlText w:val="%1."/>
      <w:lvlJc w:val="right"/>
      <w:pPr>
        <w:ind w:left="2155" w:hanging="709"/>
      </w:pPr>
      <w:rPr>
        <w:rFonts w:hint="default"/>
      </w:rPr>
    </w:lvl>
    <w:lvl w:ilvl="1" w:tplc="0C090019" w:tentative="1">
      <w:start w:val="1"/>
      <w:numFmt w:val="lowerLetter"/>
      <w:lvlText w:val="%2."/>
      <w:lvlJc w:val="left"/>
      <w:pPr>
        <w:ind w:left="1074" w:hanging="360"/>
      </w:pPr>
    </w:lvl>
    <w:lvl w:ilvl="2" w:tplc="0C09001B" w:tentative="1">
      <w:start w:val="1"/>
      <w:numFmt w:val="lowerRoman"/>
      <w:lvlText w:val="%3."/>
      <w:lvlJc w:val="right"/>
      <w:pPr>
        <w:ind w:left="1794" w:hanging="180"/>
      </w:pPr>
    </w:lvl>
    <w:lvl w:ilvl="3" w:tplc="0C09000F" w:tentative="1">
      <w:start w:val="1"/>
      <w:numFmt w:val="decimal"/>
      <w:lvlText w:val="%4."/>
      <w:lvlJc w:val="left"/>
      <w:pPr>
        <w:ind w:left="2514" w:hanging="360"/>
      </w:pPr>
    </w:lvl>
    <w:lvl w:ilvl="4" w:tplc="0C090019" w:tentative="1">
      <w:start w:val="1"/>
      <w:numFmt w:val="lowerLetter"/>
      <w:lvlText w:val="%5."/>
      <w:lvlJc w:val="left"/>
      <w:pPr>
        <w:ind w:left="3234" w:hanging="360"/>
      </w:pPr>
    </w:lvl>
    <w:lvl w:ilvl="5" w:tplc="0C09001B" w:tentative="1">
      <w:start w:val="1"/>
      <w:numFmt w:val="lowerRoman"/>
      <w:lvlText w:val="%6."/>
      <w:lvlJc w:val="right"/>
      <w:pPr>
        <w:ind w:left="3954" w:hanging="180"/>
      </w:pPr>
    </w:lvl>
    <w:lvl w:ilvl="6" w:tplc="0C09000F" w:tentative="1">
      <w:start w:val="1"/>
      <w:numFmt w:val="decimal"/>
      <w:lvlText w:val="%7."/>
      <w:lvlJc w:val="left"/>
      <w:pPr>
        <w:ind w:left="4674" w:hanging="360"/>
      </w:pPr>
    </w:lvl>
    <w:lvl w:ilvl="7" w:tplc="0C090019" w:tentative="1">
      <w:start w:val="1"/>
      <w:numFmt w:val="lowerLetter"/>
      <w:lvlText w:val="%8."/>
      <w:lvlJc w:val="left"/>
      <w:pPr>
        <w:ind w:left="5394" w:hanging="360"/>
      </w:pPr>
    </w:lvl>
    <w:lvl w:ilvl="8" w:tplc="0C09001B" w:tentative="1">
      <w:start w:val="1"/>
      <w:numFmt w:val="lowerRoman"/>
      <w:lvlText w:val="%9."/>
      <w:lvlJc w:val="right"/>
      <w:pPr>
        <w:ind w:left="6114" w:hanging="180"/>
      </w:pPr>
    </w:lvl>
  </w:abstractNum>
  <w:abstractNum w:abstractNumId="5" w15:restartNumberingAfterBreak="0">
    <w:nsid w:val="23176601"/>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2D140520"/>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8600BBE"/>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4C9416E2"/>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51643BFB"/>
    <w:multiLevelType w:val="hybridMultilevel"/>
    <w:tmpl w:val="BAA02CB0"/>
    <w:lvl w:ilvl="0" w:tplc="D8745BD6">
      <w:start w:val="1"/>
      <w:numFmt w:val="lowerRoman"/>
      <w:lvlText w:val="%1."/>
      <w:lvlJc w:val="right"/>
      <w:pPr>
        <w:ind w:left="2155" w:hanging="709"/>
      </w:pPr>
      <w:rPr>
        <w:rFonts w:hint="default"/>
      </w:rPr>
    </w:lvl>
    <w:lvl w:ilvl="1" w:tplc="0C090019" w:tentative="1">
      <w:start w:val="1"/>
      <w:numFmt w:val="lowerLetter"/>
      <w:lvlText w:val="%2."/>
      <w:lvlJc w:val="left"/>
      <w:pPr>
        <w:ind w:left="1074" w:hanging="360"/>
      </w:pPr>
    </w:lvl>
    <w:lvl w:ilvl="2" w:tplc="0C09001B" w:tentative="1">
      <w:start w:val="1"/>
      <w:numFmt w:val="lowerRoman"/>
      <w:lvlText w:val="%3."/>
      <w:lvlJc w:val="right"/>
      <w:pPr>
        <w:ind w:left="1794" w:hanging="180"/>
      </w:pPr>
    </w:lvl>
    <w:lvl w:ilvl="3" w:tplc="0C09000F" w:tentative="1">
      <w:start w:val="1"/>
      <w:numFmt w:val="decimal"/>
      <w:lvlText w:val="%4."/>
      <w:lvlJc w:val="left"/>
      <w:pPr>
        <w:ind w:left="2514" w:hanging="360"/>
      </w:pPr>
    </w:lvl>
    <w:lvl w:ilvl="4" w:tplc="0C090019" w:tentative="1">
      <w:start w:val="1"/>
      <w:numFmt w:val="lowerLetter"/>
      <w:lvlText w:val="%5."/>
      <w:lvlJc w:val="left"/>
      <w:pPr>
        <w:ind w:left="3234" w:hanging="360"/>
      </w:pPr>
    </w:lvl>
    <w:lvl w:ilvl="5" w:tplc="0C09001B" w:tentative="1">
      <w:start w:val="1"/>
      <w:numFmt w:val="lowerRoman"/>
      <w:lvlText w:val="%6."/>
      <w:lvlJc w:val="right"/>
      <w:pPr>
        <w:ind w:left="3954" w:hanging="180"/>
      </w:pPr>
    </w:lvl>
    <w:lvl w:ilvl="6" w:tplc="0C09000F" w:tentative="1">
      <w:start w:val="1"/>
      <w:numFmt w:val="decimal"/>
      <w:lvlText w:val="%7."/>
      <w:lvlJc w:val="left"/>
      <w:pPr>
        <w:ind w:left="4674" w:hanging="360"/>
      </w:pPr>
    </w:lvl>
    <w:lvl w:ilvl="7" w:tplc="0C090019" w:tentative="1">
      <w:start w:val="1"/>
      <w:numFmt w:val="lowerLetter"/>
      <w:lvlText w:val="%8."/>
      <w:lvlJc w:val="left"/>
      <w:pPr>
        <w:ind w:left="5394" w:hanging="360"/>
      </w:pPr>
    </w:lvl>
    <w:lvl w:ilvl="8" w:tplc="0C09001B" w:tentative="1">
      <w:start w:val="1"/>
      <w:numFmt w:val="lowerRoman"/>
      <w:lvlText w:val="%9."/>
      <w:lvlJc w:val="right"/>
      <w:pPr>
        <w:ind w:left="6114" w:hanging="180"/>
      </w:pPr>
    </w:lvl>
  </w:abstractNum>
  <w:abstractNum w:abstractNumId="10" w15:restartNumberingAfterBreak="0">
    <w:nsid w:val="533D0E49"/>
    <w:multiLevelType w:val="multilevel"/>
    <w:tmpl w:val="0E727A4E"/>
    <w:lvl w:ilvl="0">
      <w:start w:val="1"/>
      <w:numFmt w:val="decimal"/>
      <w:pStyle w:val="SectionHeading1"/>
      <w:lvlText w:val="%1."/>
      <w:lvlJc w:val="left"/>
      <w:pPr>
        <w:tabs>
          <w:tab w:val="num" w:pos="567"/>
        </w:tabs>
        <w:ind w:left="567" w:hanging="567"/>
      </w:pPr>
      <w:rPr>
        <w:b w:val="0"/>
        <w:i w:val="0"/>
      </w:rPr>
    </w:lvl>
    <w:lvl w:ilvl="1">
      <w:start w:val="1"/>
      <w:numFmt w:val="decimal"/>
      <w:lvlText w:val="%1.%2."/>
      <w:lvlJc w:val="left"/>
      <w:pPr>
        <w:tabs>
          <w:tab w:val="num" w:pos="792"/>
        </w:tabs>
        <w:ind w:left="792" w:hanging="432"/>
      </w:pPr>
      <w:rPr>
        <w:b/>
        <w:i w:val="0"/>
      </w:rPr>
    </w:lvl>
    <w:lvl w:ilvl="2">
      <w:start w:val="1"/>
      <w:numFmt w:val="lowerLetter"/>
      <w:lvlText w:val="(%3)"/>
      <w:lvlJc w:val="left"/>
      <w:pPr>
        <w:tabs>
          <w:tab w:val="num" w:pos="1224"/>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53B50E02"/>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57C44432"/>
    <w:multiLevelType w:val="hybridMultilevel"/>
    <w:tmpl w:val="ED00D53A"/>
    <w:lvl w:ilvl="0" w:tplc="C38C758C">
      <w:start w:val="1"/>
      <w:numFmt w:val="lowerRoman"/>
      <w:lvlText w:val="%1."/>
      <w:lvlJc w:val="right"/>
      <w:pPr>
        <w:ind w:left="2155" w:hanging="709"/>
      </w:pPr>
      <w:rPr>
        <w:rFonts w:hint="default"/>
      </w:rPr>
    </w:lvl>
    <w:lvl w:ilvl="1" w:tplc="0C090019" w:tentative="1">
      <w:start w:val="1"/>
      <w:numFmt w:val="lowerLetter"/>
      <w:lvlText w:val="%2."/>
      <w:lvlJc w:val="left"/>
      <w:pPr>
        <w:ind w:left="1074" w:hanging="360"/>
      </w:pPr>
    </w:lvl>
    <w:lvl w:ilvl="2" w:tplc="0C09001B" w:tentative="1">
      <w:start w:val="1"/>
      <w:numFmt w:val="lowerRoman"/>
      <w:lvlText w:val="%3."/>
      <w:lvlJc w:val="right"/>
      <w:pPr>
        <w:ind w:left="1794" w:hanging="180"/>
      </w:pPr>
    </w:lvl>
    <w:lvl w:ilvl="3" w:tplc="0C09000F" w:tentative="1">
      <w:start w:val="1"/>
      <w:numFmt w:val="decimal"/>
      <w:lvlText w:val="%4."/>
      <w:lvlJc w:val="left"/>
      <w:pPr>
        <w:ind w:left="2514" w:hanging="360"/>
      </w:pPr>
    </w:lvl>
    <w:lvl w:ilvl="4" w:tplc="0C090019" w:tentative="1">
      <w:start w:val="1"/>
      <w:numFmt w:val="lowerLetter"/>
      <w:lvlText w:val="%5."/>
      <w:lvlJc w:val="left"/>
      <w:pPr>
        <w:ind w:left="3234" w:hanging="360"/>
      </w:pPr>
    </w:lvl>
    <w:lvl w:ilvl="5" w:tplc="0C09001B" w:tentative="1">
      <w:start w:val="1"/>
      <w:numFmt w:val="lowerRoman"/>
      <w:lvlText w:val="%6."/>
      <w:lvlJc w:val="right"/>
      <w:pPr>
        <w:ind w:left="3954" w:hanging="180"/>
      </w:pPr>
    </w:lvl>
    <w:lvl w:ilvl="6" w:tplc="0C09000F" w:tentative="1">
      <w:start w:val="1"/>
      <w:numFmt w:val="decimal"/>
      <w:lvlText w:val="%7."/>
      <w:lvlJc w:val="left"/>
      <w:pPr>
        <w:ind w:left="4674" w:hanging="360"/>
      </w:pPr>
    </w:lvl>
    <w:lvl w:ilvl="7" w:tplc="0C090019" w:tentative="1">
      <w:start w:val="1"/>
      <w:numFmt w:val="lowerLetter"/>
      <w:lvlText w:val="%8."/>
      <w:lvlJc w:val="left"/>
      <w:pPr>
        <w:ind w:left="5394" w:hanging="360"/>
      </w:pPr>
    </w:lvl>
    <w:lvl w:ilvl="8" w:tplc="0C09001B" w:tentative="1">
      <w:start w:val="1"/>
      <w:numFmt w:val="lowerRoman"/>
      <w:lvlText w:val="%9."/>
      <w:lvlJc w:val="right"/>
      <w:pPr>
        <w:ind w:left="6114" w:hanging="180"/>
      </w:pPr>
    </w:lvl>
  </w:abstractNum>
  <w:abstractNum w:abstractNumId="13" w15:restartNumberingAfterBreak="0">
    <w:nsid w:val="59305718"/>
    <w:multiLevelType w:val="multilevel"/>
    <w:tmpl w:val="15804550"/>
    <w:lvl w:ilvl="0">
      <w:start w:val="1"/>
      <w:numFmt w:val="bullet"/>
      <w:pStyle w:val="Dotlist"/>
      <w:lvlText w:val="-"/>
      <w:lvlJc w:val="left"/>
      <w:pPr>
        <w:tabs>
          <w:tab w:val="num" w:pos="360"/>
        </w:tabs>
        <w:ind w:left="288" w:firstLine="72"/>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4" w15:restartNumberingAfterBreak="0">
    <w:nsid w:val="5CF72B5A"/>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C101A2"/>
    <w:multiLevelType w:val="hybridMultilevel"/>
    <w:tmpl w:val="AF1C47E8"/>
    <w:lvl w:ilvl="0" w:tplc="DB6C7578">
      <w:start w:val="1"/>
      <w:numFmt w:val="lowerRoman"/>
      <w:lvlText w:val="%1."/>
      <w:lvlJc w:val="right"/>
      <w:pPr>
        <w:ind w:left="2155" w:hanging="70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311489"/>
    <w:multiLevelType w:val="hybridMultilevel"/>
    <w:tmpl w:val="BAA02CB0"/>
    <w:lvl w:ilvl="0" w:tplc="D8745BD6">
      <w:start w:val="1"/>
      <w:numFmt w:val="lowerRoman"/>
      <w:lvlText w:val="%1."/>
      <w:lvlJc w:val="right"/>
      <w:pPr>
        <w:ind w:left="2155" w:hanging="709"/>
      </w:pPr>
      <w:rPr>
        <w:rFonts w:hint="default"/>
      </w:rPr>
    </w:lvl>
    <w:lvl w:ilvl="1" w:tplc="0C090019" w:tentative="1">
      <w:start w:val="1"/>
      <w:numFmt w:val="lowerLetter"/>
      <w:lvlText w:val="%2."/>
      <w:lvlJc w:val="left"/>
      <w:pPr>
        <w:ind w:left="1074" w:hanging="360"/>
      </w:pPr>
    </w:lvl>
    <w:lvl w:ilvl="2" w:tplc="0C09001B" w:tentative="1">
      <w:start w:val="1"/>
      <w:numFmt w:val="lowerRoman"/>
      <w:lvlText w:val="%3."/>
      <w:lvlJc w:val="right"/>
      <w:pPr>
        <w:ind w:left="1794" w:hanging="180"/>
      </w:pPr>
    </w:lvl>
    <w:lvl w:ilvl="3" w:tplc="0C09000F" w:tentative="1">
      <w:start w:val="1"/>
      <w:numFmt w:val="decimal"/>
      <w:lvlText w:val="%4."/>
      <w:lvlJc w:val="left"/>
      <w:pPr>
        <w:ind w:left="2514" w:hanging="360"/>
      </w:pPr>
    </w:lvl>
    <w:lvl w:ilvl="4" w:tplc="0C090019" w:tentative="1">
      <w:start w:val="1"/>
      <w:numFmt w:val="lowerLetter"/>
      <w:lvlText w:val="%5."/>
      <w:lvlJc w:val="left"/>
      <w:pPr>
        <w:ind w:left="3234" w:hanging="360"/>
      </w:pPr>
    </w:lvl>
    <w:lvl w:ilvl="5" w:tplc="0C09001B" w:tentative="1">
      <w:start w:val="1"/>
      <w:numFmt w:val="lowerRoman"/>
      <w:lvlText w:val="%6."/>
      <w:lvlJc w:val="right"/>
      <w:pPr>
        <w:ind w:left="3954" w:hanging="180"/>
      </w:pPr>
    </w:lvl>
    <w:lvl w:ilvl="6" w:tplc="0C09000F" w:tentative="1">
      <w:start w:val="1"/>
      <w:numFmt w:val="decimal"/>
      <w:lvlText w:val="%7."/>
      <w:lvlJc w:val="left"/>
      <w:pPr>
        <w:ind w:left="4674" w:hanging="360"/>
      </w:pPr>
    </w:lvl>
    <w:lvl w:ilvl="7" w:tplc="0C090019" w:tentative="1">
      <w:start w:val="1"/>
      <w:numFmt w:val="lowerLetter"/>
      <w:lvlText w:val="%8."/>
      <w:lvlJc w:val="left"/>
      <w:pPr>
        <w:ind w:left="5394" w:hanging="360"/>
      </w:pPr>
    </w:lvl>
    <w:lvl w:ilvl="8" w:tplc="0C09001B" w:tentative="1">
      <w:start w:val="1"/>
      <w:numFmt w:val="lowerRoman"/>
      <w:lvlText w:val="%9."/>
      <w:lvlJc w:val="right"/>
      <w:pPr>
        <w:ind w:left="6114" w:hanging="180"/>
      </w:pPr>
    </w:lvl>
  </w:abstractNum>
  <w:abstractNum w:abstractNumId="17" w15:restartNumberingAfterBreak="0">
    <w:nsid w:val="5FCE2052"/>
    <w:multiLevelType w:val="hybridMultilevel"/>
    <w:tmpl w:val="BAA02CB0"/>
    <w:lvl w:ilvl="0" w:tplc="D8745BD6">
      <w:start w:val="1"/>
      <w:numFmt w:val="lowerRoman"/>
      <w:lvlText w:val="%1."/>
      <w:lvlJc w:val="right"/>
      <w:pPr>
        <w:ind w:left="2155" w:hanging="709"/>
      </w:pPr>
      <w:rPr>
        <w:rFonts w:hint="default"/>
      </w:rPr>
    </w:lvl>
    <w:lvl w:ilvl="1" w:tplc="0C090019" w:tentative="1">
      <w:start w:val="1"/>
      <w:numFmt w:val="lowerLetter"/>
      <w:lvlText w:val="%2."/>
      <w:lvlJc w:val="left"/>
      <w:pPr>
        <w:ind w:left="1074" w:hanging="360"/>
      </w:pPr>
    </w:lvl>
    <w:lvl w:ilvl="2" w:tplc="0C09001B" w:tentative="1">
      <w:start w:val="1"/>
      <w:numFmt w:val="lowerRoman"/>
      <w:lvlText w:val="%3."/>
      <w:lvlJc w:val="right"/>
      <w:pPr>
        <w:ind w:left="1794" w:hanging="180"/>
      </w:pPr>
    </w:lvl>
    <w:lvl w:ilvl="3" w:tplc="0C09000F" w:tentative="1">
      <w:start w:val="1"/>
      <w:numFmt w:val="decimal"/>
      <w:lvlText w:val="%4."/>
      <w:lvlJc w:val="left"/>
      <w:pPr>
        <w:ind w:left="2514" w:hanging="360"/>
      </w:pPr>
    </w:lvl>
    <w:lvl w:ilvl="4" w:tplc="0C090019" w:tentative="1">
      <w:start w:val="1"/>
      <w:numFmt w:val="lowerLetter"/>
      <w:lvlText w:val="%5."/>
      <w:lvlJc w:val="left"/>
      <w:pPr>
        <w:ind w:left="3234" w:hanging="360"/>
      </w:pPr>
    </w:lvl>
    <w:lvl w:ilvl="5" w:tplc="0C09001B" w:tentative="1">
      <w:start w:val="1"/>
      <w:numFmt w:val="lowerRoman"/>
      <w:lvlText w:val="%6."/>
      <w:lvlJc w:val="right"/>
      <w:pPr>
        <w:ind w:left="3954" w:hanging="180"/>
      </w:pPr>
    </w:lvl>
    <w:lvl w:ilvl="6" w:tplc="0C09000F" w:tentative="1">
      <w:start w:val="1"/>
      <w:numFmt w:val="decimal"/>
      <w:lvlText w:val="%7."/>
      <w:lvlJc w:val="left"/>
      <w:pPr>
        <w:ind w:left="4674" w:hanging="360"/>
      </w:pPr>
    </w:lvl>
    <w:lvl w:ilvl="7" w:tplc="0C090019" w:tentative="1">
      <w:start w:val="1"/>
      <w:numFmt w:val="lowerLetter"/>
      <w:lvlText w:val="%8."/>
      <w:lvlJc w:val="left"/>
      <w:pPr>
        <w:ind w:left="5394" w:hanging="360"/>
      </w:pPr>
    </w:lvl>
    <w:lvl w:ilvl="8" w:tplc="0C09001B" w:tentative="1">
      <w:start w:val="1"/>
      <w:numFmt w:val="lowerRoman"/>
      <w:lvlText w:val="%9."/>
      <w:lvlJc w:val="right"/>
      <w:pPr>
        <w:ind w:left="6114" w:hanging="180"/>
      </w:pPr>
    </w:lvl>
  </w:abstractNum>
  <w:abstractNum w:abstractNumId="18" w15:restartNumberingAfterBreak="0">
    <w:nsid w:val="62657A0C"/>
    <w:multiLevelType w:val="hybridMultilevel"/>
    <w:tmpl w:val="0CB6FD84"/>
    <w:lvl w:ilvl="0" w:tplc="9A6CCA1C">
      <w:start w:val="1"/>
      <w:numFmt w:val="lowerLetter"/>
      <w:lvlText w:val="%1)"/>
      <w:lvlJc w:val="left"/>
      <w:pPr>
        <w:ind w:left="1004" w:hanging="720"/>
      </w:pPr>
      <w:rPr>
        <w:rFonts w:hint="default"/>
      </w:rPr>
    </w:lvl>
    <w:lvl w:ilvl="1" w:tplc="DB6C7578">
      <w:start w:val="1"/>
      <w:numFmt w:val="lowerRoman"/>
      <w:lvlText w:val="%2."/>
      <w:lvlJc w:val="right"/>
      <w:pPr>
        <w:ind w:left="2155" w:hanging="709"/>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78384EB8"/>
    <w:multiLevelType w:val="hybridMultilevel"/>
    <w:tmpl w:val="420E6B68"/>
    <w:lvl w:ilvl="0" w:tplc="9A6CCA1C">
      <w:start w:val="1"/>
      <w:numFmt w:val="lowerLetter"/>
      <w:lvlText w:val="%1)"/>
      <w:lvlJc w:val="left"/>
      <w:pPr>
        <w:ind w:left="1004" w:hanging="720"/>
      </w:pPr>
      <w:rPr>
        <w:rFonts w:hint="default"/>
      </w:rPr>
    </w:lvl>
    <w:lvl w:ilvl="1" w:tplc="0C090001">
      <w:start w:val="1"/>
      <w:numFmt w:val="bullet"/>
      <w:lvlText w:val=""/>
      <w:lvlJc w:val="left"/>
      <w:pPr>
        <w:ind w:left="1506" w:hanging="360"/>
      </w:pPr>
      <w:rPr>
        <w:rFonts w:ascii="Symbol" w:hAnsi="Symbol"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078408012">
    <w:abstractNumId w:val="10"/>
  </w:num>
  <w:num w:numId="2" w16cid:durableId="744883406">
    <w:abstractNumId w:val="13"/>
  </w:num>
  <w:num w:numId="3" w16cid:durableId="728111876">
    <w:abstractNumId w:val="14"/>
  </w:num>
  <w:num w:numId="4" w16cid:durableId="1545217682">
    <w:abstractNumId w:val="19"/>
  </w:num>
  <w:num w:numId="5" w16cid:durableId="1454059477">
    <w:abstractNumId w:val="0"/>
  </w:num>
  <w:num w:numId="6" w16cid:durableId="644703660">
    <w:abstractNumId w:val="18"/>
  </w:num>
  <w:num w:numId="7" w16cid:durableId="1171068477">
    <w:abstractNumId w:val="2"/>
  </w:num>
  <w:num w:numId="8" w16cid:durableId="749540159">
    <w:abstractNumId w:val="15"/>
  </w:num>
  <w:num w:numId="9" w16cid:durableId="1429502292">
    <w:abstractNumId w:val="5"/>
  </w:num>
  <w:num w:numId="10" w16cid:durableId="640811177">
    <w:abstractNumId w:val="12"/>
  </w:num>
  <w:num w:numId="11" w16cid:durableId="1349672814">
    <w:abstractNumId w:val="11"/>
  </w:num>
  <w:num w:numId="12" w16cid:durableId="565381662">
    <w:abstractNumId w:val="16"/>
  </w:num>
  <w:num w:numId="13" w16cid:durableId="914969794">
    <w:abstractNumId w:val="7"/>
  </w:num>
  <w:num w:numId="14" w16cid:durableId="1906523261">
    <w:abstractNumId w:val="4"/>
  </w:num>
  <w:num w:numId="15" w16cid:durableId="340012186">
    <w:abstractNumId w:val="6"/>
  </w:num>
  <w:num w:numId="16" w16cid:durableId="604845603">
    <w:abstractNumId w:val="9"/>
  </w:num>
  <w:num w:numId="17" w16cid:durableId="1356734943">
    <w:abstractNumId w:val="1"/>
  </w:num>
  <w:num w:numId="18" w16cid:durableId="1299804988">
    <w:abstractNumId w:val="17"/>
  </w:num>
  <w:num w:numId="19" w16cid:durableId="968247418">
    <w:abstractNumId w:val="3"/>
  </w:num>
  <w:num w:numId="20" w16cid:durableId="65152478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6F"/>
    <w:rsid w:val="00022776"/>
    <w:rsid w:val="0002676D"/>
    <w:rsid w:val="00056E10"/>
    <w:rsid w:val="000711FE"/>
    <w:rsid w:val="00074D95"/>
    <w:rsid w:val="00082EDE"/>
    <w:rsid w:val="00097A68"/>
    <w:rsid w:val="000B0510"/>
    <w:rsid w:val="000C3220"/>
    <w:rsid w:val="000D2441"/>
    <w:rsid w:val="000D7D7C"/>
    <w:rsid w:val="000F525E"/>
    <w:rsid w:val="000F5E55"/>
    <w:rsid w:val="00110580"/>
    <w:rsid w:val="001116B3"/>
    <w:rsid w:val="00116308"/>
    <w:rsid w:val="00134B46"/>
    <w:rsid w:val="00137297"/>
    <w:rsid w:val="001433DE"/>
    <w:rsid w:val="0015103F"/>
    <w:rsid w:val="00155E40"/>
    <w:rsid w:val="00160E2F"/>
    <w:rsid w:val="00181ECB"/>
    <w:rsid w:val="00185833"/>
    <w:rsid w:val="001964D4"/>
    <w:rsid w:val="001B40B8"/>
    <w:rsid w:val="001C59BF"/>
    <w:rsid w:val="001D5106"/>
    <w:rsid w:val="001F4E1C"/>
    <w:rsid w:val="00205B3F"/>
    <w:rsid w:val="0021462B"/>
    <w:rsid w:val="00252844"/>
    <w:rsid w:val="0025609A"/>
    <w:rsid w:val="00267CB8"/>
    <w:rsid w:val="00270A80"/>
    <w:rsid w:val="00283426"/>
    <w:rsid w:val="00290515"/>
    <w:rsid w:val="0029299F"/>
    <w:rsid w:val="00295D35"/>
    <w:rsid w:val="002A2CC9"/>
    <w:rsid w:val="002D4C9B"/>
    <w:rsid w:val="002D5984"/>
    <w:rsid w:val="002E5F62"/>
    <w:rsid w:val="0030119E"/>
    <w:rsid w:val="00321E2E"/>
    <w:rsid w:val="00361AFF"/>
    <w:rsid w:val="0039574A"/>
    <w:rsid w:val="003A0489"/>
    <w:rsid w:val="003A7C87"/>
    <w:rsid w:val="003C26BF"/>
    <w:rsid w:val="003E6B39"/>
    <w:rsid w:val="003F6871"/>
    <w:rsid w:val="00406236"/>
    <w:rsid w:val="00423156"/>
    <w:rsid w:val="0046063D"/>
    <w:rsid w:val="0046796F"/>
    <w:rsid w:val="00470EA1"/>
    <w:rsid w:val="0048056F"/>
    <w:rsid w:val="004843B8"/>
    <w:rsid w:val="00484B0B"/>
    <w:rsid w:val="00486DCA"/>
    <w:rsid w:val="004D1FE0"/>
    <w:rsid w:val="004E1174"/>
    <w:rsid w:val="004E28CE"/>
    <w:rsid w:val="004F0289"/>
    <w:rsid w:val="004F6B66"/>
    <w:rsid w:val="004F7BDE"/>
    <w:rsid w:val="00500960"/>
    <w:rsid w:val="00516909"/>
    <w:rsid w:val="00523347"/>
    <w:rsid w:val="00537D76"/>
    <w:rsid w:val="00552759"/>
    <w:rsid w:val="005709D7"/>
    <w:rsid w:val="005779D2"/>
    <w:rsid w:val="00577FA9"/>
    <w:rsid w:val="005824B3"/>
    <w:rsid w:val="005A0695"/>
    <w:rsid w:val="005A4216"/>
    <w:rsid w:val="005E03F4"/>
    <w:rsid w:val="005E6F56"/>
    <w:rsid w:val="006438A4"/>
    <w:rsid w:val="0068098C"/>
    <w:rsid w:val="006A7474"/>
    <w:rsid w:val="006D0802"/>
    <w:rsid w:val="006D6A29"/>
    <w:rsid w:val="00715654"/>
    <w:rsid w:val="00721BE5"/>
    <w:rsid w:val="0073548E"/>
    <w:rsid w:val="0074461D"/>
    <w:rsid w:val="00746B23"/>
    <w:rsid w:val="00752689"/>
    <w:rsid w:val="007715EC"/>
    <w:rsid w:val="00782888"/>
    <w:rsid w:val="00783738"/>
    <w:rsid w:val="007E0F54"/>
    <w:rsid w:val="007E6BCD"/>
    <w:rsid w:val="00815963"/>
    <w:rsid w:val="00833960"/>
    <w:rsid w:val="008555B2"/>
    <w:rsid w:val="00881ABF"/>
    <w:rsid w:val="00887A97"/>
    <w:rsid w:val="008D70E3"/>
    <w:rsid w:val="008F5F8B"/>
    <w:rsid w:val="00907B8D"/>
    <w:rsid w:val="00966A33"/>
    <w:rsid w:val="00996144"/>
    <w:rsid w:val="009966F2"/>
    <w:rsid w:val="009975B4"/>
    <w:rsid w:val="009A205E"/>
    <w:rsid w:val="009C3FBA"/>
    <w:rsid w:val="009F4EC8"/>
    <w:rsid w:val="009F6A35"/>
    <w:rsid w:val="00A17668"/>
    <w:rsid w:val="00A2762E"/>
    <w:rsid w:val="00A57B13"/>
    <w:rsid w:val="00A6653A"/>
    <w:rsid w:val="00A72372"/>
    <w:rsid w:val="00A7776F"/>
    <w:rsid w:val="00AC309B"/>
    <w:rsid w:val="00AC5F0A"/>
    <w:rsid w:val="00AE2EE7"/>
    <w:rsid w:val="00AF6169"/>
    <w:rsid w:val="00B03036"/>
    <w:rsid w:val="00B1434E"/>
    <w:rsid w:val="00B5752D"/>
    <w:rsid w:val="00B656AC"/>
    <w:rsid w:val="00B859CF"/>
    <w:rsid w:val="00BC1329"/>
    <w:rsid w:val="00BC1FFA"/>
    <w:rsid w:val="00BF2D8A"/>
    <w:rsid w:val="00C330AF"/>
    <w:rsid w:val="00C66092"/>
    <w:rsid w:val="00C75B30"/>
    <w:rsid w:val="00CA006E"/>
    <w:rsid w:val="00CE0FB2"/>
    <w:rsid w:val="00CE1C04"/>
    <w:rsid w:val="00CE6CF5"/>
    <w:rsid w:val="00CF450A"/>
    <w:rsid w:val="00CF5593"/>
    <w:rsid w:val="00D019EE"/>
    <w:rsid w:val="00D06CCE"/>
    <w:rsid w:val="00D14D05"/>
    <w:rsid w:val="00D1619E"/>
    <w:rsid w:val="00D2446E"/>
    <w:rsid w:val="00D25DBA"/>
    <w:rsid w:val="00D4634A"/>
    <w:rsid w:val="00D50B93"/>
    <w:rsid w:val="00D74A6F"/>
    <w:rsid w:val="00D9449A"/>
    <w:rsid w:val="00DB3C22"/>
    <w:rsid w:val="00DB74C2"/>
    <w:rsid w:val="00DD53D4"/>
    <w:rsid w:val="00DF4652"/>
    <w:rsid w:val="00DF50BD"/>
    <w:rsid w:val="00E02CB9"/>
    <w:rsid w:val="00E24370"/>
    <w:rsid w:val="00E311EC"/>
    <w:rsid w:val="00E73CCC"/>
    <w:rsid w:val="00EA3519"/>
    <w:rsid w:val="00EA6F49"/>
    <w:rsid w:val="00EC3734"/>
    <w:rsid w:val="00EC4789"/>
    <w:rsid w:val="00EC56F1"/>
    <w:rsid w:val="00EF7285"/>
    <w:rsid w:val="00F07A84"/>
    <w:rsid w:val="00F21274"/>
    <w:rsid w:val="00F23E72"/>
    <w:rsid w:val="00F316E7"/>
    <w:rsid w:val="00F3332F"/>
    <w:rsid w:val="00F64314"/>
    <w:rsid w:val="00F72CFF"/>
    <w:rsid w:val="00F81040"/>
    <w:rsid w:val="00F83309"/>
    <w:rsid w:val="00FA0C10"/>
    <w:rsid w:val="00FE315E"/>
    <w:rsid w:val="00FF7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7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1E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qFormat/>
    <w:rsid w:val="0021462B"/>
    <w:pPr>
      <w:keepNext/>
      <w:outlineLvl w:val="0"/>
    </w:pPr>
    <w:rPr>
      <w:b/>
      <w:bCs/>
    </w:rPr>
  </w:style>
  <w:style w:type="paragraph" w:styleId="Heading2">
    <w:name w:val="heading 2"/>
    <w:basedOn w:val="Normal"/>
    <w:next w:val="Normal"/>
    <w:qFormat/>
    <w:rsid w:val="00D74A6F"/>
    <w:pPr>
      <w:keepNext/>
      <w:spacing w:before="240" w:after="60"/>
      <w:outlineLvl w:val="1"/>
    </w:pPr>
    <w:rPr>
      <w:rFonts w:ascii="Calibri" w:hAnsi="Calibri" w:cs="Arial"/>
      <w:b/>
      <w:bCs/>
      <w:iCs/>
      <w:szCs w:val="28"/>
    </w:rPr>
  </w:style>
  <w:style w:type="paragraph" w:styleId="Heading3">
    <w:name w:val="heading 3"/>
    <w:basedOn w:val="Normal"/>
    <w:next w:val="Normal"/>
    <w:qFormat/>
    <w:rsid w:val="00097A68"/>
    <w:pPr>
      <w:keepNext/>
      <w:spacing w:before="240" w:after="60"/>
      <w:outlineLvl w:val="2"/>
    </w:pPr>
    <w:rPr>
      <w:rFonts w:cs="Arial"/>
      <w:b/>
      <w:bCs/>
      <w:szCs w:val="26"/>
    </w:rPr>
  </w:style>
  <w:style w:type="paragraph" w:styleId="Heading4">
    <w:name w:val="heading 4"/>
    <w:basedOn w:val="Normal"/>
    <w:next w:val="Normal"/>
    <w:qFormat/>
    <w:rsid w:val="0021462B"/>
    <w:pPr>
      <w:keepNext/>
      <w:jc w:val="center"/>
      <w:outlineLvl w:val="3"/>
    </w:pPr>
    <w:rPr>
      <w:i/>
      <w:iCs/>
      <w:u w:val="single"/>
    </w:rPr>
  </w:style>
  <w:style w:type="paragraph" w:styleId="Heading5">
    <w:name w:val="heading 5"/>
    <w:basedOn w:val="Normal"/>
    <w:next w:val="Normal"/>
    <w:qFormat/>
    <w:rsid w:val="0021462B"/>
    <w:pPr>
      <w:keepNext/>
      <w:spacing w:line="360" w:lineRule="auto"/>
      <w:jc w:val="both"/>
      <w:outlineLvl w:val="4"/>
    </w:pPr>
    <w:rPr>
      <w:b/>
      <w:bCs/>
    </w:rPr>
  </w:style>
  <w:style w:type="paragraph" w:styleId="Heading6">
    <w:name w:val="heading 6"/>
    <w:basedOn w:val="Normal"/>
    <w:next w:val="Normal"/>
    <w:qFormat/>
    <w:rsid w:val="0021462B"/>
    <w:pPr>
      <w:keepNext/>
      <w:outlineLvl w:val="5"/>
    </w:pPr>
    <w:rPr>
      <w:sz w:val="48"/>
    </w:rPr>
  </w:style>
  <w:style w:type="character" w:default="1" w:styleId="DefaultParagraphFont">
    <w:name w:val="Default Paragraph Font"/>
    <w:uiPriority w:val="1"/>
    <w:semiHidden/>
    <w:unhideWhenUsed/>
    <w:rsid w:val="00E311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11EC"/>
  </w:style>
  <w:style w:type="paragraph" w:styleId="TOC1">
    <w:name w:val="toc 1"/>
    <w:basedOn w:val="Normal"/>
    <w:next w:val="Normal"/>
    <w:autoRedefine/>
    <w:uiPriority w:val="39"/>
    <w:rsid w:val="0021462B"/>
  </w:style>
  <w:style w:type="character" w:styleId="Hyperlink">
    <w:name w:val="Hyperlink"/>
    <w:basedOn w:val="DefaultParagraphFont"/>
    <w:uiPriority w:val="99"/>
    <w:rsid w:val="0021462B"/>
    <w:rPr>
      <w:color w:val="0000FF"/>
      <w:u w:val="single"/>
    </w:rPr>
  </w:style>
  <w:style w:type="paragraph" w:styleId="BodyText">
    <w:name w:val="Body Text"/>
    <w:basedOn w:val="Normal"/>
    <w:rsid w:val="0021462B"/>
    <w:pPr>
      <w:jc w:val="center"/>
    </w:pPr>
    <w:rPr>
      <w:rFonts w:ascii="Albertus MT" w:hAnsi="Albertus MT" w:cs="Arial"/>
      <w:sz w:val="72"/>
    </w:rPr>
  </w:style>
  <w:style w:type="paragraph" w:styleId="BodyText2">
    <w:name w:val="Body Text 2"/>
    <w:basedOn w:val="Normal"/>
    <w:rsid w:val="0021462B"/>
    <w:pPr>
      <w:jc w:val="center"/>
    </w:pPr>
    <w:rPr>
      <w:rFonts w:ascii="Albertus MT" w:hAnsi="Albertus MT"/>
      <w:sz w:val="40"/>
    </w:rPr>
  </w:style>
  <w:style w:type="paragraph" w:styleId="Header">
    <w:name w:val="header"/>
    <w:basedOn w:val="Normal"/>
    <w:rsid w:val="0021462B"/>
    <w:pPr>
      <w:tabs>
        <w:tab w:val="center" w:pos="4153"/>
        <w:tab w:val="right" w:pos="8306"/>
      </w:tabs>
    </w:pPr>
  </w:style>
  <w:style w:type="paragraph" w:styleId="Footer">
    <w:name w:val="footer"/>
    <w:basedOn w:val="Normal"/>
    <w:link w:val="FooterChar"/>
    <w:uiPriority w:val="99"/>
    <w:rsid w:val="0021462B"/>
    <w:pPr>
      <w:tabs>
        <w:tab w:val="center" w:pos="4153"/>
        <w:tab w:val="right" w:pos="8306"/>
      </w:tabs>
    </w:pPr>
  </w:style>
  <w:style w:type="character" w:styleId="PageNumber">
    <w:name w:val="page number"/>
    <w:basedOn w:val="DefaultParagraphFont"/>
    <w:rsid w:val="0021462B"/>
  </w:style>
  <w:style w:type="paragraph" w:styleId="BodyText3">
    <w:name w:val="Body Text 3"/>
    <w:basedOn w:val="Normal"/>
    <w:rsid w:val="0021462B"/>
    <w:pPr>
      <w:spacing w:line="360" w:lineRule="auto"/>
      <w:jc w:val="both"/>
    </w:pPr>
  </w:style>
  <w:style w:type="character" w:styleId="CommentReference">
    <w:name w:val="annotation reference"/>
    <w:basedOn w:val="DefaultParagraphFont"/>
    <w:semiHidden/>
    <w:rsid w:val="0021462B"/>
    <w:rPr>
      <w:sz w:val="16"/>
      <w:szCs w:val="16"/>
    </w:rPr>
  </w:style>
  <w:style w:type="paragraph" w:styleId="CommentText">
    <w:name w:val="annotation text"/>
    <w:basedOn w:val="Normal"/>
    <w:semiHidden/>
    <w:rsid w:val="0021462B"/>
    <w:rPr>
      <w:sz w:val="20"/>
    </w:rPr>
  </w:style>
  <w:style w:type="paragraph" w:styleId="BodyTextIndent">
    <w:name w:val="Body Text Indent"/>
    <w:basedOn w:val="Normal"/>
    <w:rsid w:val="0021462B"/>
    <w:pPr>
      <w:spacing w:line="360" w:lineRule="auto"/>
      <w:ind w:left="360"/>
    </w:pPr>
  </w:style>
  <w:style w:type="paragraph" w:styleId="NormalWeb">
    <w:name w:val="Normal (Web)"/>
    <w:basedOn w:val="Normal"/>
    <w:rsid w:val="0021462B"/>
    <w:pPr>
      <w:spacing w:before="100" w:beforeAutospacing="1" w:after="100" w:afterAutospacing="1"/>
    </w:pPr>
    <w:rPr>
      <w:rFonts w:ascii="Verdana" w:eastAsia="Arial Unicode MS" w:hAnsi="Verdana" w:cs="Arial Unicode MS"/>
      <w:color w:val="000000"/>
      <w:sz w:val="15"/>
      <w:szCs w:val="15"/>
    </w:rPr>
  </w:style>
  <w:style w:type="character" w:styleId="FollowedHyperlink">
    <w:name w:val="FollowedHyperlink"/>
    <w:basedOn w:val="DefaultParagraphFont"/>
    <w:rsid w:val="0021462B"/>
    <w:rPr>
      <w:color w:val="800080"/>
      <w:u w:val="single"/>
    </w:rPr>
  </w:style>
  <w:style w:type="paragraph" w:styleId="BalloonText">
    <w:name w:val="Balloon Text"/>
    <w:basedOn w:val="Normal"/>
    <w:semiHidden/>
    <w:rsid w:val="0021462B"/>
    <w:rPr>
      <w:rFonts w:ascii="Tahoma" w:hAnsi="Tahoma" w:cs="Tahoma"/>
      <w:sz w:val="16"/>
      <w:szCs w:val="16"/>
    </w:rPr>
  </w:style>
  <w:style w:type="paragraph" w:styleId="CommentSubject">
    <w:name w:val="annotation subject"/>
    <w:basedOn w:val="CommentText"/>
    <w:next w:val="CommentText"/>
    <w:semiHidden/>
    <w:rsid w:val="0021462B"/>
    <w:rPr>
      <w:b/>
      <w:bCs/>
    </w:rPr>
  </w:style>
  <w:style w:type="table" w:styleId="TableGrid">
    <w:name w:val="Table Grid"/>
    <w:basedOn w:val="TableNormal"/>
    <w:rsid w:val="0021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pt">
    <w:name w:val="Normal + 11 pt"/>
    <w:aliases w:val="Line spacing: 1"/>
    <w:basedOn w:val="Normal"/>
    <w:link w:val="Normal11ptChar"/>
    <w:rsid w:val="0021462B"/>
    <w:pPr>
      <w:spacing w:line="360" w:lineRule="auto"/>
    </w:pPr>
  </w:style>
  <w:style w:type="paragraph" w:customStyle="1" w:styleId="SectionHeading1">
    <w:name w:val="Section Heading 1"/>
    <w:basedOn w:val="Normal"/>
    <w:rsid w:val="0021462B"/>
    <w:pPr>
      <w:keepNext/>
      <w:keepLines/>
      <w:numPr>
        <w:numId w:val="1"/>
      </w:numPr>
      <w:suppressAutoHyphens/>
      <w:spacing w:before="120" w:after="120"/>
      <w:jc w:val="both"/>
    </w:pPr>
    <w:rPr>
      <w:b/>
    </w:rPr>
  </w:style>
  <w:style w:type="paragraph" w:styleId="FootnoteText">
    <w:name w:val="footnote text"/>
    <w:basedOn w:val="Normal"/>
    <w:semiHidden/>
    <w:rsid w:val="0021462B"/>
    <w:rPr>
      <w:sz w:val="20"/>
    </w:rPr>
  </w:style>
  <w:style w:type="character" w:styleId="FootnoteReference">
    <w:name w:val="footnote reference"/>
    <w:basedOn w:val="DefaultParagraphFont"/>
    <w:semiHidden/>
    <w:rsid w:val="0021462B"/>
    <w:rPr>
      <w:vertAlign w:val="superscript"/>
    </w:rPr>
  </w:style>
  <w:style w:type="paragraph" w:customStyle="1" w:styleId="CharChar1Char">
    <w:name w:val="Char Char1 Char"/>
    <w:basedOn w:val="Normal"/>
    <w:rsid w:val="0021462B"/>
    <w:pPr>
      <w:overflowPunct w:val="0"/>
      <w:autoSpaceDE w:val="0"/>
      <w:autoSpaceDN w:val="0"/>
      <w:adjustRightInd w:val="0"/>
      <w:textAlignment w:val="baseline"/>
    </w:pPr>
    <w:rPr>
      <w:rFonts w:ascii="Arial" w:hAnsi="Arial"/>
    </w:rPr>
  </w:style>
  <w:style w:type="paragraph" w:styleId="TOC2">
    <w:name w:val="toc 2"/>
    <w:basedOn w:val="Normal"/>
    <w:next w:val="Normal"/>
    <w:autoRedefine/>
    <w:uiPriority w:val="39"/>
    <w:rsid w:val="0021462B"/>
    <w:pPr>
      <w:ind w:left="240"/>
    </w:pPr>
  </w:style>
  <w:style w:type="character" w:customStyle="1" w:styleId="Normal11ptChar">
    <w:name w:val="Normal + 11 pt Char"/>
    <w:aliases w:val="Line spacing: 1 Char"/>
    <w:basedOn w:val="DefaultParagraphFont"/>
    <w:link w:val="Normal11pt"/>
    <w:rsid w:val="0021462B"/>
    <w:rPr>
      <w:sz w:val="22"/>
      <w:szCs w:val="22"/>
      <w:lang w:val="en-AU" w:eastAsia="en-US" w:bidi="ar-SA"/>
    </w:rPr>
  </w:style>
  <w:style w:type="paragraph" w:styleId="TOC3">
    <w:name w:val="toc 3"/>
    <w:basedOn w:val="Normal"/>
    <w:next w:val="Normal"/>
    <w:autoRedefine/>
    <w:uiPriority w:val="39"/>
    <w:rsid w:val="0021462B"/>
    <w:pPr>
      <w:ind w:left="480"/>
    </w:pPr>
  </w:style>
  <w:style w:type="paragraph" w:customStyle="1" w:styleId="Dotlist">
    <w:name w:val="Dotlist"/>
    <w:basedOn w:val="Normal"/>
    <w:rsid w:val="0021462B"/>
    <w:pPr>
      <w:numPr>
        <w:numId w:val="2"/>
      </w:numPr>
    </w:pPr>
  </w:style>
  <w:style w:type="paragraph" w:styleId="Revision">
    <w:name w:val="Revision"/>
    <w:hidden/>
    <w:uiPriority w:val="99"/>
    <w:semiHidden/>
    <w:rsid w:val="0021462B"/>
    <w:rPr>
      <w:sz w:val="24"/>
      <w:lang w:eastAsia="en-US"/>
    </w:rPr>
  </w:style>
  <w:style w:type="paragraph" w:styleId="ListParagraph">
    <w:name w:val="List Paragraph"/>
    <w:basedOn w:val="Normal"/>
    <w:uiPriority w:val="34"/>
    <w:qFormat/>
    <w:rsid w:val="0021462B"/>
    <w:pPr>
      <w:ind w:left="720"/>
      <w:contextualSpacing/>
    </w:pPr>
  </w:style>
  <w:style w:type="numbering" w:customStyle="1" w:styleId="Style1">
    <w:name w:val="Style1"/>
    <w:uiPriority w:val="99"/>
    <w:rsid w:val="0021462B"/>
    <w:pPr>
      <w:numPr>
        <w:numId w:val="3"/>
      </w:numPr>
    </w:pPr>
  </w:style>
  <w:style w:type="character" w:styleId="Emphasis">
    <w:name w:val="Emphasis"/>
    <w:basedOn w:val="DefaultParagraphFont"/>
    <w:qFormat/>
    <w:rsid w:val="00DD53D4"/>
    <w:rPr>
      <w:rFonts w:asciiTheme="minorHAnsi" w:hAnsiTheme="minorHAnsi"/>
      <w:i/>
      <w:iCs/>
      <w:sz w:val="72"/>
    </w:rPr>
  </w:style>
  <w:style w:type="character" w:styleId="UnresolvedMention">
    <w:name w:val="Unresolved Mention"/>
    <w:basedOn w:val="DefaultParagraphFont"/>
    <w:uiPriority w:val="99"/>
    <w:semiHidden/>
    <w:unhideWhenUsed/>
    <w:rsid w:val="00552759"/>
    <w:rPr>
      <w:color w:val="605E5C"/>
      <w:shd w:val="clear" w:color="auto" w:fill="E1DFDD"/>
    </w:rPr>
  </w:style>
  <w:style w:type="paragraph" w:styleId="TOCHeading">
    <w:name w:val="TOC Heading"/>
    <w:basedOn w:val="Heading1"/>
    <w:next w:val="Normal"/>
    <w:uiPriority w:val="39"/>
    <w:unhideWhenUsed/>
    <w:qFormat/>
    <w:rsid w:val="004D1FE0"/>
    <w:pPr>
      <w:keepLines/>
      <w:spacing w:before="24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Subtitle">
    <w:name w:val="Subtitle"/>
    <w:basedOn w:val="Normal"/>
    <w:next w:val="Normal"/>
    <w:link w:val="SubtitleChar"/>
    <w:qFormat/>
    <w:rsid w:val="005233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523347"/>
    <w:rPr>
      <w:rFonts w:asciiTheme="minorHAnsi" w:eastAsiaTheme="minorEastAsia" w:hAnsiTheme="minorHAnsi" w:cstheme="minorBidi"/>
      <w:color w:val="5A5A5A" w:themeColor="text1" w:themeTint="A5"/>
      <w:spacing w:val="15"/>
      <w:sz w:val="22"/>
      <w:szCs w:val="22"/>
      <w:lang w:eastAsia="en-US"/>
    </w:rPr>
  </w:style>
  <w:style w:type="character" w:customStyle="1" w:styleId="FooterChar">
    <w:name w:val="Footer Char"/>
    <w:basedOn w:val="DefaultParagraphFont"/>
    <w:link w:val="Footer"/>
    <w:uiPriority w:val="99"/>
    <w:rsid w:val="000D244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2520">
      <w:bodyDiv w:val="1"/>
      <w:marLeft w:val="0"/>
      <w:marRight w:val="0"/>
      <w:marTop w:val="0"/>
      <w:marBottom w:val="0"/>
      <w:divBdr>
        <w:top w:val="none" w:sz="0" w:space="0" w:color="auto"/>
        <w:left w:val="none" w:sz="0" w:space="0" w:color="auto"/>
        <w:bottom w:val="none" w:sz="0" w:space="0" w:color="auto"/>
        <w:right w:val="none" w:sz="0" w:space="0" w:color="auto"/>
      </w:divBdr>
    </w:div>
    <w:div w:id="658506804">
      <w:bodyDiv w:val="1"/>
      <w:marLeft w:val="0"/>
      <w:marRight w:val="0"/>
      <w:marTop w:val="0"/>
      <w:marBottom w:val="0"/>
      <w:divBdr>
        <w:top w:val="none" w:sz="0" w:space="0" w:color="auto"/>
        <w:left w:val="none" w:sz="0" w:space="0" w:color="auto"/>
        <w:bottom w:val="none" w:sz="0" w:space="0" w:color="auto"/>
        <w:right w:val="none" w:sz="0" w:space="0" w:color="auto"/>
      </w:divBdr>
    </w:div>
    <w:div w:id="8516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pa.nlis.com.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20EUCAS@agriculture.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CAS@agriculture.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UCAS@agriculture.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riculture.gov.au/export/controlled-goods/meat/elmer-3/eucas"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6B510DE8-A032-4D57-900C-D859E05530FE}">
  <ds:schemaRefs>
    <ds:schemaRef ds:uri="http://schemas.openxmlformats.org/officeDocument/2006/bibliography"/>
  </ds:schemaRefs>
</ds:datastoreItem>
</file>

<file path=customXml/itemProps2.xml><?xml version="1.0" encoding="utf-8"?>
<ds:datastoreItem xmlns:ds="http://schemas.openxmlformats.org/officeDocument/2006/customXml" ds:itemID="{3CFF2A51-2755-431F-A9A4-986183A2460D}"/>
</file>

<file path=customXml/itemProps3.xml><?xml version="1.0" encoding="utf-8"?>
<ds:datastoreItem xmlns:ds="http://schemas.openxmlformats.org/officeDocument/2006/customXml" ds:itemID="{98F19B38-83B4-46DB-99EA-60553550C1C5}"/>
</file>

<file path=customXml/itemProps4.xml><?xml version="1.0" encoding="utf-8"?>
<ds:datastoreItem xmlns:ds="http://schemas.openxmlformats.org/officeDocument/2006/customXml" ds:itemID="{D2B44EF4-A978-4EA7-8220-9ABACA9F05D1}"/>
</file>

<file path=docProps/app.xml><?xml version="1.0" encoding="utf-8"?>
<Properties xmlns="http://schemas.openxmlformats.org/officeDocument/2006/extended-properties" xmlns:vt="http://schemas.openxmlformats.org/officeDocument/2006/docPropsVTypes">
  <Template>Normal</Template>
  <TotalTime>0</TotalTime>
  <Pages>13</Pages>
  <Words>3268</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European Union Cattle Aaccreditation Scheme (EUCAS) Rules for Farms</vt:lpstr>
    </vt:vector>
  </TitlesOfParts>
  <LinksUpToDate>false</LinksUpToDate>
  <CharactersWithSpaces>21965</CharactersWithSpaces>
  <SharedDoc>false</SharedDoc>
  <HLinks>
    <vt:vector size="144" baseType="variant">
      <vt:variant>
        <vt:i4>6619188</vt:i4>
      </vt:variant>
      <vt:variant>
        <vt:i4>114</vt:i4>
      </vt:variant>
      <vt:variant>
        <vt:i4>0</vt:i4>
      </vt:variant>
      <vt:variant>
        <vt:i4>5</vt:i4>
      </vt:variant>
      <vt:variant>
        <vt:lpwstr>http://lpa.ausmeat.com.au/</vt:lpwstr>
      </vt:variant>
      <vt:variant>
        <vt:lpwstr/>
      </vt:variant>
      <vt:variant>
        <vt:i4>262230</vt:i4>
      </vt:variant>
      <vt:variant>
        <vt:i4>111</vt:i4>
      </vt:variant>
      <vt:variant>
        <vt:i4>0</vt:i4>
      </vt:variant>
      <vt:variant>
        <vt:i4>5</vt:i4>
      </vt:variant>
      <vt:variant>
        <vt:lpwstr>http://www.agriculture.gov.au/biosecurity/eucas/agistment</vt:lpwstr>
      </vt:variant>
      <vt:variant>
        <vt:lpwstr/>
      </vt:variant>
      <vt:variant>
        <vt:i4>7012364</vt:i4>
      </vt:variant>
      <vt:variant>
        <vt:i4>108</vt:i4>
      </vt:variant>
      <vt:variant>
        <vt:i4>0</vt:i4>
      </vt:variant>
      <vt:variant>
        <vt:i4>5</vt:i4>
      </vt:variant>
      <vt:variant>
        <vt:lpwstr>mailto:eucas@agriculture.gov.au</vt:lpwstr>
      </vt:variant>
      <vt:variant>
        <vt:lpwstr/>
      </vt:variant>
      <vt:variant>
        <vt:i4>3932220</vt:i4>
      </vt:variant>
      <vt:variant>
        <vt:i4>105</vt:i4>
      </vt:variant>
      <vt:variant>
        <vt:i4>0</vt:i4>
      </vt:variant>
      <vt:variant>
        <vt:i4>5</vt:i4>
      </vt:variant>
      <vt:variant>
        <vt:lpwstr>http://www.agriculture.gov.au/biosecurity/eucas</vt:lpwstr>
      </vt:variant>
      <vt:variant>
        <vt:lpwstr/>
      </vt:variant>
      <vt:variant>
        <vt:i4>3932220</vt:i4>
      </vt:variant>
      <vt:variant>
        <vt:i4>102</vt:i4>
      </vt:variant>
      <vt:variant>
        <vt:i4>0</vt:i4>
      </vt:variant>
      <vt:variant>
        <vt:i4>5</vt:i4>
      </vt:variant>
      <vt:variant>
        <vt:lpwstr>http://www.agriculture.gov.au/biosecurity/eucas</vt:lpwstr>
      </vt:variant>
      <vt:variant>
        <vt:lpwstr/>
      </vt:variant>
      <vt:variant>
        <vt:i4>7667761</vt:i4>
      </vt:variant>
      <vt:variant>
        <vt:i4>99</vt:i4>
      </vt:variant>
      <vt:variant>
        <vt:i4>0</vt:i4>
      </vt:variant>
      <vt:variant>
        <vt:i4>5</vt:i4>
      </vt:variant>
      <vt:variant>
        <vt:lpwstr>http://sevices.apvma.gov.au/PubcrisWebClient/welcome.do</vt:lpwstr>
      </vt:variant>
      <vt:variant>
        <vt:lpwstr/>
      </vt:variant>
      <vt:variant>
        <vt:i4>131159</vt:i4>
      </vt:variant>
      <vt:variant>
        <vt:i4>96</vt:i4>
      </vt:variant>
      <vt:variant>
        <vt:i4>0</vt:i4>
      </vt:variant>
      <vt:variant>
        <vt:i4>5</vt:i4>
      </vt:variant>
      <vt:variant>
        <vt:lpwstr>http://www.apvma.gov.au/</vt:lpwstr>
      </vt:variant>
      <vt:variant>
        <vt:lpwstr/>
      </vt:variant>
      <vt:variant>
        <vt:i4>7012364</vt:i4>
      </vt:variant>
      <vt:variant>
        <vt:i4>93</vt:i4>
      </vt:variant>
      <vt:variant>
        <vt:i4>0</vt:i4>
      </vt:variant>
      <vt:variant>
        <vt:i4>5</vt:i4>
      </vt:variant>
      <vt:variant>
        <vt:lpwstr>mailto:EUCAS@agriculture.gov.au</vt:lpwstr>
      </vt:variant>
      <vt:variant>
        <vt:lpwstr/>
      </vt:variant>
      <vt:variant>
        <vt:i4>262230</vt:i4>
      </vt:variant>
      <vt:variant>
        <vt:i4>90</vt:i4>
      </vt:variant>
      <vt:variant>
        <vt:i4>0</vt:i4>
      </vt:variant>
      <vt:variant>
        <vt:i4>5</vt:i4>
      </vt:variant>
      <vt:variant>
        <vt:lpwstr>http://www.agriculture.gov.au/biosecurity/eucas/agistment</vt:lpwstr>
      </vt:variant>
      <vt:variant>
        <vt:lpwstr/>
      </vt:variant>
      <vt:variant>
        <vt:i4>3932220</vt:i4>
      </vt:variant>
      <vt:variant>
        <vt:i4>87</vt:i4>
      </vt:variant>
      <vt:variant>
        <vt:i4>0</vt:i4>
      </vt:variant>
      <vt:variant>
        <vt:i4>5</vt:i4>
      </vt:variant>
      <vt:variant>
        <vt:lpwstr>http://www.agriculture.gov.au/biosecurity/eucas</vt:lpwstr>
      </vt:variant>
      <vt:variant>
        <vt:lpwstr/>
      </vt:variant>
      <vt:variant>
        <vt:i4>1114165</vt:i4>
      </vt:variant>
      <vt:variant>
        <vt:i4>80</vt:i4>
      </vt:variant>
      <vt:variant>
        <vt:i4>0</vt:i4>
      </vt:variant>
      <vt:variant>
        <vt:i4>5</vt:i4>
      </vt:variant>
      <vt:variant>
        <vt:lpwstr/>
      </vt:variant>
      <vt:variant>
        <vt:lpwstr>_Toc397334285</vt:lpwstr>
      </vt:variant>
      <vt:variant>
        <vt:i4>1114165</vt:i4>
      </vt:variant>
      <vt:variant>
        <vt:i4>74</vt:i4>
      </vt:variant>
      <vt:variant>
        <vt:i4>0</vt:i4>
      </vt:variant>
      <vt:variant>
        <vt:i4>5</vt:i4>
      </vt:variant>
      <vt:variant>
        <vt:lpwstr/>
      </vt:variant>
      <vt:variant>
        <vt:lpwstr>_Toc397334284</vt:lpwstr>
      </vt:variant>
      <vt:variant>
        <vt:i4>1114165</vt:i4>
      </vt:variant>
      <vt:variant>
        <vt:i4>68</vt:i4>
      </vt:variant>
      <vt:variant>
        <vt:i4>0</vt:i4>
      </vt:variant>
      <vt:variant>
        <vt:i4>5</vt:i4>
      </vt:variant>
      <vt:variant>
        <vt:lpwstr/>
      </vt:variant>
      <vt:variant>
        <vt:lpwstr>_Toc397334283</vt:lpwstr>
      </vt:variant>
      <vt:variant>
        <vt:i4>1114165</vt:i4>
      </vt:variant>
      <vt:variant>
        <vt:i4>62</vt:i4>
      </vt:variant>
      <vt:variant>
        <vt:i4>0</vt:i4>
      </vt:variant>
      <vt:variant>
        <vt:i4>5</vt:i4>
      </vt:variant>
      <vt:variant>
        <vt:lpwstr/>
      </vt:variant>
      <vt:variant>
        <vt:lpwstr>_Toc397334282</vt:lpwstr>
      </vt:variant>
      <vt:variant>
        <vt:i4>1114165</vt:i4>
      </vt:variant>
      <vt:variant>
        <vt:i4>56</vt:i4>
      </vt:variant>
      <vt:variant>
        <vt:i4>0</vt:i4>
      </vt:variant>
      <vt:variant>
        <vt:i4>5</vt:i4>
      </vt:variant>
      <vt:variant>
        <vt:lpwstr/>
      </vt:variant>
      <vt:variant>
        <vt:lpwstr>_Toc397334281</vt:lpwstr>
      </vt:variant>
      <vt:variant>
        <vt:i4>1114165</vt:i4>
      </vt:variant>
      <vt:variant>
        <vt:i4>50</vt:i4>
      </vt:variant>
      <vt:variant>
        <vt:i4>0</vt:i4>
      </vt:variant>
      <vt:variant>
        <vt:i4>5</vt:i4>
      </vt:variant>
      <vt:variant>
        <vt:lpwstr/>
      </vt:variant>
      <vt:variant>
        <vt:lpwstr>_Toc397334280</vt:lpwstr>
      </vt:variant>
      <vt:variant>
        <vt:i4>1966133</vt:i4>
      </vt:variant>
      <vt:variant>
        <vt:i4>44</vt:i4>
      </vt:variant>
      <vt:variant>
        <vt:i4>0</vt:i4>
      </vt:variant>
      <vt:variant>
        <vt:i4>5</vt:i4>
      </vt:variant>
      <vt:variant>
        <vt:lpwstr/>
      </vt:variant>
      <vt:variant>
        <vt:lpwstr>_Toc397334279</vt:lpwstr>
      </vt:variant>
      <vt:variant>
        <vt:i4>1966133</vt:i4>
      </vt:variant>
      <vt:variant>
        <vt:i4>38</vt:i4>
      </vt:variant>
      <vt:variant>
        <vt:i4>0</vt:i4>
      </vt:variant>
      <vt:variant>
        <vt:i4>5</vt:i4>
      </vt:variant>
      <vt:variant>
        <vt:lpwstr/>
      </vt:variant>
      <vt:variant>
        <vt:lpwstr>_Toc397334278</vt:lpwstr>
      </vt:variant>
      <vt:variant>
        <vt:i4>1966133</vt:i4>
      </vt:variant>
      <vt:variant>
        <vt:i4>32</vt:i4>
      </vt:variant>
      <vt:variant>
        <vt:i4>0</vt:i4>
      </vt:variant>
      <vt:variant>
        <vt:i4>5</vt:i4>
      </vt:variant>
      <vt:variant>
        <vt:lpwstr/>
      </vt:variant>
      <vt:variant>
        <vt:lpwstr>_Toc397334277</vt:lpwstr>
      </vt:variant>
      <vt:variant>
        <vt:i4>1966133</vt:i4>
      </vt:variant>
      <vt:variant>
        <vt:i4>26</vt:i4>
      </vt:variant>
      <vt:variant>
        <vt:i4>0</vt:i4>
      </vt:variant>
      <vt:variant>
        <vt:i4>5</vt:i4>
      </vt:variant>
      <vt:variant>
        <vt:lpwstr/>
      </vt:variant>
      <vt:variant>
        <vt:lpwstr>_Toc397334276</vt:lpwstr>
      </vt:variant>
      <vt:variant>
        <vt:i4>1966133</vt:i4>
      </vt:variant>
      <vt:variant>
        <vt:i4>20</vt:i4>
      </vt:variant>
      <vt:variant>
        <vt:i4>0</vt:i4>
      </vt:variant>
      <vt:variant>
        <vt:i4>5</vt:i4>
      </vt:variant>
      <vt:variant>
        <vt:lpwstr/>
      </vt:variant>
      <vt:variant>
        <vt:lpwstr>_Toc397334275</vt:lpwstr>
      </vt:variant>
      <vt:variant>
        <vt:i4>1966133</vt:i4>
      </vt:variant>
      <vt:variant>
        <vt:i4>14</vt:i4>
      </vt:variant>
      <vt:variant>
        <vt:i4>0</vt:i4>
      </vt:variant>
      <vt:variant>
        <vt:i4>5</vt:i4>
      </vt:variant>
      <vt:variant>
        <vt:lpwstr/>
      </vt:variant>
      <vt:variant>
        <vt:lpwstr>_Toc397334274</vt:lpwstr>
      </vt:variant>
      <vt:variant>
        <vt:i4>1966133</vt:i4>
      </vt:variant>
      <vt:variant>
        <vt:i4>8</vt:i4>
      </vt:variant>
      <vt:variant>
        <vt:i4>0</vt:i4>
      </vt:variant>
      <vt:variant>
        <vt:i4>5</vt:i4>
      </vt:variant>
      <vt:variant>
        <vt:lpwstr/>
      </vt:variant>
      <vt:variant>
        <vt:lpwstr>_Toc397334273</vt:lpwstr>
      </vt:variant>
      <vt:variant>
        <vt:i4>1966133</vt:i4>
      </vt:variant>
      <vt:variant>
        <vt:i4>2</vt:i4>
      </vt:variant>
      <vt:variant>
        <vt:i4>0</vt:i4>
      </vt:variant>
      <vt:variant>
        <vt:i4>5</vt:i4>
      </vt:variant>
      <vt:variant>
        <vt:lpwstr/>
      </vt:variant>
      <vt:variant>
        <vt:lpwstr>_Toc397334272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 Cattle Aaccreditation Scheme (EUCAS) Rules for Farms</dc:title>
  <dc:creator/>
  <cp:lastModifiedBy/>
  <cp:revision>1</cp:revision>
  <cp:lastPrinted>2010-09-08T23:10:00Z</cp:lastPrinted>
  <dcterms:created xsi:type="dcterms:W3CDTF">2023-06-26T04:14:00Z</dcterms:created>
  <dcterms:modified xsi:type="dcterms:W3CDTF">2023-06-26T05:57:00Z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