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9606" w14:textId="77777777"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60AD24B1" w14:textId="702AA961" w:rsidR="00A211B5" w:rsidRDefault="0036731C" w:rsidP="00A35D03">
      <w:pPr>
        <w:spacing w:before="120"/>
      </w:pPr>
      <w:r w:rsidRPr="0036731C">
        <w:t xml:space="preserve">This table details the payment </w:t>
      </w:r>
      <w:r w:rsidR="006F4757">
        <w:t>I</w:t>
      </w:r>
      <w:r w:rsidRPr="0036731C">
        <w:t xml:space="preserve">nformation for the </w:t>
      </w:r>
      <w:bookmarkStart w:id="0" w:name="_Hlk133922275"/>
      <w:r w:rsidR="00C40FFD" w:rsidRPr="001C682D">
        <w:rPr>
          <w:rFonts w:cstheme="minorHAnsi"/>
          <w:color w:val="000000"/>
          <w:lang w:eastAsia="en-AU"/>
        </w:rPr>
        <w:t xml:space="preserve">Drought Resilience </w:t>
      </w:r>
      <w:r w:rsidR="00C40FFD" w:rsidRPr="000A660B">
        <w:rPr>
          <w:rFonts w:cstheme="minorHAnsi"/>
          <w:color w:val="000000"/>
          <w:lang w:eastAsia="en-AU"/>
        </w:rPr>
        <w:t xml:space="preserve">Leaders </w:t>
      </w:r>
      <w:r w:rsidRPr="000A660B">
        <w:t xml:space="preserve">program </w:t>
      </w:r>
      <w:bookmarkEnd w:id="0"/>
      <w:r w:rsidRPr="000A660B">
        <w:t>as</w:t>
      </w:r>
      <w:r w:rsidRPr="0036731C">
        <w:t xml:space="preserve"> required under </w:t>
      </w:r>
      <w:r w:rsidR="002C1F8F">
        <w:t>S</w:t>
      </w:r>
      <w:r w:rsidRPr="0036731C">
        <w:t xml:space="preserve">ection 27A of the </w:t>
      </w:r>
      <w:r w:rsidRPr="00C73D05">
        <w:rPr>
          <w:rStyle w:val="Emphasis"/>
        </w:rPr>
        <w:t>Future</w:t>
      </w:r>
      <w:r w:rsidR="00101422">
        <w:rPr>
          <w:rStyle w:val="Emphasis"/>
        </w:rPr>
        <w:t> </w:t>
      </w:r>
      <w:r w:rsidRPr="00C73D05">
        <w:rPr>
          <w:rStyle w:val="Emphasis"/>
        </w:rPr>
        <w:t>Drought Fund Act 2019</w:t>
      </w:r>
      <w:r w:rsidR="00C73D05">
        <w:t>.</w:t>
      </w:r>
    </w:p>
    <w:p w14:paraId="6D658333" w14:textId="77777777" w:rsidR="00BC1FDA" w:rsidRDefault="00DB6BC0" w:rsidP="00A35D03">
      <w:pPr>
        <w:spacing w:before="120"/>
      </w:pPr>
      <w:r>
        <w:t>All payments in this table are GST exclusiv</w:t>
      </w:r>
      <w:r w:rsidR="00577949">
        <w:t>e</w:t>
      </w:r>
      <w:r w:rsidR="00CD21B4">
        <w:t>.</w:t>
      </w:r>
    </w:p>
    <w:p w14:paraId="6A6720C1" w14:textId="2AD8046C" w:rsidR="00656160" w:rsidRDefault="009010F9" w:rsidP="009010F9">
      <w:pPr>
        <w:pStyle w:val="Caption"/>
      </w:pPr>
      <w:r>
        <w:t xml:space="preserve">Table </w:t>
      </w:r>
      <w:fldSimple w:instr=" SEQ Table \* ARABIC ">
        <w:r w:rsidR="00F45D92">
          <w:rPr>
            <w:noProof/>
          </w:rPr>
          <w:t>1</w:t>
        </w:r>
      </w:fldSimple>
      <w:r w:rsidR="003A195C">
        <w:t xml:space="preserve"> </w:t>
      </w:r>
      <w:r w:rsidR="00C40FFD" w:rsidRPr="001C682D">
        <w:rPr>
          <w:rFonts w:asciiTheme="minorHAnsi" w:hAnsiTheme="minorHAnsi" w:cstheme="minorHAnsi"/>
          <w:color w:val="000000"/>
          <w:lang w:eastAsia="en-AU"/>
        </w:rPr>
        <w:t xml:space="preserve">Drought Resilience </w:t>
      </w:r>
      <w:r w:rsidR="00C40FFD" w:rsidRPr="000A660B">
        <w:rPr>
          <w:rFonts w:asciiTheme="minorHAnsi" w:hAnsiTheme="minorHAnsi" w:cstheme="minorHAnsi"/>
          <w:color w:val="000000"/>
          <w:lang w:eastAsia="en-AU"/>
        </w:rPr>
        <w:t xml:space="preserve">Leaders </w:t>
      </w:r>
      <w:r w:rsidR="00CE2103" w:rsidRPr="000A660B">
        <w:t>program</w:t>
      </w:r>
    </w:p>
    <w:tbl>
      <w:tblPr>
        <w:tblStyle w:val="TableGrid"/>
        <w:tblW w:w="5000" w:type="pct"/>
        <w:tblLook w:val="04A0" w:firstRow="1" w:lastRow="0" w:firstColumn="1" w:lastColumn="0" w:noHBand="0" w:noVBand="1"/>
      </w:tblPr>
      <w:tblGrid>
        <w:gridCol w:w="1414"/>
        <w:gridCol w:w="852"/>
        <w:gridCol w:w="1700"/>
        <w:gridCol w:w="3685"/>
        <w:gridCol w:w="1444"/>
        <w:gridCol w:w="1676"/>
        <w:gridCol w:w="1503"/>
        <w:gridCol w:w="1718"/>
      </w:tblGrid>
      <w:tr w:rsidR="00F21CD2" w14:paraId="7618B56A" w14:textId="77777777" w:rsidTr="00FD5DEB">
        <w:trPr>
          <w:cantSplit/>
          <w:tblHeader/>
        </w:trPr>
        <w:tc>
          <w:tcPr>
            <w:tcW w:w="505" w:type="pct"/>
          </w:tcPr>
          <w:p w14:paraId="1160753E" w14:textId="77777777" w:rsidR="00F21CD2" w:rsidRPr="00CB0F02" w:rsidDel="000310E2" w:rsidRDefault="00F21CD2" w:rsidP="00EF0676">
            <w:pPr>
              <w:pStyle w:val="TableHeading"/>
            </w:pPr>
            <w:bookmarkStart w:id="1" w:name="Title_1"/>
            <w:bookmarkEnd w:id="1"/>
            <w:r w:rsidRPr="00CB0F02">
              <w:t>Organisation</w:t>
            </w:r>
          </w:p>
        </w:tc>
        <w:tc>
          <w:tcPr>
            <w:tcW w:w="304" w:type="pct"/>
          </w:tcPr>
          <w:p w14:paraId="3C7E78EE" w14:textId="77777777" w:rsidR="00F21CD2" w:rsidRPr="00CB0F02" w:rsidDel="000310E2" w:rsidRDefault="00F21CD2" w:rsidP="00EF0676">
            <w:pPr>
              <w:pStyle w:val="TableHeading"/>
            </w:pPr>
            <w:r w:rsidRPr="00CB0F02">
              <w:t>Region</w:t>
            </w:r>
          </w:p>
        </w:tc>
        <w:tc>
          <w:tcPr>
            <w:tcW w:w="607" w:type="pct"/>
          </w:tcPr>
          <w:p w14:paraId="5AF21F25" w14:textId="77777777" w:rsidR="00F21CD2" w:rsidRPr="00CB0F02" w:rsidDel="000310E2" w:rsidRDefault="00F21CD2" w:rsidP="00EF0676">
            <w:pPr>
              <w:pStyle w:val="TableHeading"/>
            </w:pPr>
            <w:r w:rsidRPr="00CB0F02">
              <w:t>Legislative purpose</w:t>
            </w:r>
          </w:p>
        </w:tc>
        <w:tc>
          <w:tcPr>
            <w:tcW w:w="1317" w:type="pct"/>
          </w:tcPr>
          <w:p w14:paraId="15A1C2BC" w14:textId="77777777" w:rsidR="00F21CD2" w:rsidRPr="00CB0F02" w:rsidDel="000310E2" w:rsidRDefault="00F21CD2" w:rsidP="00EF0676">
            <w:pPr>
              <w:pStyle w:val="TableHeading"/>
            </w:pPr>
            <w:r w:rsidRPr="00CB0F02">
              <w:t>Program description</w:t>
            </w:r>
          </w:p>
        </w:tc>
        <w:tc>
          <w:tcPr>
            <w:tcW w:w="516" w:type="pct"/>
          </w:tcPr>
          <w:p w14:paraId="79B8562C" w14:textId="77777777" w:rsidR="00F21CD2" w:rsidRPr="00CB0F02" w:rsidDel="000310E2" w:rsidRDefault="00F21CD2" w:rsidP="00EF0676">
            <w:pPr>
              <w:pStyle w:val="TableHeading"/>
            </w:pPr>
            <w:r w:rsidRPr="00CB0F02">
              <w:t>Total amount payable</w:t>
            </w:r>
          </w:p>
        </w:tc>
        <w:tc>
          <w:tcPr>
            <w:tcW w:w="599" w:type="pct"/>
          </w:tcPr>
          <w:p w14:paraId="2FCED8CF" w14:textId="159ACA4C" w:rsidR="00F21CD2" w:rsidRPr="00CB0F02" w:rsidDel="000310E2" w:rsidRDefault="00F21CD2" w:rsidP="00EF0676">
            <w:pPr>
              <w:pStyle w:val="TableHeading"/>
            </w:pPr>
            <w:r w:rsidRPr="00D65304">
              <w:t>Total amount paid as at 1 A</w:t>
            </w:r>
            <w:r w:rsidR="006A68A1" w:rsidRPr="00D65304">
              <w:t>ugust</w:t>
            </w:r>
            <w:r w:rsidRPr="00D65304">
              <w:t> 202</w:t>
            </w:r>
            <w:r w:rsidR="006A68A1" w:rsidRPr="00D65304">
              <w:t>2</w:t>
            </w:r>
          </w:p>
        </w:tc>
        <w:tc>
          <w:tcPr>
            <w:tcW w:w="537" w:type="pct"/>
          </w:tcPr>
          <w:p w14:paraId="2D605CBC" w14:textId="77777777" w:rsidR="00F21CD2" w:rsidRPr="00CB0F02" w:rsidRDefault="00F21CD2" w:rsidP="00EF0676">
            <w:pPr>
              <w:pStyle w:val="TableHeading"/>
            </w:pPr>
            <w:r w:rsidRPr="00CB0F02">
              <w:t>Payment date</w:t>
            </w:r>
          </w:p>
        </w:tc>
        <w:tc>
          <w:tcPr>
            <w:tcW w:w="614" w:type="pct"/>
          </w:tcPr>
          <w:p w14:paraId="64D26279" w14:textId="77777777" w:rsidR="00F21CD2" w:rsidRPr="00CB0F02" w:rsidRDefault="00F21CD2" w:rsidP="00EF0676">
            <w:pPr>
              <w:pStyle w:val="TableHeading"/>
            </w:pPr>
            <w:r w:rsidRPr="00CB0F02">
              <w:t>Payment amount</w:t>
            </w:r>
          </w:p>
        </w:tc>
      </w:tr>
      <w:tr w:rsidR="00EB63BC" w14:paraId="03533BD3" w14:textId="77777777" w:rsidTr="00FD5DEB">
        <w:trPr>
          <w:trHeight w:val="200"/>
        </w:trPr>
        <w:tc>
          <w:tcPr>
            <w:tcW w:w="505" w:type="pct"/>
            <w:vMerge w:val="restart"/>
            <w:tcBorders>
              <w:top w:val="single" w:sz="8" w:space="0" w:color="auto"/>
            </w:tcBorders>
          </w:tcPr>
          <w:p w14:paraId="42C624CD" w14:textId="1E885309" w:rsidR="00EB63BC" w:rsidRPr="00430DB6" w:rsidRDefault="00EB63BC" w:rsidP="00430DB6">
            <w:pPr>
              <w:pStyle w:val="TableText"/>
              <w:rPr>
                <w:rStyle w:val="Strong"/>
                <w:b w:val="0"/>
                <w:bCs w:val="0"/>
              </w:rPr>
            </w:pPr>
            <w:r w:rsidRPr="00430DB6">
              <w:rPr>
                <w:rStyle w:val="Strong"/>
                <w:b w:val="0"/>
                <w:bCs w:val="0"/>
              </w:rPr>
              <w:t>Australian Rural Leadership Foundation (ARLF)</w:t>
            </w:r>
          </w:p>
        </w:tc>
        <w:tc>
          <w:tcPr>
            <w:tcW w:w="304" w:type="pct"/>
            <w:vMerge w:val="restart"/>
            <w:tcBorders>
              <w:top w:val="single" w:sz="8" w:space="0" w:color="auto"/>
            </w:tcBorders>
          </w:tcPr>
          <w:p w14:paraId="467EB226" w14:textId="5D6C6D46" w:rsidR="00EB63BC" w:rsidRPr="00430DB6" w:rsidRDefault="00EB63BC" w:rsidP="00430DB6">
            <w:pPr>
              <w:pStyle w:val="TableText"/>
              <w:rPr>
                <w:rStyle w:val="Strong"/>
                <w:b w:val="0"/>
                <w:bCs w:val="0"/>
              </w:rPr>
            </w:pPr>
            <w:r w:rsidRPr="00430DB6">
              <w:t>National</w:t>
            </w:r>
          </w:p>
        </w:tc>
        <w:tc>
          <w:tcPr>
            <w:tcW w:w="607" w:type="pct"/>
            <w:vMerge w:val="restart"/>
            <w:tcBorders>
              <w:top w:val="single" w:sz="8" w:space="0" w:color="auto"/>
            </w:tcBorders>
          </w:tcPr>
          <w:p w14:paraId="0585484E" w14:textId="23A906AD" w:rsidR="00EB63BC" w:rsidRPr="00430DB6" w:rsidRDefault="00EB63BC" w:rsidP="00430DB6">
            <w:pPr>
              <w:pStyle w:val="TableText"/>
              <w:rPr>
                <w:rStyle w:val="Strong"/>
                <w:b w:val="0"/>
                <w:bCs w:val="0"/>
              </w:rPr>
            </w:pPr>
            <w:r w:rsidRPr="00430DB6">
              <w:t>s21(1)(c) – Carrying out a project that is directed towards achieving drought resilience</w:t>
            </w:r>
          </w:p>
        </w:tc>
        <w:tc>
          <w:tcPr>
            <w:tcW w:w="1317" w:type="pct"/>
            <w:vMerge w:val="restart"/>
            <w:tcBorders>
              <w:top w:val="single" w:sz="8" w:space="0" w:color="auto"/>
            </w:tcBorders>
          </w:tcPr>
          <w:p w14:paraId="48F3E552" w14:textId="4B8B7764" w:rsidR="00EB63BC" w:rsidRPr="00430DB6" w:rsidRDefault="00EB63BC" w:rsidP="00430DB6">
            <w:pPr>
              <w:pStyle w:val="TableText"/>
              <w:rPr>
                <w:rStyle w:val="Strong"/>
                <w:b w:val="0"/>
                <w:bCs w:val="0"/>
              </w:rPr>
            </w:pPr>
            <w:r w:rsidRPr="00430DB6">
              <w:rPr>
                <w:rStyle w:val="Strong"/>
                <w:b w:val="0"/>
                <w:bCs w:val="0"/>
              </w:rPr>
              <w:t>Drought Resilience Leaders Program</w:t>
            </w:r>
          </w:p>
          <w:p w14:paraId="0439A133" w14:textId="77777777" w:rsidR="009924B8" w:rsidRDefault="00EB63BC" w:rsidP="00430DB6">
            <w:pPr>
              <w:pStyle w:val="TableText"/>
              <w:rPr>
                <w:rStyle w:val="Emphasis"/>
              </w:rPr>
            </w:pPr>
            <w:r w:rsidRPr="00430DB6">
              <w:rPr>
                <w:rStyle w:val="Emphasis"/>
              </w:rPr>
              <w:t>This program provides leadership development, community extension grants and mentoring opportunities for agricultural communities.</w:t>
            </w:r>
          </w:p>
          <w:p w14:paraId="65338C69" w14:textId="3BE967A3" w:rsidR="00EB63BC" w:rsidRPr="00430DB6" w:rsidRDefault="00EB63BC" w:rsidP="00430DB6">
            <w:pPr>
              <w:pStyle w:val="TableText"/>
              <w:rPr>
                <w:rStyle w:val="Emphasis"/>
                <w:i w:val="0"/>
                <w:iCs w:val="0"/>
              </w:rPr>
            </w:pPr>
            <w:r w:rsidRPr="00430DB6">
              <w:rPr>
                <w:rStyle w:val="Emphasis"/>
              </w:rPr>
              <w:t xml:space="preserve"> The Australian Rural Leadership Foundation is delivering the program</w:t>
            </w:r>
            <w:r w:rsidRPr="00430DB6">
              <w:rPr>
                <w:rStyle w:val="Emphasis"/>
                <w:i w:val="0"/>
                <w:iCs w:val="0"/>
              </w:rPr>
              <w:t>.</w:t>
            </w:r>
          </w:p>
        </w:tc>
        <w:tc>
          <w:tcPr>
            <w:tcW w:w="516" w:type="pct"/>
            <w:vMerge w:val="restart"/>
            <w:tcBorders>
              <w:top w:val="single" w:sz="8" w:space="0" w:color="auto"/>
            </w:tcBorders>
          </w:tcPr>
          <w:p w14:paraId="059E7B34" w14:textId="50E6E843" w:rsidR="00EB63BC" w:rsidRPr="00430DB6" w:rsidRDefault="00EB63BC" w:rsidP="00430DB6">
            <w:pPr>
              <w:pStyle w:val="TableText"/>
              <w:jc w:val="right"/>
              <w:rPr>
                <w:rStyle w:val="Strong"/>
                <w:b w:val="0"/>
                <w:bCs w:val="0"/>
              </w:rPr>
            </w:pPr>
            <w:r w:rsidRPr="00430DB6">
              <w:t>$17,450,000.00</w:t>
            </w:r>
          </w:p>
        </w:tc>
        <w:tc>
          <w:tcPr>
            <w:tcW w:w="599" w:type="pct"/>
            <w:vMerge w:val="restart"/>
            <w:tcBorders>
              <w:top w:val="single" w:sz="8" w:space="0" w:color="auto"/>
            </w:tcBorders>
          </w:tcPr>
          <w:p w14:paraId="2BE93250" w14:textId="188CEF21" w:rsidR="00EB63BC" w:rsidRPr="00430DB6" w:rsidRDefault="00EB63BC" w:rsidP="00430DB6">
            <w:pPr>
              <w:pStyle w:val="TableText"/>
              <w:jc w:val="right"/>
              <w:rPr>
                <w:rStyle w:val="Strong"/>
                <w:b w:val="0"/>
                <w:bCs w:val="0"/>
              </w:rPr>
            </w:pPr>
            <w:r w:rsidRPr="00430DB6">
              <w:rPr>
                <w:rStyle w:val="Strong"/>
                <w:b w:val="0"/>
                <w:bCs w:val="0"/>
              </w:rPr>
              <w:t>$13,008,856.00</w:t>
            </w:r>
          </w:p>
        </w:tc>
        <w:tc>
          <w:tcPr>
            <w:tcW w:w="537" w:type="pct"/>
            <w:tcBorders>
              <w:top w:val="single" w:sz="8" w:space="0" w:color="auto"/>
            </w:tcBorders>
          </w:tcPr>
          <w:p w14:paraId="2C3BF849" w14:textId="1D5D6C47" w:rsidR="00EB63BC" w:rsidRPr="00430DB6" w:rsidRDefault="00EB63BC" w:rsidP="00430DB6">
            <w:pPr>
              <w:pStyle w:val="TableText"/>
              <w:jc w:val="right"/>
              <w:rPr>
                <w:rStyle w:val="Strong"/>
                <w:b w:val="0"/>
                <w:bCs w:val="0"/>
              </w:rPr>
            </w:pPr>
            <w:r w:rsidRPr="00430DB6">
              <w:t>16/03/2021</w:t>
            </w:r>
          </w:p>
        </w:tc>
        <w:tc>
          <w:tcPr>
            <w:tcW w:w="614" w:type="pct"/>
            <w:tcBorders>
              <w:top w:val="single" w:sz="8" w:space="0" w:color="auto"/>
            </w:tcBorders>
          </w:tcPr>
          <w:p w14:paraId="13B0DE77" w14:textId="15AF6AA3" w:rsidR="00EB63BC" w:rsidRPr="00430DB6" w:rsidRDefault="00EB63BC" w:rsidP="00430DB6">
            <w:pPr>
              <w:pStyle w:val="TableText"/>
              <w:jc w:val="right"/>
            </w:pPr>
            <w:r w:rsidRPr="00430DB6">
              <w:t>$725,986.46</w:t>
            </w:r>
          </w:p>
        </w:tc>
      </w:tr>
      <w:tr w:rsidR="00EB63BC" w14:paraId="13683B90" w14:textId="77777777" w:rsidTr="00FD5DEB">
        <w:trPr>
          <w:trHeight w:val="129"/>
        </w:trPr>
        <w:tc>
          <w:tcPr>
            <w:tcW w:w="505" w:type="pct"/>
            <w:vMerge/>
          </w:tcPr>
          <w:p w14:paraId="2B2AB0CC" w14:textId="77777777" w:rsidR="00EB63BC" w:rsidRPr="00430DB6" w:rsidRDefault="00EB63BC" w:rsidP="00430DB6">
            <w:pPr>
              <w:pStyle w:val="TableText"/>
            </w:pPr>
          </w:p>
        </w:tc>
        <w:tc>
          <w:tcPr>
            <w:tcW w:w="304" w:type="pct"/>
            <w:vMerge/>
          </w:tcPr>
          <w:p w14:paraId="1FCD3CDC" w14:textId="77777777" w:rsidR="00EB63BC" w:rsidRPr="00430DB6" w:rsidRDefault="00EB63BC" w:rsidP="00430DB6">
            <w:pPr>
              <w:pStyle w:val="TableText"/>
            </w:pPr>
          </w:p>
        </w:tc>
        <w:tc>
          <w:tcPr>
            <w:tcW w:w="607" w:type="pct"/>
            <w:vMerge/>
          </w:tcPr>
          <w:p w14:paraId="1FA477A0" w14:textId="77777777" w:rsidR="00EB63BC" w:rsidRPr="00430DB6" w:rsidRDefault="00EB63BC" w:rsidP="00430DB6">
            <w:pPr>
              <w:pStyle w:val="TableText"/>
            </w:pPr>
          </w:p>
        </w:tc>
        <w:tc>
          <w:tcPr>
            <w:tcW w:w="1317" w:type="pct"/>
            <w:vMerge/>
          </w:tcPr>
          <w:p w14:paraId="038DF558" w14:textId="77777777" w:rsidR="00EB63BC" w:rsidRPr="00430DB6" w:rsidRDefault="00EB63BC" w:rsidP="00430DB6">
            <w:pPr>
              <w:pStyle w:val="TableText"/>
            </w:pPr>
          </w:p>
        </w:tc>
        <w:tc>
          <w:tcPr>
            <w:tcW w:w="516" w:type="pct"/>
            <w:vMerge/>
          </w:tcPr>
          <w:p w14:paraId="7809D7A1" w14:textId="77777777" w:rsidR="00EB63BC" w:rsidRPr="00430DB6" w:rsidRDefault="00EB63BC" w:rsidP="00430DB6">
            <w:pPr>
              <w:pStyle w:val="TableText"/>
              <w:rPr>
                <w:rStyle w:val="Strong"/>
                <w:b w:val="0"/>
                <w:bCs w:val="0"/>
              </w:rPr>
            </w:pPr>
          </w:p>
        </w:tc>
        <w:tc>
          <w:tcPr>
            <w:tcW w:w="599" w:type="pct"/>
            <w:vMerge/>
          </w:tcPr>
          <w:p w14:paraId="2CA23134" w14:textId="77777777" w:rsidR="00EB63BC" w:rsidRPr="00430DB6" w:rsidRDefault="00EB63BC" w:rsidP="00430DB6">
            <w:pPr>
              <w:pStyle w:val="TableText"/>
              <w:rPr>
                <w:rStyle w:val="Strong"/>
                <w:b w:val="0"/>
                <w:bCs w:val="0"/>
              </w:rPr>
            </w:pPr>
          </w:p>
        </w:tc>
        <w:tc>
          <w:tcPr>
            <w:tcW w:w="537" w:type="pct"/>
          </w:tcPr>
          <w:p w14:paraId="65465927" w14:textId="240F8F3A" w:rsidR="00EB63BC" w:rsidRPr="00430DB6" w:rsidRDefault="00EB63BC" w:rsidP="00430DB6">
            <w:pPr>
              <w:pStyle w:val="TableText"/>
              <w:jc w:val="right"/>
              <w:rPr>
                <w:rStyle w:val="Strong"/>
                <w:b w:val="0"/>
                <w:bCs w:val="0"/>
              </w:rPr>
            </w:pPr>
            <w:r w:rsidRPr="00430DB6">
              <w:t>15/06/2021</w:t>
            </w:r>
          </w:p>
        </w:tc>
        <w:tc>
          <w:tcPr>
            <w:tcW w:w="614" w:type="pct"/>
          </w:tcPr>
          <w:p w14:paraId="56D70F06" w14:textId="059AB534" w:rsidR="00EB63BC" w:rsidRPr="00430DB6" w:rsidRDefault="00EB63BC" w:rsidP="00430DB6">
            <w:pPr>
              <w:pStyle w:val="TableText"/>
              <w:jc w:val="right"/>
            </w:pPr>
            <w:r w:rsidRPr="00430DB6">
              <w:t>$6,720,028.54</w:t>
            </w:r>
          </w:p>
        </w:tc>
      </w:tr>
      <w:tr w:rsidR="00EB63BC" w14:paraId="10224451" w14:textId="77777777" w:rsidTr="00FD5DEB">
        <w:trPr>
          <w:trHeight w:val="76"/>
        </w:trPr>
        <w:tc>
          <w:tcPr>
            <w:tcW w:w="505" w:type="pct"/>
            <w:vMerge/>
          </w:tcPr>
          <w:p w14:paraId="20C1C9BF" w14:textId="77777777" w:rsidR="00EB63BC" w:rsidRPr="00430DB6" w:rsidRDefault="00EB63BC" w:rsidP="00430DB6">
            <w:pPr>
              <w:pStyle w:val="TableText"/>
            </w:pPr>
          </w:p>
        </w:tc>
        <w:tc>
          <w:tcPr>
            <w:tcW w:w="304" w:type="pct"/>
            <w:vMerge/>
          </w:tcPr>
          <w:p w14:paraId="45657456" w14:textId="77777777" w:rsidR="00EB63BC" w:rsidRPr="00430DB6" w:rsidRDefault="00EB63BC" w:rsidP="00430DB6">
            <w:pPr>
              <w:pStyle w:val="TableText"/>
            </w:pPr>
          </w:p>
        </w:tc>
        <w:tc>
          <w:tcPr>
            <w:tcW w:w="607" w:type="pct"/>
            <w:vMerge/>
          </w:tcPr>
          <w:p w14:paraId="602CD9D0" w14:textId="77777777" w:rsidR="00EB63BC" w:rsidRPr="00430DB6" w:rsidRDefault="00EB63BC" w:rsidP="00430DB6">
            <w:pPr>
              <w:pStyle w:val="TableText"/>
            </w:pPr>
          </w:p>
        </w:tc>
        <w:tc>
          <w:tcPr>
            <w:tcW w:w="1317" w:type="pct"/>
            <w:vMerge/>
          </w:tcPr>
          <w:p w14:paraId="33ACE0D9" w14:textId="77777777" w:rsidR="00EB63BC" w:rsidRPr="00430DB6" w:rsidRDefault="00EB63BC" w:rsidP="00430DB6">
            <w:pPr>
              <w:pStyle w:val="TableText"/>
            </w:pPr>
          </w:p>
        </w:tc>
        <w:tc>
          <w:tcPr>
            <w:tcW w:w="516" w:type="pct"/>
            <w:vMerge/>
          </w:tcPr>
          <w:p w14:paraId="0A3AA7F9" w14:textId="77777777" w:rsidR="00EB63BC" w:rsidRPr="00430DB6" w:rsidRDefault="00EB63BC" w:rsidP="00430DB6">
            <w:pPr>
              <w:pStyle w:val="TableText"/>
              <w:rPr>
                <w:rStyle w:val="Strong"/>
                <w:b w:val="0"/>
                <w:bCs w:val="0"/>
              </w:rPr>
            </w:pPr>
          </w:p>
        </w:tc>
        <w:tc>
          <w:tcPr>
            <w:tcW w:w="599" w:type="pct"/>
            <w:vMerge/>
          </w:tcPr>
          <w:p w14:paraId="074AA559" w14:textId="77777777" w:rsidR="00EB63BC" w:rsidRPr="00430DB6" w:rsidRDefault="00EB63BC" w:rsidP="00430DB6">
            <w:pPr>
              <w:pStyle w:val="TableText"/>
              <w:rPr>
                <w:rStyle w:val="Strong"/>
                <w:b w:val="0"/>
                <w:bCs w:val="0"/>
              </w:rPr>
            </w:pPr>
          </w:p>
        </w:tc>
        <w:tc>
          <w:tcPr>
            <w:tcW w:w="537" w:type="pct"/>
          </w:tcPr>
          <w:p w14:paraId="55B5E90C" w14:textId="03F656BA" w:rsidR="00EB63BC" w:rsidRPr="00430DB6" w:rsidRDefault="00EB63BC" w:rsidP="00430DB6">
            <w:pPr>
              <w:pStyle w:val="TableText"/>
              <w:jc w:val="right"/>
              <w:rPr>
                <w:rStyle w:val="Strong"/>
                <w:b w:val="0"/>
                <w:bCs w:val="0"/>
              </w:rPr>
            </w:pPr>
            <w:r w:rsidRPr="00430DB6">
              <w:t>19/05/2022</w:t>
            </w:r>
          </w:p>
        </w:tc>
        <w:tc>
          <w:tcPr>
            <w:tcW w:w="614" w:type="pct"/>
          </w:tcPr>
          <w:p w14:paraId="3EBA6786" w14:textId="1B263208" w:rsidR="00EB63BC" w:rsidRPr="00430DB6" w:rsidRDefault="00EB63BC" w:rsidP="00430DB6">
            <w:pPr>
              <w:pStyle w:val="TableText"/>
              <w:jc w:val="right"/>
            </w:pPr>
            <w:r w:rsidRPr="00430DB6">
              <w:t>$1,003,985.00</w:t>
            </w:r>
          </w:p>
        </w:tc>
      </w:tr>
      <w:tr w:rsidR="00EB63BC" w14:paraId="6986F813" w14:textId="77777777" w:rsidTr="00FD5DEB">
        <w:trPr>
          <w:cantSplit/>
          <w:trHeight w:val="139"/>
        </w:trPr>
        <w:tc>
          <w:tcPr>
            <w:tcW w:w="505" w:type="pct"/>
            <w:vMerge/>
          </w:tcPr>
          <w:p w14:paraId="0DA39997" w14:textId="77777777" w:rsidR="00EB63BC" w:rsidRPr="00430DB6" w:rsidRDefault="00EB63BC" w:rsidP="00430DB6">
            <w:pPr>
              <w:pStyle w:val="TableText"/>
            </w:pPr>
          </w:p>
        </w:tc>
        <w:tc>
          <w:tcPr>
            <w:tcW w:w="304" w:type="pct"/>
            <w:vMerge/>
          </w:tcPr>
          <w:p w14:paraId="5847F83E" w14:textId="77777777" w:rsidR="00EB63BC" w:rsidRPr="00430DB6" w:rsidRDefault="00EB63BC" w:rsidP="00430DB6">
            <w:pPr>
              <w:pStyle w:val="TableText"/>
            </w:pPr>
          </w:p>
        </w:tc>
        <w:tc>
          <w:tcPr>
            <w:tcW w:w="607" w:type="pct"/>
            <w:vMerge/>
          </w:tcPr>
          <w:p w14:paraId="5C0B39D0" w14:textId="77777777" w:rsidR="00EB63BC" w:rsidRPr="00430DB6" w:rsidRDefault="00EB63BC" w:rsidP="00430DB6">
            <w:pPr>
              <w:pStyle w:val="TableText"/>
            </w:pPr>
          </w:p>
        </w:tc>
        <w:tc>
          <w:tcPr>
            <w:tcW w:w="1317" w:type="pct"/>
            <w:vMerge/>
          </w:tcPr>
          <w:p w14:paraId="35B5D1DB" w14:textId="77777777" w:rsidR="00EB63BC" w:rsidRPr="00430DB6" w:rsidRDefault="00EB63BC" w:rsidP="00430DB6">
            <w:pPr>
              <w:pStyle w:val="TableText"/>
            </w:pPr>
          </w:p>
        </w:tc>
        <w:tc>
          <w:tcPr>
            <w:tcW w:w="516" w:type="pct"/>
            <w:vMerge/>
          </w:tcPr>
          <w:p w14:paraId="1B408A9D" w14:textId="77777777" w:rsidR="00EB63BC" w:rsidRPr="00430DB6" w:rsidRDefault="00EB63BC" w:rsidP="00430DB6">
            <w:pPr>
              <w:pStyle w:val="TableText"/>
              <w:rPr>
                <w:rStyle w:val="Strong"/>
                <w:b w:val="0"/>
                <w:bCs w:val="0"/>
              </w:rPr>
            </w:pPr>
          </w:p>
        </w:tc>
        <w:tc>
          <w:tcPr>
            <w:tcW w:w="599" w:type="pct"/>
            <w:vMerge/>
          </w:tcPr>
          <w:p w14:paraId="16126A86" w14:textId="77777777" w:rsidR="00EB63BC" w:rsidRPr="00430DB6" w:rsidRDefault="00EB63BC" w:rsidP="00430DB6">
            <w:pPr>
              <w:pStyle w:val="TableText"/>
              <w:rPr>
                <w:rStyle w:val="Strong"/>
                <w:b w:val="0"/>
                <w:bCs w:val="0"/>
              </w:rPr>
            </w:pPr>
          </w:p>
        </w:tc>
        <w:tc>
          <w:tcPr>
            <w:tcW w:w="537" w:type="pct"/>
          </w:tcPr>
          <w:p w14:paraId="5B8D6714" w14:textId="1C69C8F5" w:rsidR="00EB63BC" w:rsidRPr="00430DB6" w:rsidRDefault="00EB63BC" w:rsidP="00430DB6">
            <w:pPr>
              <w:pStyle w:val="TableText"/>
              <w:jc w:val="right"/>
              <w:rPr>
                <w:rStyle w:val="Strong"/>
                <w:b w:val="0"/>
                <w:bCs w:val="0"/>
              </w:rPr>
            </w:pPr>
            <w:r w:rsidRPr="00430DB6">
              <w:t>1/08/2022</w:t>
            </w:r>
          </w:p>
        </w:tc>
        <w:tc>
          <w:tcPr>
            <w:tcW w:w="614" w:type="pct"/>
          </w:tcPr>
          <w:p w14:paraId="5AB84048" w14:textId="235A21D8" w:rsidR="00EB63BC" w:rsidRPr="00430DB6" w:rsidRDefault="00EB63BC" w:rsidP="00430DB6">
            <w:pPr>
              <w:pStyle w:val="TableText"/>
              <w:jc w:val="right"/>
            </w:pPr>
            <w:r w:rsidRPr="00430DB6">
              <w:t>$4,558,856.00</w:t>
            </w:r>
          </w:p>
        </w:tc>
      </w:tr>
      <w:tr w:rsidR="00EB63BC" w14:paraId="63BEDFC0" w14:textId="77777777" w:rsidTr="00FD5DEB">
        <w:trPr>
          <w:trHeight w:val="201"/>
        </w:trPr>
        <w:tc>
          <w:tcPr>
            <w:tcW w:w="505" w:type="pct"/>
            <w:vMerge/>
          </w:tcPr>
          <w:p w14:paraId="79E7DCA5" w14:textId="77777777" w:rsidR="00EB63BC" w:rsidRPr="00430DB6" w:rsidRDefault="00EB63BC" w:rsidP="00430DB6">
            <w:pPr>
              <w:pStyle w:val="TableText"/>
            </w:pPr>
          </w:p>
        </w:tc>
        <w:tc>
          <w:tcPr>
            <w:tcW w:w="304" w:type="pct"/>
            <w:vMerge/>
          </w:tcPr>
          <w:p w14:paraId="4F08ADC9" w14:textId="77777777" w:rsidR="00EB63BC" w:rsidRPr="00430DB6" w:rsidRDefault="00EB63BC" w:rsidP="00430DB6">
            <w:pPr>
              <w:pStyle w:val="TableText"/>
            </w:pPr>
          </w:p>
        </w:tc>
        <w:tc>
          <w:tcPr>
            <w:tcW w:w="607" w:type="pct"/>
            <w:vMerge/>
          </w:tcPr>
          <w:p w14:paraId="1AFFDE00" w14:textId="77777777" w:rsidR="00EB63BC" w:rsidRPr="00430DB6" w:rsidRDefault="00EB63BC" w:rsidP="00430DB6">
            <w:pPr>
              <w:pStyle w:val="TableText"/>
            </w:pPr>
          </w:p>
        </w:tc>
        <w:tc>
          <w:tcPr>
            <w:tcW w:w="1317" w:type="pct"/>
            <w:vMerge/>
          </w:tcPr>
          <w:p w14:paraId="64F461A4" w14:textId="77777777" w:rsidR="00EB63BC" w:rsidRPr="00430DB6" w:rsidRDefault="00EB63BC" w:rsidP="00430DB6">
            <w:pPr>
              <w:pStyle w:val="TableText"/>
            </w:pPr>
          </w:p>
        </w:tc>
        <w:tc>
          <w:tcPr>
            <w:tcW w:w="516" w:type="pct"/>
            <w:vMerge/>
          </w:tcPr>
          <w:p w14:paraId="0E52C0E6" w14:textId="77777777" w:rsidR="00EB63BC" w:rsidRPr="00430DB6" w:rsidRDefault="00EB63BC" w:rsidP="00430DB6">
            <w:pPr>
              <w:pStyle w:val="TableText"/>
              <w:rPr>
                <w:rStyle w:val="Strong"/>
                <w:b w:val="0"/>
                <w:bCs w:val="0"/>
              </w:rPr>
            </w:pPr>
          </w:p>
        </w:tc>
        <w:tc>
          <w:tcPr>
            <w:tcW w:w="599" w:type="pct"/>
            <w:vMerge/>
          </w:tcPr>
          <w:p w14:paraId="17BEF5BF" w14:textId="77777777" w:rsidR="00EB63BC" w:rsidRPr="00430DB6" w:rsidRDefault="00EB63BC" w:rsidP="00430DB6">
            <w:pPr>
              <w:pStyle w:val="TableText"/>
              <w:rPr>
                <w:rStyle w:val="Strong"/>
                <w:b w:val="0"/>
                <w:bCs w:val="0"/>
              </w:rPr>
            </w:pPr>
          </w:p>
        </w:tc>
        <w:tc>
          <w:tcPr>
            <w:tcW w:w="537" w:type="pct"/>
          </w:tcPr>
          <w:p w14:paraId="13E67116" w14:textId="7946A80E" w:rsidR="00EB63BC" w:rsidRPr="00430DB6" w:rsidRDefault="00EB63BC" w:rsidP="00430DB6">
            <w:pPr>
              <w:pStyle w:val="TableText"/>
              <w:jc w:val="right"/>
              <w:rPr>
                <w:rStyle w:val="Strong"/>
                <w:b w:val="0"/>
                <w:bCs w:val="0"/>
              </w:rPr>
            </w:pPr>
            <w:r w:rsidRPr="00430DB6">
              <w:t>Due 15/08/2023</w:t>
            </w:r>
          </w:p>
        </w:tc>
        <w:tc>
          <w:tcPr>
            <w:tcW w:w="614" w:type="pct"/>
          </w:tcPr>
          <w:p w14:paraId="0A8D2486" w14:textId="53D11324" w:rsidR="00EB63BC" w:rsidRPr="00430DB6" w:rsidRDefault="00EB63BC" w:rsidP="00430DB6">
            <w:pPr>
              <w:pStyle w:val="TableText"/>
              <w:jc w:val="right"/>
            </w:pPr>
            <w:r w:rsidRPr="00430DB6">
              <w:t>$3,941,144.00</w:t>
            </w:r>
          </w:p>
        </w:tc>
      </w:tr>
      <w:tr w:rsidR="00EB63BC" w14:paraId="708E8B81" w14:textId="77777777" w:rsidTr="00FD5DEB">
        <w:trPr>
          <w:trHeight w:val="76"/>
        </w:trPr>
        <w:tc>
          <w:tcPr>
            <w:tcW w:w="505" w:type="pct"/>
            <w:vMerge/>
          </w:tcPr>
          <w:p w14:paraId="2C9AB5FF" w14:textId="77777777" w:rsidR="00EB63BC" w:rsidRPr="00430DB6" w:rsidRDefault="00EB63BC" w:rsidP="00430DB6">
            <w:pPr>
              <w:pStyle w:val="TableText"/>
            </w:pPr>
          </w:p>
        </w:tc>
        <w:tc>
          <w:tcPr>
            <w:tcW w:w="304" w:type="pct"/>
            <w:vMerge/>
          </w:tcPr>
          <w:p w14:paraId="4644CB08" w14:textId="77777777" w:rsidR="00EB63BC" w:rsidRPr="00430DB6" w:rsidRDefault="00EB63BC" w:rsidP="00430DB6">
            <w:pPr>
              <w:pStyle w:val="TableText"/>
            </w:pPr>
          </w:p>
        </w:tc>
        <w:tc>
          <w:tcPr>
            <w:tcW w:w="607" w:type="pct"/>
            <w:vMerge/>
          </w:tcPr>
          <w:p w14:paraId="582DD21D" w14:textId="77777777" w:rsidR="00EB63BC" w:rsidRPr="00430DB6" w:rsidRDefault="00EB63BC" w:rsidP="00430DB6">
            <w:pPr>
              <w:pStyle w:val="TableText"/>
            </w:pPr>
          </w:p>
        </w:tc>
        <w:tc>
          <w:tcPr>
            <w:tcW w:w="1317" w:type="pct"/>
            <w:vMerge/>
          </w:tcPr>
          <w:p w14:paraId="70E28510" w14:textId="77777777" w:rsidR="00EB63BC" w:rsidRPr="00430DB6" w:rsidRDefault="00EB63BC" w:rsidP="00430DB6">
            <w:pPr>
              <w:pStyle w:val="TableText"/>
            </w:pPr>
          </w:p>
        </w:tc>
        <w:tc>
          <w:tcPr>
            <w:tcW w:w="516" w:type="pct"/>
            <w:vMerge/>
          </w:tcPr>
          <w:p w14:paraId="3D17B18C" w14:textId="77777777" w:rsidR="00EB63BC" w:rsidRPr="00430DB6" w:rsidRDefault="00EB63BC" w:rsidP="00430DB6">
            <w:pPr>
              <w:pStyle w:val="TableText"/>
              <w:rPr>
                <w:rStyle w:val="Strong"/>
                <w:b w:val="0"/>
                <w:bCs w:val="0"/>
              </w:rPr>
            </w:pPr>
          </w:p>
        </w:tc>
        <w:tc>
          <w:tcPr>
            <w:tcW w:w="599" w:type="pct"/>
            <w:vMerge/>
          </w:tcPr>
          <w:p w14:paraId="51030FB7" w14:textId="77777777" w:rsidR="00EB63BC" w:rsidRPr="00430DB6" w:rsidRDefault="00EB63BC" w:rsidP="00430DB6">
            <w:pPr>
              <w:pStyle w:val="TableText"/>
              <w:rPr>
                <w:rStyle w:val="Strong"/>
                <w:b w:val="0"/>
                <w:bCs w:val="0"/>
              </w:rPr>
            </w:pPr>
          </w:p>
        </w:tc>
        <w:tc>
          <w:tcPr>
            <w:tcW w:w="537" w:type="pct"/>
          </w:tcPr>
          <w:p w14:paraId="7D7EC0BC" w14:textId="2772A1E5" w:rsidR="00EB63BC" w:rsidRPr="00430DB6" w:rsidRDefault="00EB63BC" w:rsidP="00430DB6">
            <w:pPr>
              <w:pStyle w:val="TableText"/>
              <w:jc w:val="right"/>
              <w:rPr>
                <w:rStyle w:val="Strong"/>
                <w:b w:val="0"/>
                <w:bCs w:val="0"/>
              </w:rPr>
            </w:pPr>
            <w:r w:rsidRPr="00430DB6">
              <w:t>Due 15/05/2024</w:t>
            </w:r>
          </w:p>
        </w:tc>
        <w:tc>
          <w:tcPr>
            <w:tcW w:w="614" w:type="pct"/>
          </w:tcPr>
          <w:p w14:paraId="02B4E3A9" w14:textId="16D82459" w:rsidR="00EB63BC" w:rsidRPr="00430DB6" w:rsidRDefault="00EB63BC" w:rsidP="00430DB6">
            <w:pPr>
              <w:pStyle w:val="TableText"/>
              <w:jc w:val="right"/>
            </w:pPr>
            <w:r w:rsidRPr="00430DB6">
              <w:t>$500,000.00</w:t>
            </w:r>
          </w:p>
        </w:tc>
      </w:tr>
    </w:tbl>
    <w:p w14:paraId="4FDDAA16" w14:textId="77777777" w:rsidR="00FD5DEB" w:rsidRDefault="00FD5DEB">
      <w:pPr>
        <w:spacing w:after="0" w:line="240" w:lineRule="auto"/>
        <w:rPr>
          <w:rStyle w:val="Strong"/>
          <w:sz w:val="18"/>
          <w:szCs w:val="18"/>
        </w:rPr>
      </w:pPr>
      <w:r>
        <w:rPr>
          <w:rStyle w:val="Strong"/>
        </w:rPr>
        <w:br w:type="page"/>
      </w:r>
    </w:p>
    <w:p w14:paraId="12F151F3" w14:textId="0A0A8003" w:rsidR="008D1B48" w:rsidRDefault="008D1B48" w:rsidP="00BC5DC5">
      <w:pPr>
        <w:pStyle w:val="Normalsmall"/>
        <w:spacing w:before="240"/>
      </w:pPr>
      <w:r>
        <w:rPr>
          <w:rStyle w:val="Strong"/>
        </w:rPr>
        <w:lastRenderedPageBreak/>
        <w:t>Acknowledgement of Country</w:t>
      </w:r>
    </w:p>
    <w:p w14:paraId="4EE18030"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BFF9205" w14:textId="77777777" w:rsidR="00262394" w:rsidRDefault="00262394" w:rsidP="00262394">
      <w:pPr>
        <w:pStyle w:val="Normalsmall"/>
        <w:spacing w:before="360"/>
      </w:pPr>
      <w:r>
        <w:t>© Commonwealth of Australia 202</w:t>
      </w:r>
      <w:r w:rsidR="00340820">
        <w:t>3</w:t>
      </w:r>
    </w:p>
    <w:p w14:paraId="5691A8D3"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2D068CC8"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6F539E3C"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761DCB">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6665" w14:textId="77777777" w:rsidR="009118FE" w:rsidRDefault="009118FE">
      <w:r>
        <w:separator/>
      </w:r>
    </w:p>
    <w:p w14:paraId="1DDFF09C" w14:textId="77777777" w:rsidR="009118FE" w:rsidRDefault="009118FE"/>
    <w:p w14:paraId="331E41D3" w14:textId="77777777" w:rsidR="009118FE" w:rsidRDefault="009118FE"/>
  </w:endnote>
  <w:endnote w:type="continuationSeparator" w:id="0">
    <w:p w14:paraId="0CBB4A1A" w14:textId="77777777" w:rsidR="009118FE" w:rsidRDefault="009118FE">
      <w:r>
        <w:continuationSeparator/>
      </w:r>
    </w:p>
    <w:p w14:paraId="08168A0F" w14:textId="77777777" w:rsidR="009118FE" w:rsidRDefault="009118FE"/>
    <w:p w14:paraId="63BB2748" w14:textId="77777777" w:rsidR="009118FE" w:rsidRDefault="009118FE"/>
  </w:endnote>
  <w:endnote w:type="continuationNotice" w:id="1">
    <w:p w14:paraId="09614B2C" w14:textId="77777777" w:rsidR="009118FE" w:rsidRDefault="009118FE">
      <w:pPr>
        <w:pStyle w:val="Footer"/>
      </w:pPr>
    </w:p>
    <w:p w14:paraId="748D8DE7" w14:textId="77777777" w:rsidR="009118FE" w:rsidRDefault="009118FE"/>
    <w:p w14:paraId="7589DC96" w14:textId="77777777" w:rsidR="009118FE" w:rsidRDefault="00911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B0B4" w14:textId="77777777" w:rsidR="00DA1FEF" w:rsidRDefault="00DA1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2D0E" w14:textId="77777777" w:rsidR="002A193C" w:rsidRDefault="007B1F92">
    <w:pPr>
      <w:pStyle w:val="Footer"/>
    </w:pPr>
    <w:r w:rsidRPr="007B1F92">
      <w:t>Department of Agriculture, Fisheries and Forestry</w:t>
    </w:r>
  </w:p>
  <w:p w14:paraId="7C454840"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D6FF" w14:textId="77777777" w:rsidR="002A193C" w:rsidRDefault="002A193C">
    <w:pPr>
      <w:pStyle w:val="Footer"/>
    </w:pPr>
    <w:r>
      <w:t xml:space="preserve">Department of Agriculture, </w:t>
    </w:r>
    <w:r w:rsidR="00A9002C">
      <w:t>Fisheries and Forestry</w:t>
    </w:r>
  </w:p>
  <w:p w14:paraId="3D14CD47"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C006" w14:textId="77777777" w:rsidR="009118FE" w:rsidRDefault="009118FE">
      <w:r>
        <w:separator/>
      </w:r>
    </w:p>
    <w:p w14:paraId="762D9811" w14:textId="77777777" w:rsidR="009118FE" w:rsidRDefault="009118FE"/>
    <w:p w14:paraId="4E2FC7F9" w14:textId="77777777" w:rsidR="009118FE" w:rsidRDefault="009118FE"/>
  </w:footnote>
  <w:footnote w:type="continuationSeparator" w:id="0">
    <w:p w14:paraId="13E714A9" w14:textId="77777777" w:rsidR="009118FE" w:rsidRDefault="009118FE">
      <w:r>
        <w:continuationSeparator/>
      </w:r>
    </w:p>
    <w:p w14:paraId="23104D1F" w14:textId="77777777" w:rsidR="009118FE" w:rsidRDefault="009118FE"/>
    <w:p w14:paraId="436B5ACE" w14:textId="77777777" w:rsidR="009118FE" w:rsidRDefault="009118FE"/>
  </w:footnote>
  <w:footnote w:type="continuationNotice" w:id="1">
    <w:p w14:paraId="4CBB500A" w14:textId="77777777" w:rsidR="009118FE" w:rsidRDefault="009118FE">
      <w:pPr>
        <w:pStyle w:val="Footer"/>
      </w:pPr>
    </w:p>
    <w:p w14:paraId="48FA64D3" w14:textId="77777777" w:rsidR="009118FE" w:rsidRDefault="009118FE"/>
    <w:p w14:paraId="48FAE0A6" w14:textId="77777777" w:rsidR="009118FE" w:rsidRDefault="00911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894E" w14:textId="76741427" w:rsidR="002A193C" w:rsidRDefault="002A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3BFC" w14:textId="5E360E48" w:rsidR="002A193C" w:rsidRDefault="00895B77">
    <w:pPr>
      <w:pStyle w:val="Header"/>
    </w:pPr>
    <w:r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DE64" w14:textId="7B0E80E7" w:rsidR="005525E9" w:rsidRDefault="005F11BA" w:rsidP="009C477C">
    <w:pPr>
      <w:pStyle w:val="Header"/>
      <w:jc w:val="left"/>
    </w:pPr>
    <w:r>
      <w:rPr>
        <w:noProof/>
      </w:rPr>
      <w:drawing>
        <wp:inline distT="0" distB="0" distL="0" distR="0" wp14:anchorId="56B72FA2" wp14:editId="4CAB3E7B">
          <wp:extent cx="4342741" cy="1463040"/>
          <wp:effectExtent l="0" t="0" r="1270" b="3810"/>
          <wp:docPr id="2" name="Picture 2" descr="Australian Government Department of Agriculture, Fisheries and Forestry&#10;Future Drough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10;Future Drought F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6538" cy="14744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FE"/>
    <w:rsid w:val="00027C59"/>
    <w:rsid w:val="000310E2"/>
    <w:rsid w:val="00046B12"/>
    <w:rsid w:val="0004740E"/>
    <w:rsid w:val="0007746F"/>
    <w:rsid w:val="0007749B"/>
    <w:rsid w:val="00080447"/>
    <w:rsid w:val="000838DB"/>
    <w:rsid w:val="0009515B"/>
    <w:rsid w:val="000A660B"/>
    <w:rsid w:val="000B60E0"/>
    <w:rsid w:val="000D4D49"/>
    <w:rsid w:val="000D6DD8"/>
    <w:rsid w:val="000E7C0B"/>
    <w:rsid w:val="000F3E04"/>
    <w:rsid w:val="000F5400"/>
    <w:rsid w:val="00101422"/>
    <w:rsid w:val="00112B86"/>
    <w:rsid w:val="00156316"/>
    <w:rsid w:val="001567E9"/>
    <w:rsid w:val="00165FA2"/>
    <w:rsid w:val="00167450"/>
    <w:rsid w:val="00183612"/>
    <w:rsid w:val="001A15E1"/>
    <w:rsid w:val="001A1F79"/>
    <w:rsid w:val="001A22FB"/>
    <w:rsid w:val="001B1009"/>
    <w:rsid w:val="001C3583"/>
    <w:rsid w:val="001D0F68"/>
    <w:rsid w:val="001D77BC"/>
    <w:rsid w:val="001E1C4C"/>
    <w:rsid w:val="001E790B"/>
    <w:rsid w:val="00201500"/>
    <w:rsid w:val="0020313A"/>
    <w:rsid w:val="00217BBD"/>
    <w:rsid w:val="0022055A"/>
    <w:rsid w:val="002252AE"/>
    <w:rsid w:val="002320BA"/>
    <w:rsid w:val="0023478F"/>
    <w:rsid w:val="0024136F"/>
    <w:rsid w:val="00243E26"/>
    <w:rsid w:val="002506EF"/>
    <w:rsid w:val="00251BA3"/>
    <w:rsid w:val="00262394"/>
    <w:rsid w:val="002726AF"/>
    <w:rsid w:val="00280973"/>
    <w:rsid w:val="00294055"/>
    <w:rsid w:val="00294D2E"/>
    <w:rsid w:val="00296373"/>
    <w:rsid w:val="002A04F3"/>
    <w:rsid w:val="002A193C"/>
    <w:rsid w:val="002A735F"/>
    <w:rsid w:val="002B603F"/>
    <w:rsid w:val="002C1F8F"/>
    <w:rsid w:val="002D5253"/>
    <w:rsid w:val="002D6D35"/>
    <w:rsid w:val="002E04F2"/>
    <w:rsid w:val="00305911"/>
    <w:rsid w:val="003267A5"/>
    <w:rsid w:val="00337332"/>
    <w:rsid w:val="00340820"/>
    <w:rsid w:val="00350394"/>
    <w:rsid w:val="0035144E"/>
    <w:rsid w:val="00356CB3"/>
    <w:rsid w:val="00357095"/>
    <w:rsid w:val="00362353"/>
    <w:rsid w:val="003645B6"/>
    <w:rsid w:val="0036731C"/>
    <w:rsid w:val="00381D23"/>
    <w:rsid w:val="003825C9"/>
    <w:rsid w:val="0039005A"/>
    <w:rsid w:val="00396339"/>
    <w:rsid w:val="003A195C"/>
    <w:rsid w:val="003A42B1"/>
    <w:rsid w:val="003A4B4A"/>
    <w:rsid w:val="003D3CE1"/>
    <w:rsid w:val="003D44DC"/>
    <w:rsid w:val="0040167D"/>
    <w:rsid w:val="00402404"/>
    <w:rsid w:val="00404AB0"/>
    <w:rsid w:val="00406AC2"/>
    <w:rsid w:val="00407235"/>
    <w:rsid w:val="0041307F"/>
    <w:rsid w:val="00430DB6"/>
    <w:rsid w:val="00433029"/>
    <w:rsid w:val="0044630A"/>
    <w:rsid w:val="00452291"/>
    <w:rsid w:val="0045406C"/>
    <w:rsid w:val="00460750"/>
    <w:rsid w:val="004705F2"/>
    <w:rsid w:val="00473964"/>
    <w:rsid w:val="004771E9"/>
    <w:rsid w:val="004837B1"/>
    <w:rsid w:val="0048569E"/>
    <w:rsid w:val="00486C20"/>
    <w:rsid w:val="00490E7F"/>
    <w:rsid w:val="004963CC"/>
    <w:rsid w:val="004A19A7"/>
    <w:rsid w:val="004C6362"/>
    <w:rsid w:val="004C6C47"/>
    <w:rsid w:val="004D2941"/>
    <w:rsid w:val="00505020"/>
    <w:rsid w:val="00517459"/>
    <w:rsid w:val="0055013B"/>
    <w:rsid w:val="005525E9"/>
    <w:rsid w:val="00577949"/>
    <w:rsid w:val="00585CCC"/>
    <w:rsid w:val="005E4B6B"/>
    <w:rsid w:val="005F0E4D"/>
    <w:rsid w:val="005F11BA"/>
    <w:rsid w:val="005F3F9E"/>
    <w:rsid w:val="005F6876"/>
    <w:rsid w:val="00611DA7"/>
    <w:rsid w:val="006247DB"/>
    <w:rsid w:val="006322B2"/>
    <w:rsid w:val="006338DA"/>
    <w:rsid w:val="006416D4"/>
    <w:rsid w:val="006517F0"/>
    <w:rsid w:val="0065584A"/>
    <w:rsid w:val="00656160"/>
    <w:rsid w:val="00681679"/>
    <w:rsid w:val="00692100"/>
    <w:rsid w:val="006A68A1"/>
    <w:rsid w:val="006F4757"/>
    <w:rsid w:val="00710469"/>
    <w:rsid w:val="0072232F"/>
    <w:rsid w:val="007405CB"/>
    <w:rsid w:val="00741C50"/>
    <w:rsid w:val="00761DCB"/>
    <w:rsid w:val="00763092"/>
    <w:rsid w:val="00764CB7"/>
    <w:rsid w:val="00777A7F"/>
    <w:rsid w:val="00780CA6"/>
    <w:rsid w:val="0078615F"/>
    <w:rsid w:val="00796044"/>
    <w:rsid w:val="00797360"/>
    <w:rsid w:val="007B1F92"/>
    <w:rsid w:val="007C5B94"/>
    <w:rsid w:val="00803A3C"/>
    <w:rsid w:val="008112C5"/>
    <w:rsid w:val="008153FE"/>
    <w:rsid w:val="0082249A"/>
    <w:rsid w:val="00826F01"/>
    <w:rsid w:val="00833933"/>
    <w:rsid w:val="00834F0B"/>
    <w:rsid w:val="0086493A"/>
    <w:rsid w:val="00873823"/>
    <w:rsid w:val="00895B77"/>
    <w:rsid w:val="008A3190"/>
    <w:rsid w:val="008B2D41"/>
    <w:rsid w:val="008C2E82"/>
    <w:rsid w:val="008D1B48"/>
    <w:rsid w:val="008D4721"/>
    <w:rsid w:val="008E60B8"/>
    <w:rsid w:val="008F2552"/>
    <w:rsid w:val="009010F9"/>
    <w:rsid w:val="0090774C"/>
    <w:rsid w:val="009118FE"/>
    <w:rsid w:val="00930DDF"/>
    <w:rsid w:val="009503A2"/>
    <w:rsid w:val="00966EB8"/>
    <w:rsid w:val="009679F4"/>
    <w:rsid w:val="00990EDD"/>
    <w:rsid w:val="00991227"/>
    <w:rsid w:val="009924B8"/>
    <w:rsid w:val="009C2243"/>
    <w:rsid w:val="009C2A13"/>
    <w:rsid w:val="009C4772"/>
    <w:rsid w:val="009C477C"/>
    <w:rsid w:val="009C7BA3"/>
    <w:rsid w:val="009D6922"/>
    <w:rsid w:val="009F14E9"/>
    <w:rsid w:val="00A211B5"/>
    <w:rsid w:val="00A26D23"/>
    <w:rsid w:val="00A35D03"/>
    <w:rsid w:val="00A446CB"/>
    <w:rsid w:val="00A44877"/>
    <w:rsid w:val="00A45542"/>
    <w:rsid w:val="00A459C2"/>
    <w:rsid w:val="00A5160A"/>
    <w:rsid w:val="00A51F07"/>
    <w:rsid w:val="00A52439"/>
    <w:rsid w:val="00A62A84"/>
    <w:rsid w:val="00A71E48"/>
    <w:rsid w:val="00A81BAD"/>
    <w:rsid w:val="00A86FB6"/>
    <w:rsid w:val="00A9002C"/>
    <w:rsid w:val="00A94F0D"/>
    <w:rsid w:val="00AA70E3"/>
    <w:rsid w:val="00AB0FBE"/>
    <w:rsid w:val="00AD0378"/>
    <w:rsid w:val="00AE17E9"/>
    <w:rsid w:val="00AF1EB9"/>
    <w:rsid w:val="00AF5211"/>
    <w:rsid w:val="00B01F31"/>
    <w:rsid w:val="00B01FB8"/>
    <w:rsid w:val="00B106DE"/>
    <w:rsid w:val="00B118BC"/>
    <w:rsid w:val="00B35721"/>
    <w:rsid w:val="00B407A6"/>
    <w:rsid w:val="00B42378"/>
    <w:rsid w:val="00B43A41"/>
    <w:rsid w:val="00B43CA3"/>
    <w:rsid w:val="00B5453F"/>
    <w:rsid w:val="00B54604"/>
    <w:rsid w:val="00B72B89"/>
    <w:rsid w:val="00B73838"/>
    <w:rsid w:val="00B8305A"/>
    <w:rsid w:val="00B96152"/>
    <w:rsid w:val="00BA0AFF"/>
    <w:rsid w:val="00BA3A0F"/>
    <w:rsid w:val="00BA5617"/>
    <w:rsid w:val="00BB1B25"/>
    <w:rsid w:val="00BB3143"/>
    <w:rsid w:val="00BB49FF"/>
    <w:rsid w:val="00BB6549"/>
    <w:rsid w:val="00BB6ACE"/>
    <w:rsid w:val="00BC1FDA"/>
    <w:rsid w:val="00BC5DC5"/>
    <w:rsid w:val="00BC6BA3"/>
    <w:rsid w:val="00BD2275"/>
    <w:rsid w:val="00BE353A"/>
    <w:rsid w:val="00BE4944"/>
    <w:rsid w:val="00BF3D70"/>
    <w:rsid w:val="00BF3E2D"/>
    <w:rsid w:val="00C00AAC"/>
    <w:rsid w:val="00C05EA8"/>
    <w:rsid w:val="00C06619"/>
    <w:rsid w:val="00C12D92"/>
    <w:rsid w:val="00C13414"/>
    <w:rsid w:val="00C34C77"/>
    <w:rsid w:val="00C37592"/>
    <w:rsid w:val="00C37ABD"/>
    <w:rsid w:val="00C40FFD"/>
    <w:rsid w:val="00C51E35"/>
    <w:rsid w:val="00C5649E"/>
    <w:rsid w:val="00C62BB2"/>
    <w:rsid w:val="00C62D97"/>
    <w:rsid w:val="00C67E7F"/>
    <w:rsid w:val="00C73D05"/>
    <w:rsid w:val="00C759F8"/>
    <w:rsid w:val="00CA1314"/>
    <w:rsid w:val="00CA4596"/>
    <w:rsid w:val="00CB0F02"/>
    <w:rsid w:val="00CD21B4"/>
    <w:rsid w:val="00CD2D44"/>
    <w:rsid w:val="00CE2103"/>
    <w:rsid w:val="00CE67E4"/>
    <w:rsid w:val="00CE6D9C"/>
    <w:rsid w:val="00CF090C"/>
    <w:rsid w:val="00D06356"/>
    <w:rsid w:val="00D36729"/>
    <w:rsid w:val="00D37BFD"/>
    <w:rsid w:val="00D4511B"/>
    <w:rsid w:val="00D45274"/>
    <w:rsid w:val="00D45E0E"/>
    <w:rsid w:val="00D6013D"/>
    <w:rsid w:val="00D65304"/>
    <w:rsid w:val="00D666DC"/>
    <w:rsid w:val="00D85C6D"/>
    <w:rsid w:val="00D912A7"/>
    <w:rsid w:val="00DA1FEF"/>
    <w:rsid w:val="00DB6BC0"/>
    <w:rsid w:val="00DD6045"/>
    <w:rsid w:val="00DF36DA"/>
    <w:rsid w:val="00E05D92"/>
    <w:rsid w:val="00E06600"/>
    <w:rsid w:val="00E12E96"/>
    <w:rsid w:val="00E22C20"/>
    <w:rsid w:val="00E26D28"/>
    <w:rsid w:val="00E33F52"/>
    <w:rsid w:val="00E362EF"/>
    <w:rsid w:val="00E732BE"/>
    <w:rsid w:val="00E822F8"/>
    <w:rsid w:val="00E96E54"/>
    <w:rsid w:val="00EB63BC"/>
    <w:rsid w:val="00ED51AB"/>
    <w:rsid w:val="00EF0676"/>
    <w:rsid w:val="00EF656C"/>
    <w:rsid w:val="00F07735"/>
    <w:rsid w:val="00F12222"/>
    <w:rsid w:val="00F209F0"/>
    <w:rsid w:val="00F21CD2"/>
    <w:rsid w:val="00F251B0"/>
    <w:rsid w:val="00F31B1B"/>
    <w:rsid w:val="00F35EE8"/>
    <w:rsid w:val="00F37C42"/>
    <w:rsid w:val="00F421C7"/>
    <w:rsid w:val="00F45D92"/>
    <w:rsid w:val="00F64FBA"/>
    <w:rsid w:val="00F65558"/>
    <w:rsid w:val="00F65DFD"/>
    <w:rsid w:val="00F70230"/>
    <w:rsid w:val="00F72D07"/>
    <w:rsid w:val="00F90D42"/>
    <w:rsid w:val="00F95C15"/>
    <w:rsid w:val="00F96C16"/>
    <w:rsid w:val="00FA4E29"/>
    <w:rsid w:val="00FB088E"/>
    <w:rsid w:val="00FB2401"/>
    <w:rsid w:val="00FB6115"/>
    <w:rsid w:val="00FC0212"/>
    <w:rsid w:val="00FC2209"/>
    <w:rsid w:val="00FD117D"/>
    <w:rsid w:val="00FD5DEB"/>
    <w:rsid w:val="00FF6F56"/>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46019"/>
  <w15:docId w15:val="{B3633AEC-F23B-446A-B423-D0B5F234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kler%20Monika\OneDrive%20-%20Agriculture\Documents\Future%20Drought%20Fund\Completed%20Tables\Section%2027A%20Ta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E6B4D1EF-18D2-48F8-9B56-A1553AFBBCB7}"/>
</file>

<file path=customXml/itemProps4.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27c9b7-9ec8-4c5f-a515-89657b78294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Section 27A Table Template.dotx</Template>
  <TotalTime>21</TotalTime>
  <Pages>2</Pages>
  <Words>315</Words>
  <Characters>1946</Characters>
  <Application>Microsoft Office Word</Application>
  <DocSecurity>0</DocSecurity>
  <Lines>84</Lines>
  <Paragraphs>38</Paragraphs>
  <ScaleCrop>false</ScaleCrop>
  <HeadingPairs>
    <vt:vector size="2" baseType="variant">
      <vt:variant>
        <vt:lpstr>Title</vt:lpstr>
      </vt:variant>
      <vt:variant>
        <vt:i4>1</vt:i4>
      </vt:variant>
    </vt:vector>
  </HeadingPairs>
  <TitlesOfParts>
    <vt:vector size="1" baseType="lpstr">
      <vt:lpstr>Future Drought Fund: Funding information</vt:lpstr>
    </vt:vector>
  </TitlesOfParts>
  <Company/>
  <LinksUpToDate>false</LinksUpToDate>
  <CharactersWithSpaces>2225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Drought Resilience Leaders program </dc:subject>
  <dc:creator>Department of Agriculture Fisheries and Forestry</dc:creator>
  <cp:lastModifiedBy>Winkler, Monika</cp:lastModifiedBy>
  <cp:revision>24</cp:revision>
  <cp:lastPrinted>2023-06-26T03:09:00Z</cp:lastPrinted>
  <dcterms:created xsi:type="dcterms:W3CDTF">2023-05-12T01:09:00Z</dcterms:created>
  <dcterms:modified xsi:type="dcterms:W3CDTF">2023-06-26T03:15:00Z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MediaServiceImageTags">
    <vt:lpwstr/>
  </property>
</Properties>
</file>