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DE50" w14:textId="6AC9DEF0" w:rsidR="00EC5061" w:rsidRPr="00955E85" w:rsidRDefault="00A23AA3" w:rsidP="00076CA5">
      <w:pPr>
        <w:spacing w:before="1200" w:line="360" w:lineRule="auto"/>
        <w:rPr>
          <w:rFonts w:ascii="Calibri" w:eastAsia="Calibri" w:hAnsi="Calibri" w:cs="Times New Roman"/>
          <w:kern w:val="0"/>
          <w14:ligatures w14:val="none"/>
        </w:rPr>
      </w:pPr>
      <w:bookmarkStart w:id="0" w:name="_Toc199162012"/>
      <w:r>
        <w:rPr>
          <w:rFonts w:ascii="Calibri" w:eastAsia="Calibri" w:hAnsi="Calibri" w:cs="Times New Roman"/>
          <w:kern w:val="0"/>
          <w14:ligatures w14:val="none"/>
        </w:rPr>
        <w:t>March</w:t>
      </w:r>
      <w:r w:rsidR="00955E85" w:rsidRPr="00955E85">
        <w:rPr>
          <w:rFonts w:ascii="Calibri" w:eastAsia="Calibri" w:hAnsi="Calibri" w:cs="Times New Roman"/>
          <w:kern w:val="0"/>
          <w14:ligatures w14:val="none"/>
        </w:rPr>
        <w:t xml:space="preserve"> 202</w:t>
      </w:r>
      <w:r w:rsidR="005E707A">
        <w:rPr>
          <w:rFonts w:ascii="Calibri" w:eastAsia="Calibri" w:hAnsi="Calibri" w:cs="Times New Roman"/>
          <w:kern w:val="0"/>
          <w14:ligatures w14:val="none"/>
        </w:rPr>
        <w:t>6</w:t>
      </w:r>
      <w:r w:rsidR="00955E85" w:rsidRPr="00955E85">
        <w:rPr>
          <w:rFonts w:ascii="Calibri" w:eastAsia="Calibri" w:hAnsi="Calibri" w:cs="Times New Roman"/>
          <w:kern w:val="0"/>
          <w14:ligatures w14:val="none"/>
        </w:rPr>
        <w:t xml:space="preserve"> – Version 1.0</w:t>
      </w:r>
    </w:p>
    <w:p w14:paraId="2D78EBA6" w14:textId="6827D367" w:rsidR="00CF1AFA" w:rsidRPr="00CF1AFA" w:rsidRDefault="00CF1AFA" w:rsidP="00B81E02">
      <w:pPr>
        <w:pStyle w:val="Series"/>
      </w:pPr>
      <w:r w:rsidRPr="00CF1AFA">
        <w:t xml:space="preserve">Future Drought Fund </w:t>
      </w:r>
      <w:r w:rsidR="00486A94">
        <w:t>policy guidance</w:t>
      </w:r>
    </w:p>
    <w:p w14:paraId="0DE0279F" w14:textId="45B43598" w:rsidR="000C2EDD" w:rsidRPr="00A3041D" w:rsidRDefault="000C2EDD" w:rsidP="517EC2D4">
      <w:pPr>
        <w:pStyle w:val="Heading1"/>
        <w:spacing w:before="0" w:after="160" w:line="259" w:lineRule="auto"/>
        <w:rPr>
          <w:sz w:val="44"/>
          <w:szCs w:val="44"/>
        </w:rPr>
      </w:pPr>
      <w:r w:rsidRPr="517EC2D4">
        <w:rPr>
          <w:sz w:val="44"/>
          <w:szCs w:val="44"/>
        </w:rPr>
        <w:t xml:space="preserve">Funding Plan </w:t>
      </w:r>
      <w:r w:rsidR="007665D9" w:rsidRPr="517EC2D4">
        <w:rPr>
          <w:sz w:val="44"/>
          <w:szCs w:val="44"/>
        </w:rPr>
        <w:t>–</w:t>
      </w:r>
      <w:r w:rsidR="00F90F41" w:rsidRPr="517EC2D4">
        <w:rPr>
          <w:sz w:val="44"/>
          <w:szCs w:val="44"/>
        </w:rPr>
        <w:t xml:space="preserve"> </w:t>
      </w:r>
      <w:r w:rsidR="00A50062" w:rsidRPr="517EC2D4">
        <w:rPr>
          <w:sz w:val="44"/>
          <w:szCs w:val="44"/>
        </w:rPr>
        <w:t xml:space="preserve">guidance </w:t>
      </w:r>
      <w:proofErr w:type="gramStart"/>
      <w:r w:rsidR="00A50062" w:rsidRPr="517EC2D4">
        <w:rPr>
          <w:sz w:val="44"/>
          <w:szCs w:val="44"/>
        </w:rPr>
        <w:t>note</w:t>
      </w:r>
      <w:proofErr w:type="gramEnd"/>
      <w:r w:rsidR="00A50062" w:rsidRPr="517EC2D4">
        <w:rPr>
          <w:sz w:val="44"/>
          <w:szCs w:val="44"/>
        </w:rPr>
        <w:t xml:space="preserve"> for </w:t>
      </w:r>
      <w:r w:rsidR="00CA377F" w:rsidRPr="517EC2D4">
        <w:rPr>
          <w:sz w:val="44"/>
          <w:szCs w:val="44"/>
        </w:rPr>
        <w:t>delivery partners</w:t>
      </w:r>
      <w:bookmarkEnd w:id="0"/>
    </w:p>
    <w:p w14:paraId="086AE5EB" w14:textId="7BDC09D2" w:rsidR="004020A7" w:rsidRPr="00B81E02" w:rsidRDefault="006F1A2F" w:rsidP="00B81E02">
      <w:pPr>
        <w:pStyle w:val="Heading2"/>
        <w:numPr>
          <w:ilvl w:val="0"/>
          <w:numId w:val="0"/>
        </w:numPr>
        <w:ind w:left="720" w:hanging="720"/>
      </w:pPr>
      <w:bookmarkStart w:id="1" w:name="_Toc199162013"/>
      <w:r w:rsidRPr="00B81E02">
        <w:t>Purpose</w:t>
      </w:r>
      <w:bookmarkEnd w:id="1"/>
    </w:p>
    <w:p w14:paraId="79BCE391" w14:textId="09AC6C16" w:rsidR="00464989" w:rsidRDefault="00096DD0" w:rsidP="00583DAE">
      <w:pPr>
        <w:rPr>
          <w:rFonts w:ascii="Calibri" w:hAnsi="Calibri" w:cs="Calibri"/>
        </w:rPr>
      </w:pPr>
      <w:r>
        <w:rPr>
          <w:rFonts w:ascii="Calibri" w:hAnsi="Calibri" w:cs="Calibri"/>
        </w:rPr>
        <w:t>Delivery partners</w:t>
      </w:r>
      <w:r w:rsidRPr="00127A3F">
        <w:rPr>
          <w:rFonts w:ascii="Calibri" w:hAnsi="Calibri" w:cs="Calibri"/>
        </w:rPr>
        <w:t xml:space="preserve"> have a responsibility to understand the</w:t>
      </w:r>
      <w:r w:rsidRPr="00CA76F5">
        <w:rPr>
          <w:rFonts w:ascii="Calibri" w:hAnsi="Calibri" w:cs="Calibri"/>
        </w:rPr>
        <w:t xml:space="preserve"> </w:t>
      </w:r>
      <w:hyperlink r:id="rId12" w:history="1">
        <w:r w:rsidR="0084684E">
          <w:rPr>
            <w:rStyle w:val="Hyperlink"/>
            <w:rFonts w:ascii="Calibri" w:hAnsi="Calibri" w:cs="Calibri"/>
          </w:rPr>
          <w:t>Future Drought Fund (Drought Resilience Funding Plan 2024-2028) Determination 2024</w:t>
        </w:r>
      </w:hyperlink>
      <w:r w:rsidR="0084684E">
        <w:t xml:space="preserve"> (Funding Plan (2024-2028)) </w:t>
      </w:r>
      <w:r w:rsidRPr="00127A3F">
        <w:rPr>
          <w:rFonts w:ascii="Calibri" w:hAnsi="Calibri" w:cs="Calibri"/>
        </w:rPr>
        <w:t>and ensure the</w:t>
      </w:r>
      <w:r>
        <w:rPr>
          <w:rFonts w:ascii="Calibri" w:hAnsi="Calibri" w:cs="Calibri"/>
        </w:rPr>
        <w:t>ir work aligns with the</w:t>
      </w:r>
      <w:r w:rsidRPr="00127A3F">
        <w:rPr>
          <w:rFonts w:ascii="Calibri" w:hAnsi="Calibri" w:cs="Calibri"/>
        </w:rPr>
        <w:t xml:space="preserve"> funding principles</w:t>
      </w:r>
      <w:r>
        <w:rPr>
          <w:rFonts w:ascii="Calibri" w:hAnsi="Calibri" w:cs="Calibri"/>
        </w:rPr>
        <w:t xml:space="preserve">. </w:t>
      </w:r>
      <w:r w:rsidR="009F7216" w:rsidRPr="00585584">
        <w:rPr>
          <w:rFonts w:ascii="Calibri" w:hAnsi="Calibri" w:cs="Calibri"/>
        </w:rPr>
        <w:t xml:space="preserve">This guide </w:t>
      </w:r>
      <w:r w:rsidR="00624989" w:rsidRPr="00585584">
        <w:rPr>
          <w:rFonts w:ascii="Calibri" w:hAnsi="Calibri" w:cs="Calibri"/>
        </w:rPr>
        <w:t xml:space="preserve">is intended to assist </w:t>
      </w:r>
      <w:r w:rsidR="003D092D">
        <w:rPr>
          <w:rFonts w:ascii="Calibri" w:hAnsi="Calibri" w:cs="Calibri"/>
        </w:rPr>
        <w:t xml:space="preserve">current and prospective </w:t>
      </w:r>
      <w:r w:rsidR="00624989" w:rsidRPr="00585584">
        <w:rPr>
          <w:rFonts w:ascii="Calibri" w:hAnsi="Calibri" w:cs="Calibri"/>
        </w:rPr>
        <w:t xml:space="preserve">Future Drought Fund (FDF) </w:t>
      </w:r>
      <w:r w:rsidR="008C340C">
        <w:rPr>
          <w:rFonts w:ascii="Calibri" w:hAnsi="Calibri" w:cs="Calibri"/>
        </w:rPr>
        <w:t>delivery partners</w:t>
      </w:r>
      <w:r w:rsidR="00624989" w:rsidRPr="00585584">
        <w:rPr>
          <w:rFonts w:ascii="Calibri" w:hAnsi="Calibri" w:cs="Calibri"/>
        </w:rPr>
        <w:t xml:space="preserve"> to understand </w:t>
      </w:r>
      <w:r w:rsidR="00F15FBF">
        <w:rPr>
          <w:rFonts w:ascii="Calibri" w:hAnsi="Calibri" w:cs="Calibri"/>
        </w:rPr>
        <w:t>their</w:t>
      </w:r>
      <w:r w:rsidR="003733F4" w:rsidRPr="00585584">
        <w:rPr>
          <w:rFonts w:ascii="Calibri" w:hAnsi="Calibri" w:cs="Calibri"/>
        </w:rPr>
        <w:t xml:space="preserve"> obligations, roles and responsibilities under the </w:t>
      </w:r>
      <w:r w:rsidR="00CA76F5">
        <w:rPr>
          <w:rFonts w:ascii="Calibri" w:hAnsi="Calibri" w:cs="Calibri"/>
        </w:rPr>
        <w:t xml:space="preserve">Funding </w:t>
      </w:r>
      <w:r w:rsidR="003733F4" w:rsidRPr="00585584">
        <w:rPr>
          <w:rFonts w:ascii="Calibri" w:hAnsi="Calibri" w:cs="Calibri"/>
        </w:rPr>
        <w:t>Plan</w:t>
      </w:r>
      <w:r w:rsidR="00796573">
        <w:rPr>
          <w:rFonts w:ascii="Calibri" w:hAnsi="Calibri" w:cs="Calibri"/>
        </w:rPr>
        <w:t xml:space="preserve"> </w:t>
      </w:r>
      <w:r w:rsidR="005A262C">
        <w:rPr>
          <w:rFonts w:ascii="Calibri" w:hAnsi="Calibri" w:cs="Calibri"/>
        </w:rPr>
        <w:t>(</w:t>
      </w:r>
      <w:r w:rsidR="00796573">
        <w:rPr>
          <w:rFonts w:ascii="Calibri" w:hAnsi="Calibri" w:cs="Calibri"/>
        </w:rPr>
        <w:t>2024-2028</w:t>
      </w:r>
      <w:r w:rsidR="005A262C">
        <w:rPr>
          <w:rFonts w:ascii="Calibri" w:hAnsi="Calibri" w:cs="Calibri"/>
        </w:rPr>
        <w:t>)</w:t>
      </w:r>
      <w:r w:rsidR="003733F4" w:rsidRPr="00585584">
        <w:rPr>
          <w:rFonts w:ascii="Calibri" w:hAnsi="Calibri" w:cs="Calibri"/>
        </w:rPr>
        <w:t xml:space="preserve"> </w:t>
      </w:r>
      <w:r w:rsidR="00532872">
        <w:rPr>
          <w:rFonts w:ascii="Calibri" w:hAnsi="Calibri" w:cs="Calibri"/>
        </w:rPr>
        <w:t>and</w:t>
      </w:r>
      <w:r w:rsidR="003733F4" w:rsidRPr="00585584">
        <w:rPr>
          <w:rFonts w:ascii="Calibri" w:hAnsi="Calibri" w:cs="Calibri"/>
        </w:rPr>
        <w:t xml:space="preserve"> ensure </w:t>
      </w:r>
      <w:r w:rsidR="008B796C" w:rsidRPr="00585584">
        <w:rPr>
          <w:rFonts w:ascii="Calibri" w:hAnsi="Calibri" w:cs="Calibri"/>
        </w:rPr>
        <w:t>compl</w:t>
      </w:r>
      <w:r w:rsidR="00532872">
        <w:rPr>
          <w:rFonts w:ascii="Calibri" w:hAnsi="Calibri" w:cs="Calibri"/>
        </w:rPr>
        <w:t>iance</w:t>
      </w:r>
      <w:r w:rsidR="008B796C" w:rsidRPr="00585584">
        <w:rPr>
          <w:rFonts w:ascii="Calibri" w:hAnsi="Calibri" w:cs="Calibri"/>
        </w:rPr>
        <w:t xml:space="preserve"> with legislative requirements</w:t>
      </w:r>
      <w:r w:rsidR="00532872">
        <w:rPr>
          <w:rFonts w:ascii="Calibri" w:hAnsi="Calibri" w:cs="Calibri"/>
        </w:rPr>
        <w:t>.</w:t>
      </w:r>
    </w:p>
    <w:p w14:paraId="3F0AEAD0" w14:textId="37DC2BE2" w:rsidR="00834FC8" w:rsidRDefault="00157027" w:rsidP="00583DAE">
      <w:pPr>
        <w:rPr>
          <w:rFonts w:ascii="Calibri" w:hAnsi="Calibri" w:cs="Calibri"/>
        </w:rPr>
      </w:pPr>
      <w:r>
        <w:rPr>
          <w:rFonts w:ascii="Calibri" w:hAnsi="Calibri" w:cs="Calibri"/>
        </w:rPr>
        <w:t>This guide should be read alongside</w:t>
      </w:r>
      <w:r w:rsidR="00B226A0">
        <w:rPr>
          <w:rFonts w:ascii="Calibri" w:hAnsi="Calibri" w:cs="Calibri"/>
        </w:rPr>
        <w:t xml:space="preserve"> the</w:t>
      </w:r>
      <w:r>
        <w:rPr>
          <w:rFonts w:ascii="Calibri" w:hAnsi="Calibri" w:cs="Calibri"/>
        </w:rPr>
        <w:t xml:space="preserve"> </w:t>
      </w:r>
      <w:hyperlink r:id="rId13" w:history="1">
        <w:r w:rsidR="00B226A0">
          <w:rPr>
            <w:rStyle w:val="Hyperlink"/>
            <w:rFonts w:ascii="Calibri" w:hAnsi="Calibri" w:cs="Calibri"/>
          </w:rPr>
          <w:t>Funding Plan (2024-2028) and Explanatory Statement</w:t>
        </w:r>
      </w:hyperlink>
      <w:r>
        <w:rPr>
          <w:rFonts w:ascii="Calibri" w:hAnsi="Calibri" w:cs="Calibri"/>
        </w:rPr>
        <w:t>.</w:t>
      </w:r>
    </w:p>
    <w:p w14:paraId="4B73B123" w14:textId="3743B52E" w:rsidR="000653DD" w:rsidRDefault="00FC1AAA" w:rsidP="00583DAE">
      <w:pPr>
        <w:rPr>
          <w:rFonts w:ascii="Calibri" w:hAnsi="Calibri" w:cs="Calibri"/>
        </w:rPr>
      </w:pPr>
      <w:r>
        <w:rPr>
          <w:rFonts w:ascii="Calibri" w:hAnsi="Calibri" w:cs="Calibri"/>
        </w:rPr>
        <w:t>The term ‘</w:t>
      </w:r>
      <w:r w:rsidRPr="00FC45AC">
        <w:rPr>
          <w:rFonts w:ascii="Calibri" w:hAnsi="Calibri" w:cs="Calibri"/>
        </w:rPr>
        <w:t>d</w:t>
      </w:r>
      <w:r w:rsidR="000653DD" w:rsidRPr="00FC45AC">
        <w:rPr>
          <w:rFonts w:ascii="Calibri" w:hAnsi="Calibri" w:cs="Calibri"/>
        </w:rPr>
        <w:t>elivery partner</w:t>
      </w:r>
      <w:r w:rsidRPr="00FC45AC">
        <w:rPr>
          <w:rFonts w:ascii="Calibri" w:hAnsi="Calibri" w:cs="Calibri"/>
        </w:rPr>
        <w:t>’</w:t>
      </w:r>
      <w:r w:rsidR="000653DD">
        <w:rPr>
          <w:rFonts w:ascii="Calibri" w:hAnsi="Calibri" w:cs="Calibri"/>
        </w:rPr>
        <w:t xml:space="preserve"> refer</w:t>
      </w:r>
      <w:r w:rsidR="00AA2816">
        <w:rPr>
          <w:rFonts w:ascii="Calibri" w:hAnsi="Calibri" w:cs="Calibri"/>
        </w:rPr>
        <w:t>s</w:t>
      </w:r>
      <w:r w:rsidR="000653DD">
        <w:rPr>
          <w:rFonts w:ascii="Calibri" w:hAnsi="Calibri" w:cs="Calibri"/>
        </w:rPr>
        <w:t xml:space="preserve"> to a</w:t>
      </w:r>
      <w:r w:rsidR="000653DD" w:rsidRPr="00F305C9">
        <w:rPr>
          <w:rFonts w:ascii="Calibri" w:hAnsi="Calibri" w:cs="Calibri"/>
        </w:rPr>
        <w:t>ll individuals,</w:t>
      </w:r>
      <w:r w:rsidR="000653DD">
        <w:rPr>
          <w:rFonts w:ascii="Calibri" w:hAnsi="Calibri" w:cs="Calibri"/>
        </w:rPr>
        <w:t xml:space="preserve"> businesses,</w:t>
      </w:r>
      <w:r w:rsidR="000653DD" w:rsidRPr="00F305C9">
        <w:rPr>
          <w:rFonts w:ascii="Calibri" w:hAnsi="Calibri" w:cs="Calibri"/>
        </w:rPr>
        <w:t xml:space="preserve"> organisations and other enti</w:t>
      </w:r>
      <w:r w:rsidR="000653DD">
        <w:rPr>
          <w:rFonts w:ascii="Calibri" w:hAnsi="Calibri" w:cs="Calibri"/>
        </w:rPr>
        <w:t>ties,</w:t>
      </w:r>
      <w:r w:rsidR="000653DD" w:rsidRPr="00F305C9">
        <w:rPr>
          <w:rFonts w:ascii="Calibri" w:hAnsi="Calibri" w:cs="Calibri"/>
        </w:rPr>
        <w:t xml:space="preserve"> government and non-government</w:t>
      </w:r>
      <w:r w:rsidR="000653DD">
        <w:rPr>
          <w:rFonts w:ascii="Calibri" w:hAnsi="Calibri" w:cs="Calibri"/>
        </w:rPr>
        <w:t xml:space="preserve">, </w:t>
      </w:r>
      <w:r w:rsidR="000653DD" w:rsidRPr="00F305C9">
        <w:rPr>
          <w:rFonts w:ascii="Calibri" w:hAnsi="Calibri" w:cs="Calibri"/>
        </w:rPr>
        <w:t xml:space="preserve">involved in delivery of FDF </w:t>
      </w:r>
      <w:r w:rsidR="000653DD">
        <w:rPr>
          <w:rFonts w:ascii="Calibri" w:hAnsi="Calibri" w:cs="Calibri"/>
        </w:rPr>
        <w:t xml:space="preserve">funded </w:t>
      </w:r>
      <w:r w:rsidR="000653DD" w:rsidRPr="00F305C9">
        <w:rPr>
          <w:rFonts w:ascii="Calibri" w:hAnsi="Calibri" w:cs="Calibri"/>
        </w:rPr>
        <w:t>activities</w:t>
      </w:r>
      <w:r w:rsidR="003D092D">
        <w:rPr>
          <w:rFonts w:ascii="Calibri" w:hAnsi="Calibri" w:cs="Calibri"/>
        </w:rPr>
        <w:t xml:space="preserve"> (including devolved arrangements and grants)</w:t>
      </w:r>
      <w:r w:rsidR="000653DD" w:rsidRPr="00F305C9">
        <w:rPr>
          <w:rFonts w:ascii="Calibri" w:hAnsi="Calibri" w:cs="Calibri"/>
        </w:rPr>
        <w:t>.</w:t>
      </w:r>
    </w:p>
    <w:p w14:paraId="3576FD5A" w14:textId="52AE4402" w:rsidR="001E4321" w:rsidRPr="00EF276C" w:rsidRDefault="000D675B" w:rsidP="008C7A07">
      <w:pPr>
        <w:pStyle w:val="Heading2"/>
        <w:numPr>
          <w:ilvl w:val="0"/>
          <w:numId w:val="0"/>
        </w:numPr>
        <w:spacing w:before="160" w:after="160" w:line="259" w:lineRule="auto"/>
        <w:ind w:left="720" w:hanging="720"/>
      </w:pPr>
      <w:bookmarkStart w:id="2" w:name="_Toc199162014"/>
      <w:r w:rsidRPr="00EF276C">
        <w:t xml:space="preserve">The </w:t>
      </w:r>
      <w:r w:rsidR="00527CCE">
        <w:rPr>
          <w:rFonts w:cs="Calibri"/>
        </w:rPr>
        <w:t xml:space="preserve">Drought Resilience </w:t>
      </w:r>
      <w:r w:rsidR="001E4321" w:rsidRPr="00EF276C">
        <w:t>Funding Plan</w:t>
      </w:r>
      <w:bookmarkEnd w:id="2"/>
    </w:p>
    <w:p w14:paraId="0CCA73BE" w14:textId="47DB2940" w:rsidR="00A833A9" w:rsidRDefault="00984CCE" w:rsidP="00984CCE">
      <w:pPr>
        <w:rPr>
          <w:rFonts w:ascii="Calibri" w:hAnsi="Calibri" w:cs="Calibri"/>
        </w:rPr>
      </w:pPr>
      <w:r w:rsidRPr="00127A3F">
        <w:rPr>
          <w:rFonts w:ascii="Calibri" w:hAnsi="Calibri" w:cs="Calibri"/>
        </w:rPr>
        <w:t xml:space="preserve">The FDF was established by </w:t>
      </w:r>
      <w:r w:rsidR="009573C9">
        <w:rPr>
          <w:rFonts w:ascii="Calibri" w:hAnsi="Calibri" w:cs="Calibri"/>
        </w:rPr>
        <w:t xml:space="preserve">the </w:t>
      </w:r>
      <w:hyperlink r:id="rId14" w:history="1">
        <w:r w:rsidR="009573C9" w:rsidRPr="003C2DEA">
          <w:rPr>
            <w:rStyle w:val="Hyperlink"/>
            <w:rFonts w:ascii="Calibri" w:hAnsi="Calibri" w:cs="Calibri"/>
            <w:i/>
            <w:iCs/>
          </w:rPr>
          <w:t xml:space="preserve">Future Drought Fund Act 2019 </w:t>
        </w:r>
        <w:r w:rsidR="009573C9" w:rsidRPr="003C2DEA">
          <w:rPr>
            <w:rStyle w:val="Hyperlink"/>
            <w:rFonts w:ascii="Calibri" w:hAnsi="Calibri" w:cs="Calibri"/>
          </w:rPr>
          <w:t>(the Act)</w:t>
        </w:r>
      </w:hyperlink>
      <w:r w:rsidRPr="00127A3F">
        <w:rPr>
          <w:rFonts w:ascii="Calibri" w:hAnsi="Calibri" w:cs="Calibri"/>
        </w:rPr>
        <w:t xml:space="preserve"> to provide secure, continuous funding for </w:t>
      </w:r>
      <w:r w:rsidR="00B53DDE">
        <w:rPr>
          <w:rFonts w:ascii="Calibri" w:hAnsi="Calibri" w:cs="Calibri"/>
        </w:rPr>
        <w:t>initiatives</w:t>
      </w:r>
      <w:r w:rsidR="00B53DDE" w:rsidRPr="00127A3F">
        <w:rPr>
          <w:rFonts w:ascii="Calibri" w:hAnsi="Calibri" w:cs="Calibri"/>
        </w:rPr>
        <w:t xml:space="preserve"> </w:t>
      </w:r>
      <w:r w:rsidRPr="00127A3F">
        <w:rPr>
          <w:rFonts w:ascii="Calibri" w:hAnsi="Calibri" w:cs="Calibri"/>
        </w:rPr>
        <w:t xml:space="preserve">that support Australian farmers </w:t>
      </w:r>
      <w:bookmarkStart w:id="3" w:name="_Hlk200627088"/>
      <w:r w:rsidRPr="00127A3F">
        <w:rPr>
          <w:rFonts w:ascii="Calibri" w:hAnsi="Calibri" w:cs="Calibri"/>
        </w:rPr>
        <w:t>and regional communities to prepare for, and become more resilient to, the impacts of future droughts.</w:t>
      </w:r>
    </w:p>
    <w:bookmarkEnd w:id="3"/>
    <w:p w14:paraId="43B55006" w14:textId="70086EBA" w:rsidR="00A82C06" w:rsidRDefault="00984CCE" w:rsidP="0003691A">
      <w:pPr>
        <w:rPr>
          <w:rFonts w:ascii="Calibri" w:hAnsi="Calibri" w:cs="Calibri"/>
        </w:rPr>
      </w:pPr>
      <w:r w:rsidRPr="00127A3F">
        <w:rPr>
          <w:rFonts w:ascii="Calibri" w:hAnsi="Calibri" w:cs="Calibri"/>
        </w:rPr>
        <w:t xml:space="preserve">Under the </w:t>
      </w:r>
      <w:r w:rsidR="005A6E4E">
        <w:rPr>
          <w:rFonts w:ascii="Calibri" w:hAnsi="Calibri" w:cs="Calibri"/>
        </w:rPr>
        <w:t>Act</w:t>
      </w:r>
      <w:r w:rsidR="00C22760">
        <w:t>,</w:t>
      </w:r>
      <w:r w:rsidRPr="00127A3F">
        <w:rPr>
          <w:rFonts w:ascii="Calibri" w:hAnsi="Calibri" w:cs="Calibri"/>
        </w:rPr>
        <w:t xml:space="preserve"> the </w:t>
      </w:r>
      <w:r w:rsidR="007A5F84">
        <w:rPr>
          <w:rFonts w:ascii="Calibri" w:hAnsi="Calibri" w:cs="Calibri"/>
        </w:rPr>
        <w:t xml:space="preserve">Drought Minister is required to issue a Drought </w:t>
      </w:r>
      <w:r w:rsidR="00B82945">
        <w:rPr>
          <w:rFonts w:ascii="Calibri" w:hAnsi="Calibri" w:cs="Calibri"/>
        </w:rPr>
        <w:t>Resilience Funding Plan</w:t>
      </w:r>
      <w:r w:rsidR="00527CCE">
        <w:rPr>
          <w:rFonts w:ascii="Calibri" w:hAnsi="Calibri" w:cs="Calibri"/>
        </w:rPr>
        <w:t xml:space="preserve"> (the </w:t>
      </w:r>
      <w:r w:rsidR="00CA76F5">
        <w:rPr>
          <w:rFonts w:ascii="Calibri" w:hAnsi="Calibri" w:cs="Calibri"/>
        </w:rPr>
        <w:t xml:space="preserve">Funding </w:t>
      </w:r>
      <w:r w:rsidR="00527CCE">
        <w:rPr>
          <w:rFonts w:ascii="Calibri" w:hAnsi="Calibri" w:cs="Calibri"/>
        </w:rPr>
        <w:t>Plan)</w:t>
      </w:r>
      <w:r w:rsidR="001C67A0">
        <w:rPr>
          <w:rFonts w:ascii="Calibri" w:hAnsi="Calibri" w:cs="Calibri"/>
        </w:rPr>
        <w:t>, which is a legislative instrument</w:t>
      </w:r>
      <w:r w:rsidR="00D866E0">
        <w:rPr>
          <w:rFonts w:ascii="Calibri" w:hAnsi="Calibri" w:cs="Calibri"/>
        </w:rPr>
        <w:t xml:space="preserve"> under the </w:t>
      </w:r>
      <w:r w:rsidR="0097154C">
        <w:rPr>
          <w:rFonts w:ascii="Calibri" w:hAnsi="Calibri" w:cs="Calibri"/>
        </w:rPr>
        <w:t>A</w:t>
      </w:r>
      <w:r w:rsidR="00D866E0">
        <w:rPr>
          <w:rFonts w:ascii="Calibri" w:hAnsi="Calibri" w:cs="Calibri"/>
        </w:rPr>
        <w:t>ct</w:t>
      </w:r>
      <w:r w:rsidR="001C67A0">
        <w:rPr>
          <w:rFonts w:ascii="Calibri" w:hAnsi="Calibri" w:cs="Calibri"/>
        </w:rPr>
        <w:t xml:space="preserve"> </w:t>
      </w:r>
      <w:r w:rsidR="00F42AA1">
        <w:rPr>
          <w:rFonts w:ascii="Calibri" w:hAnsi="Calibri" w:cs="Calibri"/>
        </w:rPr>
        <w:t xml:space="preserve">that </w:t>
      </w:r>
      <w:r w:rsidR="00AF4896">
        <w:rPr>
          <w:rFonts w:ascii="Calibri" w:hAnsi="Calibri" w:cs="Calibri"/>
        </w:rPr>
        <w:t xml:space="preserve">provides a high-level, principles-based framework to </w:t>
      </w:r>
      <w:r w:rsidR="00F42AA1">
        <w:rPr>
          <w:rFonts w:ascii="Calibri" w:hAnsi="Calibri" w:cs="Calibri"/>
        </w:rPr>
        <w:t xml:space="preserve">guide </w:t>
      </w:r>
      <w:r w:rsidR="00221261" w:rsidRPr="00221261">
        <w:rPr>
          <w:rFonts w:ascii="Calibri" w:hAnsi="Calibri" w:cs="Calibri"/>
          <w:u w:val="single"/>
        </w:rPr>
        <w:t>all</w:t>
      </w:r>
      <w:r w:rsidR="00221261">
        <w:rPr>
          <w:rFonts w:ascii="Calibri" w:hAnsi="Calibri" w:cs="Calibri"/>
        </w:rPr>
        <w:t xml:space="preserve"> </w:t>
      </w:r>
      <w:r w:rsidR="00F42AA1">
        <w:rPr>
          <w:rFonts w:ascii="Calibri" w:hAnsi="Calibri" w:cs="Calibri"/>
        </w:rPr>
        <w:t xml:space="preserve">funding decisions from the FDF Special Account. </w:t>
      </w:r>
      <w:r w:rsidR="00793380">
        <w:rPr>
          <w:rFonts w:ascii="Calibri" w:hAnsi="Calibri" w:cs="Calibri"/>
        </w:rPr>
        <w:t xml:space="preserve">This means the design and delivery of FDF programs as well as any arrangements and grants </w:t>
      </w:r>
      <w:r w:rsidR="009573C9">
        <w:rPr>
          <w:rFonts w:ascii="Calibri" w:hAnsi="Calibri" w:cs="Calibri"/>
        </w:rPr>
        <w:t xml:space="preserve">(including </w:t>
      </w:r>
      <w:r w:rsidR="00052015">
        <w:rPr>
          <w:rFonts w:ascii="Calibri" w:hAnsi="Calibri" w:cs="Calibri"/>
        </w:rPr>
        <w:t>devolved</w:t>
      </w:r>
      <w:r w:rsidR="009573C9">
        <w:rPr>
          <w:rFonts w:ascii="Calibri" w:hAnsi="Calibri" w:cs="Calibri"/>
        </w:rPr>
        <w:t xml:space="preserve"> </w:t>
      </w:r>
      <w:r w:rsidR="00132785">
        <w:rPr>
          <w:rFonts w:ascii="Calibri" w:hAnsi="Calibri" w:cs="Calibri"/>
        </w:rPr>
        <w:t>arrangements and grants</w:t>
      </w:r>
      <w:r w:rsidR="009573C9">
        <w:rPr>
          <w:rFonts w:ascii="Calibri" w:hAnsi="Calibri" w:cs="Calibri"/>
        </w:rPr>
        <w:t xml:space="preserve">) </w:t>
      </w:r>
      <w:r w:rsidR="00793380">
        <w:rPr>
          <w:rFonts w:ascii="Calibri" w:hAnsi="Calibri" w:cs="Calibri"/>
        </w:rPr>
        <w:t xml:space="preserve">made under the programs must comply with </w:t>
      </w:r>
      <w:r w:rsidR="00435BF0">
        <w:rPr>
          <w:rFonts w:ascii="Calibri" w:hAnsi="Calibri" w:cs="Calibri"/>
        </w:rPr>
        <w:t>the</w:t>
      </w:r>
      <w:r w:rsidR="00793380">
        <w:rPr>
          <w:rFonts w:ascii="Calibri" w:hAnsi="Calibri" w:cs="Calibri"/>
        </w:rPr>
        <w:t xml:space="preserve"> </w:t>
      </w:r>
      <w:r w:rsidR="00CA76F5">
        <w:rPr>
          <w:rFonts w:ascii="Calibri" w:hAnsi="Calibri" w:cs="Calibri"/>
        </w:rPr>
        <w:t>Funding P</w:t>
      </w:r>
      <w:r w:rsidR="00793380">
        <w:rPr>
          <w:rFonts w:ascii="Calibri" w:hAnsi="Calibri" w:cs="Calibri"/>
        </w:rPr>
        <w:t xml:space="preserve">lan </w:t>
      </w:r>
      <w:r w:rsidR="00A72DC3">
        <w:rPr>
          <w:rFonts w:ascii="Calibri" w:hAnsi="Calibri" w:cs="Calibri"/>
        </w:rPr>
        <w:t>that is in force.</w:t>
      </w:r>
    </w:p>
    <w:p w14:paraId="11C404B3" w14:textId="0D826787" w:rsidR="00450F2F" w:rsidRDefault="00A82C06" w:rsidP="0003691A">
      <w:pPr>
        <w:rPr>
          <w:rFonts w:ascii="Calibri" w:hAnsi="Calibri" w:cs="Calibri"/>
        </w:rPr>
      </w:pPr>
      <w:r>
        <w:rPr>
          <w:rFonts w:ascii="Calibri" w:hAnsi="Calibri" w:cs="Calibri"/>
        </w:rPr>
        <w:t>T</w:t>
      </w:r>
      <w:r w:rsidR="006B0745">
        <w:rPr>
          <w:rFonts w:ascii="Calibri" w:hAnsi="Calibri" w:cs="Calibri"/>
        </w:rPr>
        <w:t xml:space="preserve">he </w:t>
      </w:r>
      <w:r w:rsidR="00CA76F5">
        <w:rPr>
          <w:rFonts w:ascii="Calibri" w:hAnsi="Calibri" w:cs="Calibri"/>
        </w:rPr>
        <w:t xml:space="preserve">Funding </w:t>
      </w:r>
      <w:r w:rsidR="006B0745">
        <w:rPr>
          <w:rFonts w:ascii="Calibri" w:hAnsi="Calibri" w:cs="Calibri"/>
        </w:rPr>
        <w:t xml:space="preserve">Plan </w:t>
      </w:r>
      <w:r w:rsidR="00D71D83">
        <w:rPr>
          <w:rFonts w:ascii="Calibri" w:hAnsi="Calibri" w:cs="Calibri"/>
        </w:rPr>
        <w:t>does not</w:t>
      </w:r>
      <w:r w:rsidR="00BA6AC0">
        <w:rPr>
          <w:rFonts w:ascii="Calibri" w:hAnsi="Calibri" w:cs="Calibri"/>
        </w:rPr>
        <w:t xml:space="preserve"> specify programs, activities or delivery partners</w:t>
      </w:r>
      <w:r w:rsidR="008C340C">
        <w:rPr>
          <w:rFonts w:ascii="Calibri" w:hAnsi="Calibri" w:cs="Calibri"/>
        </w:rPr>
        <w:t>. I</w:t>
      </w:r>
      <w:r w:rsidR="00BA6AC0">
        <w:rPr>
          <w:rFonts w:ascii="Calibri" w:hAnsi="Calibri" w:cs="Calibri"/>
        </w:rPr>
        <w:t>nstead</w:t>
      </w:r>
      <w:r w:rsidR="008C340C">
        <w:rPr>
          <w:rFonts w:ascii="Calibri" w:hAnsi="Calibri" w:cs="Calibri"/>
        </w:rPr>
        <w:t>, it</w:t>
      </w:r>
      <w:r w:rsidR="00BA6AC0">
        <w:rPr>
          <w:rFonts w:ascii="Calibri" w:hAnsi="Calibri" w:cs="Calibri"/>
        </w:rPr>
        <w:t xml:space="preserve"> contains </w:t>
      </w:r>
      <w:r w:rsidR="006B0745" w:rsidRPr="00B36EF5">
        <w:rPr>
          <w:rFonts w:ascii="Calibri" w:hAnsi="Calibri" w:cs="Calibri"/>
        </w:rPr>
        <w:t>mandatory requirements for all spending from the FDF Special Account</w:t>
      </w:r>
      <w:r w:rsidR="00590347">
        <w:rPr>
          <w:rFonts w:ascii="Calibri" w:hAnsi="Calibri" w:cs="Calibri"/>
        </w:rPr>
        <w:t>. F</w:t>
      </w:r>
      <w:r w:rsidR="008C340C">
        <w:rPr>
          <w:rFonts w:ascii="Calibri" w:hAnsi="Calibri" w:cs="Calibri"/>
        </w:rPr>
        <w:t xml:space="preserve">or example, </w:t>
      </w:r>
      <w:r w:rsidR="00652C89">
        <w:rPr>
          <w:rFonts w:ascii="Calibri" w:hAnsi="Calibri" w:cs="Calibri"/>
        </w:rPr>
        <w:t xml:space="preserve">under </w:t>
      </w:r>
      <w:r w:rsidR="008A48B0">
        <w:rPr>
          <w:rFonts w:ascii="Calibri" w:hAnsi="Calibri" w:cs="Calibri"/>
        </w:rPr>
        <w:t xml:space="preserve">the </w:t>
      </w:r>
      <w:r w:rsidR="00DA79B7">
        <w:rPr>
          <w:rFonts w:ascii="Calibri" w:hAnsi="Calibri" w:cs="Calibri"/>
        </w:rPr>
        <w:t xml:space="preserve">current </w:t>
      </w:r>
      <w:r w:rsidR="00CA76F5">
        <w:rPr>
          <w:rFonts w:ascii="Calibri" w:hAnsi="Calibri" w:cs="Calibri"/>
        </w:rPr>
        <w:t xml:space="preserve">Funding </w:t>
      </w:r>
      <w:r w:rsidR="008A207D">
        <w:rPr>
          <w:rFonts w:ascii="Calibri" w:hAnsi="Calibri" w:cs="Calibri"/>
        </w:rPr>
        <w:t xml:space="preserve">Plan </w:t>
      </w:r>
      <w:bookmarkStart w:id="4" w:name="_Hlk200549223"/>
      <w:r w:rsidR="008A207D">
        <w:rPr>
          <w:rFonts w:ascii="Calibri" w:hAnsi="Calibri" w:cs="Calibri"/>
        </w:rPr>
        <w:t>(2024-2028)</w:t>
      </w:r>
      <w:r w:rsidR="008A48B0">
        <w:rPr>
          <w:rFonts w:ascii="Calibri" w:hAnsi="Calibri" w:cs="Calibri"/>
        </w:rPr>
        <w:t xml:space="preserve"> </w:t>
      </w:r>
      <w:bookmarkEnd w:id="4"/>
      <w:r w:rsidR="000E5900">
        <w:rPr>
          <w:rFonts w:ascii="Calibri" w:hAnsi="Calibri" w:cs="Calibri"/>
        </w:rPr>
        <w:t>activities must deliver a public good</w:t>
      </w:r>
      <w:r w:rsidR="00C46AB2">
        <w:rPr>
          <w:rFonts w:ascii="Calibri" w:hAnsi="Calibri" w:cs="Calibri"/>
        </w:rPr>
        <w:t xml:space="preserve"> and cannot provide in-drought assistance to directly address hardship</w:t>
      </w:r>
      <w:r w:rsidR="00582284">
        <w:rPr>
          <w:rFonts w:ascii="Calibri" w:hAnsi="Calibri" w:cs="Calibri"/>
        </w:rPr>
        <w:t xml:space="preserve"> (funding principles (</w:t>
      </w:r>
      <w:r w:rsidR="00DC5150">
        <w:rPr>
          <w:rFonts w:ascii="Calibri" w:hAnsi="Calibri" w:cs="Calibri"/>
        </w:rPr>
        <w:t>3</w:t>
      </w:r>
      <w:r w:rsidR="00582284">
        <w:rPr>
          <w:rFonts w:ascii="Calibri" w:hAnsi="Calibri" w:cs="Calibri"/>
        </w:rPr>
        <w:t>)(</w:t>
      </w:r>
      <w:r w:rsidR="00DC5150">
        <w:rPr>
          <w:rFonts w:ascii="Calibri" w:hAnsi="Calibri" w:cs="Calibri"/>
        </w:rPr>
        <w:t>b</w:t>
      </w:r>
      <w:r w:rsidR="00582284">
        <w:rPr>
          <w:rFonts w:ascii="Calibri" w:hAnsi="Calibri" w:cs="Calibri"/>
        </w:rPr>
        <w:t>) and (</w:t>
      </w:r>
      <w:r w:rsidR="00DC5150">
        <w:rPr>
          <w:rFonts w:ascii="Calibri" w:hAnsi="Calibri" w:cs="Calibri"/>
        </w:rPr>
        <w:t>3</w:t>
      </w:r>
      <w:r w:rsidR="00582284">
        <w:rPr>
          <w:rFonts w:ascii="Calibri" w:hAnsi="Calibri" w:cs="Calibri"/>
        </w:rPr>
        <w:t>)(</w:t>
      </w:r>
      <w:r w:rsidR="00DC5150">
        <w:rPr>
          <w:rFonts w:ascii="Calibri" w:hAnsi="Calibri" w:cs="Calibri"/>
        </w:rPr>
        <w:t>c</w:t>
      </w:r>
      <w:r w:rsidR="00582284">
        <w:rPr>
          <w:rFonts w:ascii="Calibri" w:hAnsi="Calibri" w:cs="Calibri"/>
        </w:rPr>
        <w:t>), respectively)</w:t>
      </w:r>
      <w:r w:rsidR="00C46AB2">
        <w:rPr>
          <w:rFonts w:ascii="Calibri" w:hAnsi="Calibri" w:cs="Calibri"/>
        </w:rPr>
        <w:t>.</w:t>
      </w:r>
    </w:p>
    <w:p w14:paraId="752B06FC" w14:textId="515C78CA" w:rsidR="00E110F3" w:rsidRDefault="00D8405A" w:rsidP="00FA70F1">
      <w:pPr>
        <w:rPr>
          <w:rFonts w:ascii="Calibri" w:hAnsi="Calibri" w:cs="Calibri"/>
        </w:rPr>
      </w:pPr>
      <w:r w:rsidRPr="00D8405A">
        <w:rPr>
          <w:rFonts w:ascii="Calibri" w:hAnsi="Calibri" w:cs="Calibri"/>
        </w:rPr>
        <w:t xml:space="preserve">Every </w:t>
      </w:r>
      <w:r>
        <w:rPr>
          <w:rFonts w:ascii="Calibri" w:hAnsi="Calibri" w:cs="Calibri"/>
        </w:rPr>
        <w:t>4</w:t>
      </w:r>
      <w:r w:rsidRPr="00D8405A">
        <w:rPr>
          <w:rFonts w:ascii="Calibri" w:hAnsi="Calibri" w:cs="Calibri"/>
        </w:rPr>
        <w:t xml:space="preserve"> years, the </w:t>
      </w:r>
      <w:r w:rsidR="00CA76F5">
        <w:rPr>
          <w:rFonts w:ascii="Calibri" w:hAnsi="Calibri" w:cs="Calibri"/>
        </w:rPr>
        <w:t xml:space="preserve">Funding </w:t>
      </w:r>
      <w:r w:rsidR="009573C9">
        <w:rPr>
          <w:rFonts w:ascii="Calibri" w:hAnsi="Calibri" w:cs="Calibri"/>
        </w:rPr>
        <w:t>P</w:t>
      </w:r>
      <w:r w:rsidR="004E37DB">
        <w:rPr>
          <w:rFonts w:ascii="Calibri" w:hAnsi="Calibri" w:cs="Calibri"/>
        </w:rPr>
        <w:t>lan</w:t>
      </w:r>
      <w:r w:rsidRPr="00D8405A">
        <w:rPr>
          <w:rFonts w:ascii="Calibri" w:hAnsi="Calibri" w:cs="Calibri"/>
        </w:rPr>
        <w:t xml:space="preserve"> is reviewed and re</w:t>
      </w:r>
      <w:r w:rsidR="00FE0B8F">
        <w:rPr>
          <w:rFonts w:ascii="Calibri" w:hAnsi="Calibri" w:cs="Calibri"/>
        </w:rPr>
        <w:t xml:space="preserve">newed </w:t>
      </w:r>
      <w:r w:rsidR="009A73BC">
        <w:rPr>
          <w:rFonts w:ascii="Calibri" w:hAnsi="Calibri" w:cs="Calibri"/>
        </w:rPr>
        <w:t xml:space="preserve">to ensure </w:t>
      </w:r>
      <w:r w:rsidR="00723549">
        <w:rPr>
          <w:rFonts w:ascii="Calibri" w:hAnsi="Calibri" w:cs="Calibri"/>
        </w:rPr>
        <w:t xml:space="preserve">FDF activities </w:t>
      </w:r>
      <w:r w:rsidR="009A73BC" w:rsidRPr="009A73BC">
        <w:rPr>
          <w:rFonts w:ascii="Calibri" w:hAnsi="Calibri" w:cs="Calibri"/>
        </w:rPr>
        <w:t>reflect the needs and lived experience</w:t>
      </w:r>
      <w:r w:rsidR="00D50122">
        <w:rPr>
          <w:rFonts w:ascii="Calibri" w:hAnsi="Calibri" w:cs="Calibri"/>
        </w:rPr>
        <w:t>s</w:t>
      </w:r>
      <w:r w:rsidR="009A73BC" w:rsidRPr="009A73BC">
        <w:rPr>
          <w:rFonts w:ascii="Calibri" w:hAnsi="Calibri" w:cs="Calibri"/>
        </w:rPr>
        <w:t xml:space="preserve"> of farmers and their communities in building drought and climate resilience.</w:t>
      </w:r>
      <w:r w:rsidR="003426C3">
        <w:rPr>
          <w:rFonts w:ascii="Calibri" w:hAnsi="Calibri" w:cs="Calibri"/>
        </w:rPr>
        <w:t xml:space="preserve"> </w:t>
      </w:r>
      <w:bookmarkStart w:id="5" w:name="_Hlk200626188"/>
      <w:r w:rsidR="00933BEB">
        <w:rPr>
          <w:rFonts w:ascii="Calibri" w:hAnsi="Calibri" w:cs="Calibri"/>
        </w:rPr>
        <w:t xml:space="preserve">Each new Funding Plan is an </w:t>
      </w:r>
      <w:r w:rsidR="00933BEB" w:rsidRPr="00417E9E">
        <w:rPr>
          <w:rFonts w:ascii="Calibri" w:hAnsi="Calibri" w:cs="Calibri"/>
        </w:rPr>
        <w:t xml:space="preserve">opportunity for the </w:t>
      </w:r>
      <w:r w:rsidR="00933BEB">
        <w:rPr>
          <w:rFonts w:ascii="Calibri" w:hAnsi="Calibri" w:cs="Calibri"/>
        </w:rPr>
        <w:t>g</w:t>
      </w:r>
      <w:r w:rsidR="00933BEB" w:rsidRPr="00417E9E">
        <w:rPr>
          <w:rFonts w:ascii="Calibri" w:hAnsi="Calibri" w:cs="Calibri"/>
        </w:rPr>
        <w:t>overnment of the day to set out its priorities for the FDF</w:t>
      </w:r>
      <w:r w:rsidR="008A1F2A">
        <w:rPr>
          <w:rFonts w:ascii="Calibri" w:hAnsi="Calibri" w:cs="Calibri"/>
        </w:rPr>
        <w:t>. These are informed by a</w:t>
      </w:r>
      <w:r w:rsidR="00A26B4A">
        <w:rPr>
          <w:rFonts w:ascii="Calibri" w:hAnsi="Calibri" w:cs="Calibri"/>
        </w:rPr>
        <w:t xml:space="preserve"> legislated</w:t>
      </w:r>
      <w:r w:rsidR="00933BEB" w:rsidRPr="00417E9E">
        <w:rPr>
          <w:rFonts w:ascii="Calibri" w:hAnsi="Calibri" w:cs="Calibri"/>
        </w:rPr>
        <w:t xml:space="preserve"> quadrennial P</w:t>
      </w:r>
      <w:r w:rsidR="00933BEB">
        <w:rPr>
          <w:rFonts w:ascii="Calibri" w:hAnsi="Calibri" w:cs="Calibri"/>
        </w:rPr>
        <w:t>roductivity Commission</w:t>
      </w:r>
      <w:r w:rsidR="00933BEB" w:rsidRPr="00417E9E">
        <w:rPr>
          <w:rFonts w:ascii="Calibri" w:hAnsi="Calibri" w:cs="Calibri"/>
        </w:rPr>
        <w:t xml:space="preserve"> review and stakeholder consultation on </w:t>
      </w:r>
      <w:r w:rsidR="00A26B4A">
        <w:rPr>
          <w:rFonts w:ascii="Calibri" w:hAnsi="Calibri" w:cs="Calibri"/>
        </w:rPr>
        <w:t xml:space="preserve">the </w:t>
      </w:r>
      <w:r w:rsidR="00933BEB" w:rsidRPr="00417E9E">
        <w:rPr>
          <w:rFonts w:ascii="Calibri" w:hAnsi="Calibri" w:cs="Calibri"/>
        </w:rPr>
        <w:t>forthcoming FDF investment.</w:t>
      </w:r>
      <w:r w:rsidR="00933BEB">
        <w:rPr>
          <w:rFonts w:ascii="Calibri" w:hAnsi="Calibri" w:cs="Calibri"/>
        </w:rPr>
        <w:t xml:space="preserve"> </w:t>
      </w:r>
      <w:bookmarkEnd w:id="5"/>
      <w:r w:rsidR="0095128B" w:rsidRPr="00B36EF5">
        <w:rPr>
          <w:rFonts w:ascii="Calibri" w:hAnsi="Calibri" w:cs="Calibri"/>
        </w:rPr>
        <w:t xml:space="preserve">The current </w:t>
      </w:r>
      <w:r w:rsidR="00CA76F5">
        <w:rPr>
          <w:rFonts w:ascii="Calibri" w:hAnsi="Calibri" w:cs="Calibri"/>
        </w:rPr>
        <w:t xml:space="preserve">Funding </w:t>
      </w:r>
      <w:r w:rsidR="0095128B" w:rsidRPr="00B36EF5">
        <w:rPr>
          <w:rFonts w:ascii="Calibri" w:hAnsi="Calibri" w:cs="Calibri"/>
        </w:rPr>
        <w:t>Plan</w:t>
      </w:r>
      <w:r w:rsidR="00C4681E" w:rsidRPr="00B36EF5">
        <w:rPr>
          <w:rFonts w:ascii="Calibri" w:hAnsi="Calibri" w:cs="Calibri"/>
        </w:rPr>
        <w:t xml:space="preserve"> </w:t>
      </w:r>
      <w:r w:rsidR="000C6DCB">
        <w:rPr>
          <w:rFonts w:ascii="Calibri" w:hAnsi="Calibri" w:cs="Calibri"/>
        </w:rPr>
        <w:t>(</w:t>
      </w:r>
      <w:r w:rsidR="007A3360">
        <w:rPr>
          <w:rFonts w:ascii="Calibri" w:hAnsi="Calibri" w:cs="Calibri"/>
        </w:rPr>
        <w:t>2024-2028</w:t>
      </w:r>
      <w:r w:rsidR="000C6DCB">
        <w:rPr>
          <w:rFonts w:ascii="Calibri" w:hAnsi="Calibri" w:cs="Calibri"/>
        </w:rPr>
        <w:t>)</w:t>
      </w:r>
      <w:r w:rsidR="007A3360">
        <w:rPr>
          <w:rFonts w:ascii="Calibri" w:hAnsi="Calibri" w:cs="Calibri"/>
        </w:rPr>
        <w:t xml:space="preserve"> </w:t>
      </w:r>
      <w:r w:rsidR="00AA5239" w:rsidRPr="00B36EF5">
        <w:rPr>
          <w:rFonts w:ascii="Calibri" w:hAnsi="Calibri" w:cs="Calibri"/>
        </w:rPr>
        <w:t>commenced on 9 February 2024</w:t>
      </w:r>
      <w:r w:rsidR="00891B63" w:rsidRPr="00B36EF5">
        <w:rPr>
          <w:rFonts w:ascii="Calibri" w:hAnsi="Calibri" w:cs="Calibri"/>
        </w:rPr>
        <w:t xml:space="preserve"> following</w:t>
      </w:r>
      <w:r w:rsidR="00F02B5F" w:rsidRPr="00B36EF5">
        <w:rPr>
          <w:rFonts w:ascii="Calibri" w:hAnsi="Calibri" w:cs="Calibri"/>
        </w:rPr>
        <w:t xml:space="preserve"> </w:t>
      </w:r>
      <w:hyperlink r:id="rId15" w:history="1">
        <w:r w:rsidR="00F02B5F" w:rsidRPr="00284ABF">
          <w:rPr>
            <w:rStyle w:val="Hyperlink"/>
            <w:rFonts w:ascii="Calibri" w:hAnsi="Calibri" w:cs="Calibri"/>
          </w:rPr>
          <w:t>public consultation and</w:t>
        </w:r>
        <w:r w:rsidR="00891B63" w:rsidRPr="00284ABF">
          <w:rPr>
            <w:rStyle w:val="Hyperlink"/>
            <w:rFonts w:ascii="Calibri" w:hAnsi="Calibri" w:cs="Calibri"/>
          </w:rPr>
          <w:t xml:space="preserve"> broad</w:t>
        </w:r>
        <w:r w:rsidR="00F02B5F" w:rsidRPr="00284ABF">
          <w:rPr>
            <w:rStyle w:val="Hyperlink"/>
            <w:rFonts w:ascii="Calibri" w:hAnsi="Calibri" w:cs="Calibri"/>
          </w:rPr>
          <w:t xml:space="preserve"> stakeholder support</w:t>
        </w:r>
      </w:hyperlink>
      <w:r w:rsidR="00F02B5F" w:rsidRPr="00B36EF5">
        <w:rPr>
          <w:rFonts w:ascii="Calibri" w:hAnsi="Calibri" w:cs="Calibri"/>
        </w:rPr>
        <w:t>.</w:t>
      </w:r>
    </w:p>
    <w:p w14:paraId="7E9DFE85" w14:textId="28C4D7ED" w:rsidR="00B81E02" w:rsidRPr="00FC574D" w:rsidRDefault="00B81E02" w:rsidP="00B81E02">
      <w:pPr>
        <w:pStyle w:val="BoxText"/>
      </w:pPr>
      <w:r w:rsidRPr="00B81E02">
        <w:t>Both the Act and the Funding Plan (2024-2028) have accompanying explanatory material to support interpretation of requirements, including the funding principle</w:t>
      </w:r>
      <w:r>
        <w:t>s.</w:t>
      </w:r>
    </w:p>
    <w:p w14:paraId="21C43D33" w14:textId="3B3C035F" w:rsidR="0084107D" w:rsidRPr="00891528" w:rsidRDefault="00CC7CBE" w:rsidP="00D72CB0">
      <w:pPr>
        <w:pStyle w:val="Heading2"/>
        <w:keepNext/>
        <w:keepLines/>
        <w:numPr>
          <w:ilvl w:val="0"/>
          <w:numId w:val="0"/>
        </w:numPr>
        <w:spacing w:before="160" w:after="160" w:line="259" w:lineRule="auto"/>
        <w:ind w:left="720" w:hanging="720"/>
        <w:rPr>
          <w:szCs w:val="36"/>
        </w:rPr>
      </w:pPr>
      <w:bookmarkStart w:id="6" w:name="_Funding_principles"/>
      <w:bookmarkStart w:id="7" w:name="_Ref178596425"/>
      <w:bookmarkStart w:id="8" w:name="_Toc199162015"/>
      <w:bookmarkEnd w:id="6"/>
      <w:r>
        <w:rPr>
          <w:szCs w:val="36"/>
        </w:rPr>
        <w:lastRenderedPageBreak/>
        <w:t>F</w:t>
      </w:r>
      <w:r w:rsidR="00F578C9" w:rsidRPr="00337C6C">
        <w:rPr>
          <w:szCs w:val="36"/>
        </w:rPr>
        <w:t>unding principles</w:t>
      </w:r>
      <w:bookmarkEnd w:id="7"/>
      <w:bookmarkEnd w:id="8"/>
    </w:p>
    <w:p w14:paraId="260F4273" w14:textId="038FC5DE" w:rsidR="00D1312D" w:rsidRPr="00A0593A" w:rsidRDefault="00EB29EC" w:rsidP="00001DDB">
      <w:pPr>
        <w:rPr>
          <w:lang w:eastAsia="ja-JP"/>
        </w:rPr>
      </w:pPr>
      <w:r w:rsidRPr="00A0593A">
        <w:rPr>
          <w:lang w:eastAsia="ja-JP"/>
        </w:rPr>
        <w:t xml:space="preserve">The </w:t>
      </w:r>
      <w:r w:rsidR="00CA76F5" w:rsidRPr="00A0593A">
        <w:t xml:space="preserve">Funding </w:t>
      </w:r>
      <w:r w:rsidRPr="00A0593A">
        <w:rPr>
          <w:lang w:eastAsia="ja-JP"/>
        </w:rPr>
        <w:t>Plan</w:t>
      </w:r>
      <w:r w:rsidR="008B1A1A" w:rsidRPr="00A0593A">
        <w:rPr>
          <w:lang w:eastAsia="ja-JP"/>
        </w:rPr>
        <w:t xml:space="preserve"> (2024-2028)</w:t>
      </w:r>
      <w:r w:rsidRPr="00A0593A">
        <w:rPr>
          <w:lang w:eastAsia="ja-JP"/>
        </w:rPr>
        <w:t xml:space="preserve"> </w:t>
      </w:r>
      <w:r w:rsidR="00AA2816">
        <w:rPr>
          <w:lang w:eastAsia="ja-JP"/>
        </w:rPr>
        <w:t>has</w:t>
      </w:r>
      <w:r w:rsidRPr="00A0593A">
        <w:rPr>
          <w:lang w:eastAsia="ja-JP"/>
        </w:rPr>
        <w:t xml:space="preserve"> </w:t>
      </w:r>
      <w:r w:rsidR="003F2072" w:rsidRPr="00A0593A">
        <w:rPr>
          <w:lang w:eastAsia="ja-JP"/>
        </w:rPr>
        <w:t>2</w:t>
      </w:r>
      <w:r w:rsidR="009E66B8" w:rsidRPr="00A0593A">
        <w:rPr>
          <w:lang w:eastAsia="ja-JP"/>
        </w:rPr>
        <w:t xml:space="preserve"> types of funding principles</w:t>
      </w:r>
      <w:r w:rsidR="007C2F78" w:rsidRPr="00A0593A">
        <w:rPr>
          <w:lang w:eastAsia="ja-JP"/>
        </w:rPr>
        <w:t xml:space="preserve"> </w:t>
      </w:r>
      <w:r w:rsidR="001F56B1" w:rsidRPr="00A0593A">
        <w:rPr>
          <w:lang w:eastAsia="ja-JP"/>
        </w:rPr>
        <w:t>to</w:t>
      </w:r>
      <w:r w:rsidR="007C2F78" w:rsidRPr="00A0593A">
        <w:rPr>
          <w:lang w:eastAsia="ja-JP"/>
        </w:rPr>
        <w:t xml:space="preserve"> guide FDF spending:</w:t>
      </w:r>
    </w:p>
    <w:p w14:paraId="5F4DDE4B" w14:textId="7AC889EB" w:rsidR="00EB29EC" w:rsidRPr="00D10F31" w:rsidRDefault="009E66B8" w:rsidP="00001DDB">
      <w:pPr>
        <w:pStyle w:val="Heading3"/>
        <w:numPr>
          <w:ilvl w:val="0"/>
          <w:numId w:val="0"/>
        </w:numPr>
        <w:ind w:left="964" w:hanging="964"/>
        <w:rPr>
          <w:lang w:eastAsia="ja-JP"/>
        </w:rPr>
      </w:pPr>
      <w:r w:rsidRPr="00D10F31">
        <w:t>Fund</w:t>
      </w:r>
      <w:r w:rsidRPr="00D10F31">
        <w:rPr>
          <w:lang w:eastAsia="ja-JP"/>
        </w:rPr>
        <w:t xml:space="preserve"> wide principles</w:t>
      </w:r>
      <w:r w:rsidR="00BF79AB">
        <w:rPr>
          <w:lang w:eastAsia="ja-JP"/>
        </w:rPr>
        <w:t xml:space="preserve"> </w:t>
      </w:r>
      <w:r w:rsidR="00BF79AB" w:rsidRPr="00A0593A">
        <w:rPr>
          <w:rFonts w:cstheme="minorHAnsi"/>
          <w:lang w:eastAsia="ja-JP"/>
        </w:rPr>
        <w:t>(s 6(</w:t>
      </w:r>
      <w:r w:rsidR="00BF79AB">
        <w:rPr>
          <w:rFonts w:cstheme="minorHAnsi"/>
          <w:lang w:eastAsia="ja-JP"/>
        </w:rPr>
        <w:t>2</w:t>
      </w:r>
      <w:r w:rsidR="00BF79AB" w:rsidRPr="00A0593A">
        <w:rPr>
          <w:rFonts w:cstheme="minorHAnsi"/>
          <w:lang w:eastAsia="ja-JP"/>
        </w:rPr>
        <w:t>))</w:t>
      </w:r>
    </w:p>
    <w:p w14:paraId="77ACC8FD" w14:textId="67A4D0C3" w:rsidR="008C7B27" w:rsidRDefault="003C2DEA" w:rsidP="00001DDB">
      <w:pPr>
        <w:rPr>
          <w:lang w:eastAsia="ja-JP"/>
        </w:rPr>
      </w:pPr>
      <w:r w:rsidRPr="00A0593A">
        <w:rPr>
          <w:lang w:eastAsia="ja-JP"/>
        </w:rPr>
        <w:t xml:space="preserve">The first set </w:t>
      </w:r>
      <w:r w:rsidR="00263F10" w:rsidRPr="00A0593A">
        <w:rPr>
          <w:lang w:eastAsia="ja-JP"/>
        </w:rPr>
        <w:t xml:space="preserve">of 11 </w:t>
      </w:r>
      <w:r w:rsidR="009E4B87" w:rsidRPr="00A0593A">
        <w:rPr>
          <w:lang w:eastAsia="ja-JP"/>
        </w:rPr>
        <w:t>principles guides</w:t>
      </w:r>
      <w:r w:rsidR="009C3B70" w:rsidRPr="00A0593A">
        <w:rPr>
          <w:lang w:eastAsia="ja-JP"/>
        </w:rPr>
        <w:t xml:space="preserve"> decisions about the mix of </w:t>
      </w:r>
      <w:r w:rsidR="00F90F41" w:rsidRPr="00A0593A">
        <w:rPr>
          <w:lang w:eastAsia="ja-JP"/>
        </w:rPr>
        <w:t xml:space="preserve">FDF </w:t>
      </w:r>
      <w:r w:rsidR="009C3B70" w:rsidRPr="00A0593A">
        <w:rPr>
          <w:lang w:eastAsia="ja-JP"/>
        </w:rPr>
        <w:t>programs</w:t>
      </w:r>
      <w:r w:rsidR="00AD46E2" w:rsidRPr="00A0593A">
        <w:rPr>
          <w:lang w:eastAsia="ja-JP"/>
        </w:rPr>
        <w:t xml:space="preserve"> that will provide the greatest benefit for the community</w:t>
      </w:r>
      <w:r w:rsidR="007350BB" w:rsidRPr="00A0593A">
        <w:rPr>
          <w:lang w:eastAsia="ja-JP"/>
        </w:rPr>
        <w:t xml:space="preserve">. </w:t>
      </w:r>
      <w:r w:rsidR="00E41480" w:rsidRPr="00A0593A">
        <w:rPr>
          <w:lang w:eastAsia="ja-JP"/>
        </w:rPr>
        <w:t xml:space="preserve">These principles also </w:t>
      </w:r>
      <w:r w:rsidR="00851982" w:rsidRPr="00A0593A">
        <w:rPr>
          <w:lang w:eastAsia="ja-JP"/>
        </w:rPr>
        <w:t xml:space="preserve">provide </w:t>
      </w:r>
      <w:r w:rsidR="00A0035F" w:rsidRPr="00A0593A">
        <w:rPr>
          <w:lang w:eastAsia="ja-JP"/>
        </w:rPr>
        <w:t xml:space="preserve">guidance relevant to </w:t>
      </w:r>
      <w:r w:rsidR="00F90F41" w:rsidRPr="00A0593A">
        <w:rPr>
          <w:lang w:eastAsia="ja-JP"/>
        </w:rPr>
        <w:t xml:space="preserve">the design </w:t>
      </w:r>
      <w:r w:rsidR="009E4B87" w:rsidRPr="00A0593A">
        <w:rPr>
          <w:lang w:eastAsia="ja-JP"/>
        </w:rPr>
        <w:t xml:space="preserve">of </w:t>
      </w:r>
      <w:r w:rsidR="00F90F41" w:rsidRPr="00A0593A">
        <w:rPr>
          <w:lang w:eastAsia="ja-JP"/>
        </w:rPr>
        <w:t xml:space="preserve">individual </w:t>
      </w:r>
      <w:r w:rsidR="00A0035F" w:rsidRPr="00A0593A">
        <w:rPr>
          <w:lang w:eastAsia="ja-JP"/>
        </w:rPr>
        <w:t xml:space="preserve">arrangements and grants. </w:t>
      </w:r>
      <w:r w:rsidR="00D55CE5" w:rsidRPr="00A0593A">
        <w:rPr>
          <w:lang w:eastAsia="ja-JP"/>
        </w:rPr>
        <w:t>While the fund wide principles are not mandatory</w:t>
      </w:r>
      <w:r w:rsidR="00750C55" w:rsidRPr="00A0593A">
        <w:rPr>
          <w:lang w:eastAsia="ja-JP"/>
        </w:rPr>
        <w:t>,</w:t>
      </w:r>
      <w:r w:rsidR="00F90F41" w:rsidRPr="00A0593A">
        <w:rPr>
          <w:lang w:eastAsia="ja-JP"/>
        </w:rPr>
        <w:t xml:space="preserve"> for every arrangement</w:t>
      </w:r>
      <w:r w:rsidR="00132785" w:rsidRPr="00A0593A">
        <w:rPr>
          <w:lang w:eastAsia="ja-JP"/>
        </w:rPr>
        <w:t>/grant</w:t>
      </w:r>
      <w:r w:rsidR="00D55CE5" w:rsidRPr="00A0593A">
        <w:rPr>
          <w:lang w:eastAsia="ja-JP"/>
        </w:rPr>
        <w:t xml:space="preserve">, </w:t>
      </w:r>
      <w:r w:rsidR="00A410D5" w:rsidRPr="00A0593A">
        <w:rPr>
          <w:lang w:eastAsia="ja-JP"/>
        </w:rPr>
        <w:t>you</w:t>
      </w:r>
      <w:r w:rsidR="00D55CE5" w:rsidRPr="00A0593A">
        <w:rPr>
          <w:lang w:eastAsia="ja-JP"/>
        </w:rPr>
        <w:t xml:space="preserve"> </w:t>
      </w:r>
      <w:r w:rsidR="00D55CE5" w:rsidRPr="00A0593A">
        <w:rPr>
          <w:u w:val="single"/>
          <w:lang w:eastAsia="ja-JP"/>
        </w:rPr>
        <w:t>should</w:t>
      </w:r>
      <w:r w:rsidR="00D55CE5" w:rsidRPr="00A0593A">
        <w:rPr>
          <w:lang w:eastAsia="ja-JP"/>
        </w:rPr>
        <w:t xml:space="preserve"> </w:t>
      </w:r>
      <w:r w:rsidR="009573C9" w:rsidRPr="00A0593A">
        <w:rPr>
          <w:lang w:eastAsia="ja-JP"/>
        </w:rPr>
        <w:t xml:space="preserve">consider relevant opportunities </w:t>
      </w:r>
      <w:r w:rsidR="00AE42EE" w:rsidRPr="00A0593A">
        <w:rPr>
          <w:lang w:eastAsia="ja-JP"/>
        </w:rPr>
        <w:t>for alignment.</w:t>
      </w:r>
      <w:r w:rsidR="00BD6FD1">
        <w:rPr>
          <w:lang w:eastAsia="ja-JP"/>
        </w:rPr>
        <w:t xml:space="preserve"> The Fund wide principles can be found in section </w:t>
      </w:r>
      <w:r w:rsidR="00BD6FD1" w:rsidRPr="00BD6FD1">
        <w:rPr>
          <w:lang w:eastAsia="ja-JP"/>
        </w:rPr>
        <w:t xml:space="preserve">6(2) of the </w:t>
      </w:r>
      <w:hyperlink r:id="rId16" w:history="1">
        <w:r w:rsidR="00BD6FD1" w:rsidRPr="00BD6FD1">
          <w:rPr>
            <w:rStyle w:val="Hyperlink"/>
            <w:rFonts w:cstheme="minorHAnsi"/>
            <w:lang w:eastAsia="ja-JP"/>
          </w:rPr>
          <w:t>Funding Plan (2024-2028)</w:t>
        </w:r>
      </w:hyperlink>
      <w:r w:rsidR="00BD6FD1">
        <w:rPr>
          <w:lang w:eastAsia="ja-JP"/>
        </w:rPr>
        <w:t>.</w:t>
      </w:r>
    </w:p>
    <w:p w14:paraId="7F1A9E28" w14:textId="06926D87" w:rsidR="009E66B8" w:rsidRPr="00D10F31" w:rsidRDefault="001D427F" w:rsidP="00001DDB">
      <w:pPr>
        <w:pStyle w:val="Heading3"/>
        <w:numPr>
          <w:ilvl w:val="0"/>
          <w:numId w:val="0"/>
        </w:numPr>
        <w:ind w:left="964" w:hanging="964"/>
        <w:rPr>
          <w:lang w:eastAsia="ja-JP"/>
        </w:rPr>
      </w:pPr>
      <w:r w:rsidRPr="00D10F31">
        <w:rPr>
          <w:lang w:eastAsia="ja-JP"/>
        </w:rPr>
        <w:t>Principles relating to decisions about arrangements and grants</w:t>
      </w:r>
      <w:r w:rsidR="00BF79AB">
        <w:rPr>
          <w:lang w:eastAsia="ja-JP"/>
        </w:rPr>
        <w:t xml:space="preserve"> </w:t>
      </w:r>
      <w:r w:rsidR="00BF79AB" w:rsidRPr="00A0593A">
        <w:rPr>
          <w:rFonts w:cstheme="minorHAnsi"/>
          <w:lang w:eastAsia="ja-JP"/>
        </w:rPr>
        <w:t>(s 6(3))</w:t>
      </w:r>
    </w:p>
    <w:p w14:paraId="1368EA6B" w14:textId="77777777" w:rsidR="001149B5" w:rsidRDefault="00BA4F22" w:rsidP="001149B5">
      <w:r w:rsidRPr="00A0593A">
        <w:rPr>
          <w:lang w:eastAsia="ja-JP"/>
        </w:rPr>
        <w:t xml:space="preserve">The second set of 8 </w:t>
      </w:r>
      <w:r w:rsidR="00F90F41" w:rsidRPr="00A0593A">
        <w:rPr>
          <w:lang w:eastAsia="ja-JP"/>
        </w:rPr>
        <w:t xml:space="preserve">principles are </w:t>
      </w:r>
      <w:r w:rsidRPr="00A0593A">
        <w:rPr>
          <w:u w:val="single"/>
          <w:lang w:eastAsia="ja-JP"/>
        </w:rPr>
        <w:t>mandatory</w:t>
      </w:r>
      <w:r w:rsidRPr="00A0593A">
        <w:rPr>
          <w:lang w:eastAsia="ja-JP"/>
        </w:rPr>
        <w:t xml:space="preserve"> </w:t>
      </w:r>
      <w:r w:rsidR="00BB3D8B" w:rsidRPr="00A0593A">
        <w:rPr>
          <w:lang w:eastAsia="ja-JP"/>
        </w:rPr>
        <w:t xml:space="preserve">requirements which all arrangements and grants must meet, including devolved arrangements and grants. </w:t>
      </w:r>
      <w:r w:rsidR="00B53245" w:rsidRPr="00A0593A">
        <w:rPr>
          <w:lang w:eastAsia="ja-JP"/>
        </w:rPr>
        <w:t xml:space="preserve">All partners </w:t>
      </w:r>
      <w:r w:rsidR="00435BF0">
        <w:rPr>
          <w:lang w:eastAsia="ja-JP"/>
        </w:rPr>
        <w:t xml:space="preserve">that </w:t>
      </w:r>
      <w:r w:rsidR="00B53245" w:rsidRPr="00A0593A">
        <w:rPr>
          <w:lang w:eastAsia="ja-JP"/>
        </w:rPr>
        <w:t xml:space="preserve">deliver FDF activities must </w:t>
      </w:r>
      <w:r w:rsidR="0089703B" w:rsidRPr="00A0593A">
        <w:rPr>
          <w:lang w:eastAsia="ja-JP"/>
        </w:rPr>
        <w:t>ensure that the</w:t>
      </w:r>
      <w:r w:rsidR="00C71DD6" w:rsidRPr="00A0593A">
        <w:rPr>
          <w:lang w:eastAsia="ja-JP"/>
        </w:rPr>
        <w:t xml:space="preserve">y </w:t>
      </w:r>
      <w:r w:rsidR="003F641B">
        <w:rPr>
          <w:lang w:eastAsia="ja-JP"/>
        </w:rPr>
        <w:t>align with</w:t>
      </w:r>
      <w:r w:rsidR="0089703B" w:rsidRPr="00A0593A">
        <w:rPr>
          <w:lang w:eastAsia="ja-JP"/>
        </w:rPr>
        <w:t xml:space="preserve"> </w:t>
      </w:r>
      <w:r w:rsidR="00B53245" w:rsidRPr="00A0593A">
        <w:rPr>
          <w:lang w:eastAsia="ja-JP"/>
        </w:rPr>
        <w:t>these principles</w:t>
      </w:r>
      <w:r w:rsidR="00C71DD6" w:rsidRPr="00A0593A">
        <w:rPr>
          <w:lang w:eastAsia="ja-JP"/>
        </w:rPr>
        <w:t>.</w:t>
      </w:r>
      <w:r w:rsidR="003F641B">
        <w:rPr>
          <w:lang w:eastAsia="ja-JP"/>
        </w:rPr>
        <w:t xml:space="preserve"> </w:t>
      </w:r>
      <w:r w:rsidR="00FA70F1" w:rsidRPr="00F72266">
        <w:rPr>
          <w:rFonts w:ascii="Calibri" w:hAnsi="Calibri" w:cs="Calibri"/>
          <w:lang w:eastAsia="ja-JP"/>
        </w:rPr>
        <w:t xml:space="preserve">Principles relating to decisions about arrangements and grants are provided in </w:t>
      </w:r>
      <w:r w:rsidR="00FA70F1">
        <w:rPr>
          <w:rFonts w:ascii="Calibri" w:hAnsi="Calibri" w:cs="Calibri"/>
          <w:b/>
          <w:bCs/>
          <w:lang w:eastAsia="ja-JP"/>
        </w:rPr>
        <w:fldChar w:fldCharType="begin"/>
      </w:r>
      <w:r w:rsidR="00FA70F1">
        <w:rPr>
          <w:rFonts w:ascii="Calibri" w:hAnsi="Calibri" w:cs="Calibri"/>
          <w:lang w:eastAsia="ja-JP"/>
        </w:rPr>
        <w:instrText xml:space="preserve"> REF _Ref201237459 \h </w:instrText>
      </w:r>
      <w:r w:rsidR="00001DDB">
        <w:rPr>
          <w:rFonts w:ascii="Calibri" w:hAnsi="Calibri" w:cs="Calibri"/>
          <w:b/>
          <w:bCs/>
          <w:lang w:eastAsia="ja-JP"/>
        </w:rPr>
        <w:instrText xml:space="preserve"> \* MERGEFORMAT </w:instrText>
      </w:r>
      <w:r w:rsidR="00FA70F1">
        <w:rPr>
          <w:rFonts w:ascii="Calibri" w:hAnsi="Calibri" w:cs="Calibri"/>
          <w:b/>
          <w:bCs/>
          <w:lang w:eastAsia="ja-JP"/>
        </w:rPr>
      </w:r>
      <w:r w:rsidR="00FA70F1">
        <w:rPr>
          <w:rFonts w:ascii="Calibri" w:hAnsi="Calibri" w:cs="Calibri"/>
          <w:b/>
          <w:bCs/>
          <w:lang w:eastAsia="ja-JP"/>
        </w:rPr>
        <w:fldChar w:fldCharType="separate"/>
      </w:r>
      <w:r w:rsidR="001149B5" w:rsidRPr="00001DDB">
        <w:t xml:space="preserve">All </w:t>
      </w:r>
      <w:r w:rsidR="001149B5" w:rsidRPr="00001DDB">
        <w:rPr>
          <w:noProof/>
        </w:rPr>
        <w:t>funding</w:t>
      </w:r>
      <w:r w:rsidR="001149B5" w:rsidRPr="00001DDB">
        <w:t xml:space="preserve"> decisions from 9 February 2024 must be consistent with the current Funding Plan (2024 2028).</w:t>
      </w:r>
    </w:p>
    <w:p w14:paraId="10DCBD4E" w14:textId="7F3E1D64" w:rsidR="00061EC1" w:rsidRPr="003F641B" w:rsidRDefault="001149B5" w:rsidP="00001DDB">
      <w:pPr>
        <w:rPr>
          <w:lang w:eastAsia="ja-JP"/>
        </w:rPr>
      </w:pPr>
      <w:r>
        <w:t xml:space="preserve">Table </w:t>
      </w:r>
      <w:r>
        <w:rPr>
          <w:noProof/>
        </w:rPr>
        <w:t>1</w:t>
      </w:r>
      <w:r w:rsidR="00FA70F1">
        <w:rPr>
          <w:rFonts w:ascii="Calibri" w:hAnsi="Calibri" w:cs="Calibri"/>
          <w:b/>
          <w:bCs/>
          <w:lang w:eastAsia="ja-JP"/>
        </w:rPr>
        <w:fldChar w:fldCharType="end"/>
      </w:r>
      <w:r w:rsidR="00FA70F1">
        <w:rPr>
          <w:rFonts w:ascii="Calibri" w:hAnsi="Calibri" w:cs="Calibri"/>
          <w:b/>
          <w:bCs/>
          <w:lang w:eastAsia="ja-JP"/>
        </w:rPr>
        <w:t xml:space="preserve"> </w:t>
      </w:r>
      <w:r w:rsidR="00FA70F1" w:rsidRPr="00F72266">
        <w:rPr>
          <w:rFonts w:ascii="Calibri" w:hAnsi="Calibri" w:cs="Calibri"/>
          <w:lang w:eastAsia="ja-JP"/>
        </w:rPr>
        <w:t>along with</w:t>
      </w:r>
      <w:r w:rsidR="003F641B">
        <w:rPr>
          <w:rFonts w:ascii="Calibri" w:hAnsi="Calibri" w:cs="Calibri"/>
          <w:lang w:eastAsia="ja-JP"/>
        </w:rPr>
        <w:t xml:space="preserve"> suggested</w:t>
      </w:r>
      <w:r w:rsidR="00FA70F1" w:rsidRPr="00F72266">
        <w:rPr>
          <w:rFonts w:ascii="Calibri" w:hAnsi="Calibri" w:cs="Calibri"/>
          <w:b/>
          <w:bCs/>
          <w:lang w:eastAsia="ja-JP"/>
        </w:rPr>
        <w:t xml:space="preserve"> </w:t>
      </w:r>
      <w:r w:rsidR="00FA70F1" w:rsidRPr="00F72266">
        <w:rPr>
          <w:rFonts w:ascii="Calibri" w:hAnsi="Calibri" w:cs="Calibri"/>
          <w:lang w:eastAsia="ja-JP"/>
        </w:rPr>
        <w:t>considerations</w:t>
      </w:r>
      <w:r w:rsidR="003F641B">
        <w:rPr>
          <w:rFonts w:ascii="Calibri" w:hAnsi="Calibri" w:cs="Calibri"/>
          <w:lang w:eastAsia="ja-JP"/>
        </w:rPr>
        <w:t xml:space="preserve"> to ensure alignment.</w:t>
      </w:r>
    </w:p>
    <w:p w14:paraId="3A1D32A0" w14:textId="0F7A34AC" w:rsidR="00001DDB" w:rsidRDefault="00001DDB" w:rsidP="00001DDB">
      <w:pPr>
        <w:pStyle w:val="BoxText"/>
      </w:pPr>
      <w:bookmarkStart w:id="9" w:name="_Ref201237459"/>
      <w:bookmarkStart w:id="10" w:name="_Toc199162016"/>
      <w:r w:rsidRPr="00001DDB">
        <w:t>All funding decisions from 9 February 2024 must be consistent with the current Funding Plan (2024 2028).</w:t>
      </w:r>
    </w:p>
    <w:p w14:paraId="49302FBF" w14:textId="02F04344" w:rsidR="00FA70F1" w:rsidRDefault="00FA70F1" w:rsidP="001667C9">
      <w:pPr>
        <w:pStyle w:val="Caption"/>
        <w:spacing w:before="240"/>
      </w:pPr>
      <w:r>
        <w:t xml:space="preserve">Table </w:t>
      </w:r>
      <w:r>
        <w:fldChar w:fldCharType="begin"/>
      </w:r>
      <w:r>
        <w:instrText xml:space="preserve"> SEQ Table \* ARABIC </w:instrText>
      </w:r>
      <w:r>
        <w:fldChar w:fldCharType="separate"/>
      </w:r>
      <w:r w:rsidR="001149B5">
        <w:rPr>
          <w:noProof/>
        </w:rPr>
        <w:t>1</w:t>
      </w:r>
      <w:r>
        <w:fldChar w:fldCharType="end"/>
      </w:r>
      <w:bookmarkEnd w:id="9"/>
      <w:r>
        <w:t xml:space="preserve"> </w:t>
      </w:r>
      <w:r w:rsidR="003F641B" w:rsidRPr="003F641B">
        <w:t xml:space="preserve">Principles relating to decisions about arrangements and grants </w:t>
      </w:r>
      <w:r w:rsidR="003F641B">
        <w:t xml:space="preserve">and </w:t>
      </w:r>
      <w:r w:rsidR="003F641B">
        <w:rPr>
          <w:rFonts w:cs="Calibri"/>
          <w:szCs w:val="24"/>
        </w:rPr>
        <w:t>c</w:t>
      </w:r>
      <w:r w:rsidRPr="00F72266">
        <w:rPr>
          <w:rFonts w:cs="Calibri"/>
          <w:szCs w:val="24"/>
        </w:rPr>
        <w:t>onside</w:t>
      </w:r>
      <w:r w:rsidR="003F641B">
        <w:rPr>
          <w:rFonts w:cs="Calibri"/>
          <w:szCs w:val="24"/>
        </w:rPr>
        <w:t>rations for</w:t>
      </w:r>
      <w:r w:rsidRPr="00F72266">
        <w:rPr>
          <w:rFonts w:cs="Calibri"/>
          <w:szCs w:val="24"/>
        </w:rPr>
        <w:t xml:space="preserve"> alignment</w:t>
      </w:r>
      <w:r w:rsidR="003F641B">
        <w:rPr>
          <w:rFonts w:cs="Calibri"/>
          <w:szCs w:val="24"/>
        </w:rPr>
        <w:t xml:space="preserve"> </w:t>
      </w:r>
      <w:r w:rsidR="008A1F2A">
        <w:rPr>
          <w:rFonts w:cs="Calibri"/>
          <w:szCs w:val="24"/>
        </w:rPr>
        <w:t xml:space="preserve">of </w:t>
      </w:r>
      <w:r w:rsidR="003F641B">
        <w:rPr>
          <w:rFonts w:cs="Calibri"/>
          <w:szCs w:val="24"/>
        </w:rPr>
        <w:t>activities</w:t>
      </w:r>
      <w:r w:rsidRPr="00F72266">
        <w:rPr>
          <w:rFonts w:cs="Calibri"/>
          <w:szCs w:val="24"/>
        </w:rPr>
        <w:t xml:space="preserve"> with the funding principles</w:t>
      </w:r>
    </w:p>
    <w:tbl>
      <w:tblPr>
        <w:tblStyle w:val="TableGrid"/>
        <w:tblW w:w="0" w:type="auto"/>
        <w:tblLook w:val="04A0" w:firstRow="1" w:lastRow="0" w:firstColumn="1" w:lastColumn="0" w:noHBand="0" w:noVBand="1"/>
      </w:tblPr>
      <w:tblGrid>
        <w:gridCol w:w="649"/>
        <w:gridCol w:w="3457"/>
        <w:gridCol w:w="5630"/>
      </w:tblGrid>
      <w:tr w:rsidR="00D10F31" w:rsidRPr="00BA55F5" w14:paraId="1B6CBEB6" w14:textId="77777777" w:rsidTr="001667C9">
        <w:tc>
          <w:tcPr>
            <w:tcW w:w="4106" w:type="dxa"/>
            <w:gridSpan w:val="2"/>
          </w:tcPr>
          <w:p w14:paraId="719002D5" w14:textId="77777777" w:rsidR="00D10F31" w:rsidRPr="00BA55F5" w:rsidRDefault="00D10F31" w:rsidP="00001DDB">
            <w:pPr>
              <w:pStyle w:val="TableHeading"/>
              <w:rPr>
                <w:sz w:val="19"/>
                <w:szCs w:val="19"/>
              </w:rPr>
            </w:pPr>
            <w:bookmarkStart w:id="11" w:name="_Hlk201567011"/>
            <w:r w:rsidRPr="00BA55F5">
              <w:rPr>
                <w:sz w:val="19"/>
                <w:szCs w:val="19"/>
                <w:lang w:eastAsia="ja-JP"/>
              </w:rPr>
              <w:t xml:space="preserve">Principles relating to decisions about arrangements and grants </w:t>
            </w:r>
            <w:bookmarkEnd w:id="11"/>
            <w:r w:rsidRPr="00BA55F5">
              <w:rPr>
                <w:sz w:val="19"/>
                <w:szCs w:val="19"/>
                <w:lang w:eastAsia="ja-JP"/>
              </w:rPr>
              <w:t>(s 6(3))</w:t>
            </w:r>
          </w:p>
        </w:tc>
        <w:tc>
          <w:tcPr>
            <w:tcW w:w="5630" w:type="dxa"/>
          </w:tcPr>
          <w:p w14:paraId="3CC98E81" w14:textId="77777777" w:rsidR="00D10F31" w:rsidRPr="00BA55F5" w:rsidRDefault="00D10F31" w:rsidP="00001DDB">
            <w:pPr>
              <w:pStyle w:val="TableHeading"/>
              <w:rPr>
                <w:sz w:val="19"/>
                <w:szCs w:val="19"/>
              </w:rPr>
            </w:pPr>
            <w:r w:rsidRPr="00BA55F5">
              <w:rPr>
                <w:sz w:val="19"/>
                <w:szCs w:val="19"/>
              </w:rPr>
              <w:t>How the proposed arrangement(s) and/or grant(s) meets the funding principle</w:t>
            </w:r>
          </w:p>
        </w:tc>
      </w:tr>
      <w:tr w:rsidR="00FA70F1" w:rsidRPr="00BA55F5" w14:paraId="63A9D252" w14:textId="77777777" w:rsidTr="001667C9">
        <w:tc>
          <w:tcPr>
            <w:tcW w:w="649" w:type="dxa"/>
          </w:tcPr>
          <w:p w14:paraId="35DD0969" w14:textId="77777777" w:rsidR="00FA70F1" w:rsidRPr="00BA55F5" w:rsidRDefault="00FA70F1" w:rsidP="00001DDB">
            <w:pPr>
              <w:pStyle w:val="TableText"/>
              <w:rPr>
                <w:rFonts w:cstheme="minorHAnsi"/>
                <w:sz w:val="19"/>
                <w:szCs w:val="19"/>
              </w:rPr>
            </w:pPr>
            <w:r w:rsidRPr="00BA55F5">
              <w:rPr>
                <w:sz w:val="19"/>
                <w:szCs w:val="19"/>
              </w:rPr>
              <w:t>(a)</w:t>
            </w:r>
          </w:p>
        </w:tc>
        <w:tc>
          <w:tcPr>
            <w:tcW w:w="3457" w:type="dxa"/>
          </w:tcPr>
          <w:p w14:paraId="28C22763" w14:textId="4167D363" w:rsidR="00480ACF" w:rsidRPr="00BA55F5" w:rsidRDefault="00FA70F1" w:rsidP="00001DDB">
            <w:pPr>
              <w:pStyle w:val="TableText"/>
              <w:rPr>
                <w:sz w:val="19"/>
                <w:szCs w:val="19"/>
              </w:rPr>
            </w:pPr>
            <w:r w:rsidRPr="00BA55F5">
              <w:rPr>
                <w:sz w:val="19"/>
                <w:szCs w:val="19"/>
              </w:rPr>
              <w:t>be consistent with the vision, aim and strategic objectives (to build economic, environmental and social resilience) outlined in this Plan</w:t>
            </w:r>
            <w:r w:rsidR="000820B9" w:rsidRPr="00BA55F5">
              <w:rPr>
                <w:sz w:val="19"/>
                <w:szCs w:val="19"/>
                <w:vertAlign w:val="superscript"/>
              </w:rPr>
              <w:t>a</w:t>
            </w:r>
            <w:r w:rsidR="0002529A" w:rsidRPr="00BA55F5">
              <w:rPr>
                <w:sz w:val="19"/>
                <w:szCs w:val="19"/>
              </w:rPr>
              <w:t>.</w:t>
            </w:r>
          </w:p>
          <w:p w14:paraId="7BBECAF2" w14:textId="5073AC34" w:rsidR="00FA70F1" w:rsidRPr="00BA55F5" w:rsidRDefault="000820B9" w:rsidP="00001DDB">
            <w:pPr>
              <w:pStyle w:val="TableText"/>
              <w:rPr>
                <w:sz w:val="19"/>
                <w:szCs w:val="19"/>
              </w:rPr>
            </w:pPr>
            <w:r w:rsidRPr="00BA55F5">
              <w:rPr>
                <w:b/>
                <w:bCs/>
                <w:sz w:val="19"/>
                <w:szCs w:val="19"/>
              </w:rPr>
              <w:t>a</w:t>
            </w:r>
            <w:r w:rsidRPr="00BA55F5">
              <w:rPr>
                <w:sz w:val="19"/>
                <w:szCs w:val="19"/>
              </w:rPr>
              <w:t xml:space="preserve">. </w:t>
            </w:r>
            <w:r w:rsidR="001667C9" w:rsidRPr="00BA55F5">
              <w:rPr>
                <w:sz w:val="19"/>
                <w:szCs w:val="19"/>
              </w:rPr>
              <w:t xml:space="preserve">The vision, aim and strategic objectives are outlined in </w:t>
            </w:r>
            <w:r w:rsidR="00480ACF" w:rsidRPr="00BA55F5">
              <w:rPr>
                <w:sz w:val="19"/>
                <w:szCs w:val="19"/>
              </w:rPr>
              <w:t>s 3, 4 and 5</w:t>
            </w:r>
            <w:r w:rsidR="00480ACF" w:rsidRPr="00BA55F5">
              <w:rPr>
                <w:rStyle w:val="CommentReference"/>
                <w:sz w:val="19"/>
                <w:szCs w:val="19"/>
              </w:rPr>
              <w:t xml:space="preserve"> </w:t>
            </w:r>
            <w:r w:rsidR="00480ACF" w:rsidRPr="00BA55F5">
              <w:rPr>
                <w:sz w:val="19"/>
                <w:szCs w:val="19"/>
              </w:rPr>
              <w:t xml:space="preserve">of the </w:t>
            </w:r>
            <w:hyperlink r:id="rId17" w:history="1">
              <w:r w:rsidR="00480ACF" w:rsidRPr="00BA55F5">
                <w:rPr>
                  <w:rStyle w:val="Hyperlink"/>
                  <w:rFonts w:cstheme="minorHAnsi"/>
                  <w:sz w:val="19"/>
                  <w:szCs w:val="19"/>
                </w:rPr>
                <w:t>Funding Plan (2024-2028)</w:t>
              </w:r>
            </w:hyperlink>
          </w:p>
        </w:tc>
        <w:tc>
          <w:tcPr>
            <w:tcW w:w="5630" w:type="dxa"/>
          </w:tcPr>
          <w:p w14:paraId="617CA2E5" w14:textId="4550C8BF" w:rsidR="00FA70F1" w:rsidRPr="00BA55F5" w:rsidRDefault="00FA70F1" w:rsidP="00001DDB">
            <w:pPr>
              <w:pStyle w:val="TableText"/>
              <w:rPr>
                <w:sz w:val="19"/>
                <w:szCs w:val="19"/>
              </w:rPr>
            </w:pPr>
            <w:r w:rsidRPr="00BA55F5">
              <w:rPr>
                <w:sz w:val="19"/>
                <w:szCs w:val="19"/>
              </w:rPr>
              <w:t xml:space="preserve">In </w:t>
            </w:r>
            <w:r w:rsidR="00E66FB6" w:rsidRPr="00BA55F5">
              <w:rPr>
                <w:sz w:val="19"/>
                <w:szCs w:val="19"/>
              </w:rPr>
              <w:t>relation to</w:t>
            </w:r>
            <w:r w:rsidRPr="00BA55F5">
              <w:rPr>
                <w:sz w:val="19"/>
                <w:szCs w:val="19"/>
              </w:rPr>
              <w:t xml:space="preserve"> drought, including the impacts of climate change,</w:t>
            </w:r>
            <w:r w:rsidR="00480ACF" w:rsidRPr="00BA55F5">
              <w:rPr>
                <w:sz w:val="19"/>
                <w:szCs w:val="19"/>
              </w:rPr>
              <w:t xml:space="preserve"> consider</w:t>
            </w:r>
            <w:r w:rsidRPr="00BA55F5">
              <w:rPr>
                <w:sz w:val="19"/>
                <w:szCs w:val="19"/>
              </w:rPr>
              <w:t xml:space="preserve"> how the proposed arrangement(s) and/or grant(s), will build resilience. </w:t>
            </w:r>
            <w:r w:rsidR="004C110E" w:rsidRPr="00BA55F5">
              <w:rPr>
                <w:sz w:val="19"/>
                <w:szCs w:val="19"/>
              </w:rPr>
              <w:t>Suggested</w:t>
            </w:r>
            <w:r w:rsidRPr="00BA55F5">
              <w:rPr>
                <w:sz w:val="19"/>
                <w:szCs w:val="19"/>
              </w:rPr>
              <w:t xml:space="preserve"> consider</w:t>
            </w:r>
            <w:r w:rsidR="004C110E" w:rsidRPr="00BA55F5">
              <w:rPr>
                <w:sz w:val="19"/>
                <w:szCs w:val="19"/>
              </w:rPr>
              <w:t>ations:</w:t>
            </w:r>
            <w:r w:rsidRPr="00BA55F5">
              <w:rPr>
                <w:sz w:val="19"/>
                <w:szCs w:val="19"/>
              </w:rPr>
              <w:t xml:space="preserve"> </w:t>
            </w:r>
          </w:p>
          <w:p w14:paraId="05820423" w14:textId="77777777" w:rsidR="00FA70F1" w:rsidRPr="00BA55F5" w:rsidRDefault="00FA70F1" w:rsidP="00001DDB">
            <w:pPr>
              <w:pStyle w:val="TableBullet1"/>
              <w:rPr>
                <w:sz w:val="19"/>
                <w:szCs w:val="19"/>
              </w:rPr>
            </w:pPr>
            <w:r w:rsidRPr="00BA55F5">
              <w:rPr>
                <w:sz w:val="19"/>
                <w:szCs w:val="19"/>
              </w:rPr>
              <w:t>How will the arrangement/grant grow the productivity and self-reliance of the agricultural sector?</w:t>
            </w:r>
          </w:p>
          <w:p w14:paraId="67E55721" w14:textId="77777777" w:rsidR="00FA70F1" w:rsidRPr="00BA55F5" w:rsidRDefault="00FA70F1" w:rsidP="00001DDB">
            <w:pPr>
              <w:pStyle w:val="TableBullet1"/>
              <w:rPr>
                <w:sz w:val="19"/>
                <w:szCs w:val="19"/>
              </w:rPr>
            </w:pPr>
            <w:r w:rsidRPr="00BA55F5">
              <w:rPr>
                <w:sz w:val="19"/>
                <w:szCs w:val="19"/>
              </w:rPr>
              <w:t>How will the arrangement/grant improve the function of agricultural landscapes through effective management of the natural resource base?</w:t>
            </w:r>
          </w:p>
          <w:p w14:paraId="644C7177" w14:textId="77777777" w:rsidR="00FA70F1" w:rsidRPr="00BA55F5" w:rsidRDefault="00FA70F1" w:rsidP="00001DDB">
            <w:pPr>
              <w:pStyle w:val="TableBullet1"/>
              <w:rPr>
                <w:sz w:val="19"/>
                <w:szCs w:val="19"/>
              </w:rPr>
            </w:pPr>
            <w:r w:rsidRPr="00BA55F5">
              <w:rPr>
                <w:sz w:val="19"/>
                <w:szCs w:val="19"/>
              </w:rPr>
              <w:t>How will the arrangement/grant strengthen the social capital, wellbeing and connectedness of rural, regional and remote agricultural communities? For example, does it include project groups that meet regularly?</w:t>
            </w:r>
          </w:p>
        </w:tc>
      </w:tr>
      <w:tr w:rsidR="00FA70F1" w:rsidRPr="00BA55F5" w14:paraId="576135CD" w14:textId="77777777" w:rsidTr="001667C9">
        <w:tc>
          <w:tcPr>
            <w:tcW w:w="649" w:type="dxa"/>
          </w:tcPr>
          <w:p w14:paraId="04F689CE" w14:textId="77777777" w:rsidR="00FA70F1" w:rsidRPr="00BA55F5" w:rsidRDefault="00FA70F1" w:rsidP="00001DDB">
            <w:pPr>
              <w:pStyle w:val="TableText"/>
              <w:rPr>
                <w:sz w:val="19"/>
                <w:szCs w:val="19"/>
              </w:rPr>
            </w:pPr>
            <w:r w:rsidRPr="00BA55F5">
              <w:rPr>
                <w:sz w:val="19"/>
                <w:szCs w:val="19"/>
              </w:rPr>
              <w:t>(b)</w:t>
            </w:r>
          </w:p>
        </w:tc>
        <w:tc>
          <w:tcPr>
            <w:tcW w:w="3457" w:type="dxa"/>
          </w:tcPr>
          <w:p w14:paraId="01115A8A" w14:textId="77777777" w:rsidR="00FA70F1" w:rsidRPr="00BA55F5" w:rsidRDefault="00FA70F1" w:rsidP="00001DDB">
            <w:pPr>
              <w:pStyle w:val="TableText"/>
              <w:rPr>
                <w:sz w:val="19"/>
                <w:szCs w:val="19"/>
              </w:rPr>
            </w:pPr>
            <w:r w:rsidRPr="00BA55F5">
              <w:rPr>
                <w:sz w:val="19"/>
                <w:szCs w:val="19"/>
              </w:rPr>
              <w:t>ensure activities deliver a public good</w:t>
            </w:r>
          </w:p>
        </w:tc>
        <w:tc>
          <w:tcPr>
            <w:tcW w:w="5630" w:type="dxa"/>
          </w:tcPr>
          <w:p w14:paraId="11CB042D" w14:textId="2890A069" w:rsidR="00FA70F1" w:rsidRPr="00BA55F5" w:rsidRDefault="004C110E" w:rsidP="00001DDB">
            <w:pPr>
              <w:pStyle w:val="TableText"/>
              <w:rPr>
                <w:sz w:val="19"/>
                <w:szCs w:val="19"/>
              </w:rPr>
            </w:pPr>
            <w:r w:rsidRPr="00BA55F5">
              <w:rPr>
                <w:sz w:val="19"/>
                <w:szCs w:val="19"/>
              </w:rPr>
              <w:t xml:space="preserve">Consider </w:t>
            </w:r>
            <w:r w:rsidR="00FA70F1" w:rsidRPr="00BA55F5">
              <w:rPr>
                <w:sz w:val="19"/>
                <w:szCs w:val="19"/>
              </w:rPr>
              <w:t xml:space="preserve">how the proposed arrangement(s) and/or grant(s), will support benefits that can be accessed or shared by many. </w:t>
            </w:r>
            <w:r w:rsidRPr="00BA55F5">
              <w:rPr>
                <w:sz w:val="19"/>
                <w:szCs w:val="19"/>
              </w:rPr>
              <w:t>C</w:t>
            </w:r>
            <w:r w:rsidR="00FA70F1" w:rsidRPr="00BA55F5">
              <w:rPr>
                <w:sz w:val="19"/>
                <w:szCs w:val="19"/>
              </w:rPr>
              <w:t>onsiderations include:</w:t>
            </w:r>
          </w:p>
          <w:p w14:paraId="346BF3FD" w14:textId="77777777" w:rsidR="00FA70F1" w:rsidRPr="00BA55F5" w:rsidRDefault="00FA70F1" w:rsidP="004E4DF5">
            <w:pPr>
              <w:pStyle w:val="ListParagraph"/>
              <w:numPr>
                <w:ilvl w:val="0"/>
                <w:numId w:val="16"/>
              </w:numPr>
              <w:spacing w:before="100" w:after="100"/>
              <w:rPr>
                <w:rFonts w:asciiTheme="minorHAnsi" w:hAnsiTheme="minorHAnsi" w:cstheme="minorHAnsi"/>
                <w:color w:val="000000" w:themeColor="text1"/>
                <w:sz w:val="19"/>
                <w:szCs w:val="19"/>
              </w:rPr>
            </w:pPr>
            <w:r w:rsidRPr="00BA55F5">
              <w:rPr>
                <w:rFonts w:asciiTheme="minorHAnsi" w:hAnsiTheme="minorHAnsi" w:cstheme="minorHAnsi"/>
                <w:color w:val="000000" w:themeColor="text1"/>
                <w:sz w:val="19"/>
                <w:szCs w:val="19"/>
              </w:rPr>
              <w:t>What kind of change is intended to be achieved?</w:t>
            </w:r>
          </w:p>
          <w:p w14:paraId="2C7BF462" w14:textId="77777777" w:rsidR="00FA70F1" w:rsidRPr="00BA55F5" w:rsidRDefault="00FA70F1" w:rsidP="004E4DF5">
            <w:pPr>
              <w:pStyle w:val="ListParagraph"/>
              <w:numPr>
                <w:ilvl w:val="0"/>
                <w:numId w:val="16"/>
              </w:numPr>
              <w:spacing w:before="100" w:after="100"/>
              <w:rPr>
                <w:rFonts w:asciiTheme="minorHAnsi" w:hAnsiTheme="minorHAnsi" w:cstheme="minorHAnsi"/>
                <w:color w:val="000000" w:themeColor="text1"/>
                <w:sz w:val="19"/>
                <w:szCs w:val="19"/>
              </w:rPr>
            </w:pPr>
            <w:r w:rsidRPr="00BA55F5">
              <w:rPr>
                <w:rFonts w:asciiTheme="minorHAnsi" w:hAnsiTheme="minorHAnsi" w:cstheme="minorHAnsi"/>
                <w:color w:val="000000" w:themeColor="text1"/>
                <w:sz w:val="19"/>
                <w:szCs w:val="19"/>
              </w:rPr>
              <w:t>Are there significant ‘spill over benefits’ to the broader region or industry by the proposed activity?</w:t>
            </w:r>
          </w:p>
          <w:p w14:paraId="2A5B3007" w14:textId="77777777" w:rsidR="00FA70F1" w:rsidRPr="00BA55F5" w:rsidRDefault="00FA70F1" w:rsidP="004E4DF5">
            <w:pPr>
              <w:pStyle w:val="ListParagraph"/>
              <w:numPr>
                <w:ilvl w:val="0"/>
                <w:numId w:val="16"/>
              </w:numPr>
              <w:spacing w:before="100" w:after="100"/>
              <w:rPr>
                <w:rFonts w:asciiTheme="minorHAnsi" w:hAnsiTheme="minorHAnsi" w:cstheme="minorHAnsi"/>
                <w:color w:val="000000" w:themeColor="text1"/>
                <w:sz w:val="19"/>
                <w:szCs w:val="19"/>
              </w:rPr>
            </w:pPr>
            <w:r w:rsidRPr="00BA55F5">
              <w:rPr>
                <w:rFonts w:asciiTheme="minorHAnsi" w:hAnsiTheme="minorHAnsi" w:cstheme="minorHAnsi"/>
                <w:color w:val="000000" w:themeColor="text1"/>
                <w:sz w:val="19"/>
                <w:szCs w:val="19"/>
              </w:rPr>
              <w:t>Will the information learnt be shared to others? If so, how? For example, on the internet or at conferences.</w:t>
            </w:r>
          </w:p>
          <w:p w14:paraId="074E4544" w14:textId="77777777" w:rsidR="00FA70F1" w:rsidRPr="00BA55F5" w:rsidRDefault="00FA70F1" w:rsidP="004E4DF5">
            <w:pPr>
              <w:pStyle w:val="ListParagraph"/>
              <w:numPr>
                <w:ilvl w:val="0"/>
                <w:numId w:val="16"/>
              </w:numPr>
              <w:spacing w:before="100" w:after="100"/>
              <w:rPr>
                <w:rFonts w:asciiTheme="minorHAnsi" w:hAnsiTheme="minorHAnsi" w:cstheme="minorHAnsi"/>
                <w:color w:val="000000" w:themeColor="text1"/>
                <w:sz w:val="19"/>
                <w:szCs w:val="19"/>
              </w:rPr>
            </w:pPr>
            <w:r w:rsidRPr="00BA55F5">
              <w:rPr>
                <w:rFonts w:asciiTheme="minorHAnsi" w:hAnsiTheme="minorHAnsi" w:cstheme="minorHAnsi"/>
                <w:color w:val="000000" w:themeColor="text1"/>
                <w:sz w:val="19"/>
                <w:szCs w:val="19"/>
              </w:rPr>
              <w:t>How will the arrangement/grant achieve value for money? Will the benefits achievable from the funding outweigh the costs?</w:t>
            </w:r>
          </w:p>
          <w:p w14:paraId="60C3ECD3" w14:textId="77777777" w:rsidR="00FA70F1" w:rsidRPr="00BA55F5" w:rsidRDefault="00FA70F1" w:rsidP="004E4DF5">
            <w:pPr>
              <w:pStyle w:val="ListParagraph"/>
              <w:numPr>
                <w:ilvl w:val="0"/>
                <w:numId w:val="16"/>
              </w:numPr>
              <w:spacing w:before="100" w:after="100"/>
              <w:rPr>
                <w:rFonts w:asciiTheme="minorHAnsi" w:hAnsiTheme="minorHAnsi" w:cstheme="minorHAnsi"/>
                <w:color w:val="000000" w:themeColor="text1"/>
                <w:sz w:val="19"/>
                <w:szCs w:val="19"/>
              </w:rPr>
            </w:pPr>
            <w:r w:rsidRPr="00BA55F5">
              <w:rPr>
                <w:rFonts w:asciiTheme="minorHAnsi" w:hAnsiTheme="minorHAnsi" w:cstheme="minorHAnsi"/>
                <w:color w:val="000000" w:themeColor="text1"/>
                <w:sz w:val="19"/>
                <w:szCs w:val="19"/>
              </w:rPr>
              <w:t>How will the arrangement/grant maximise the impact of activities across Australia?</w:t>
            </w:r>
          </w:p>
        </w:tc>
      </w:tr>
      <w:tr w:rsidR="00FA70F1" w:rsidRPr="00BA55F5" w14:paraId="6733BC9F" w14:textId="77777777" w:rsidTr="001667C9">
        <w:tc>
          <w:tcPr>
            <w:tcW w:w="649" w:type="dxa"/>
          </w:tcPr>
          <w:p w14:paraId="4759E538" w14:textId="77777777" w:rsidR="00FA70F1" w:rsidRPr="00BA55F5" w:rsidRDefault="00FA70F1" w:rsidP="00001DDB">
            <w:pPr>
              <w:pStyle w:val="TableText"/>
              <w:rPr>
                <w:sz w:val="19"/>
                <w:szCs w:val="19"/>
              </w:rPr>
            </w:pPr>
            <w:r w:rsidRPr="00BA55F5">
              <w:rPr>
                <w:sz w:val="19"/>
                <w:szCs w:val="19"/>
              </w:rPr>
              <w:lastRenderedPageBreak/>
              <w:t>(c)</w:t>
            </w:r>
          </w:p>
        </w:tc>
        <w:tc>
          <w:tcPr>
            <w:tcW w:w="3457" w:type="dxa"/>
          </w:tcPr>
          <w:p w14:paraId="5EBB76D3" w14:textId="77777777" w:rsidR="00FA70F1" w:rsidRPr="00BA55F5" w:rsidRDefault="00FA70F1" w:rsidP="00001DDB">
            <w:pPr>
              <w:pStyle w:val="TableText"/>
              <w:rPr>
                <w:sz w:val="19"/>
                <w:szCs w:val="19"/>
              </w:rPr>
            </w:pPr>
            <w:r w:rsidRPr="00BA55F5">
              <w:rPr>
                <w:sz w:val="19"/>
                <w:szCs w:val="19"/>
              </w:rPr>
              <w:t>not provide in-drought assistance to directly address hardship</w:t>
            </w:r>
          </w:p>
        </w:tc>
        <w:tc>
          <w:tcPr>
            <w:tcW w:w="5630" w:type="dxa"/>
          </w:tcPr>
          <w:p w14:paraId="2553E22C" w14:textId="1809D307" w:rsidR="00B0326A" w:rsidRPr="00BA55F5" w:rsidRDefault="004C110E" w:rsidP="00001DDB">
            <w:pPr>
              <w:pStyle w:val="TableText"/>
              <w:rPr>
                <w:sz w:val="19"/>
                <w:szCs w:val="19"/>
              </w:rPr>
            </w:pPr>
            <w:r w:rsidRPr="00BA55F5">
              <w:rPr>
                <w:sz w:val="19"/>
                <w:szCs w:val="19"/>
              </w:rPr>
              <w:t xml:space="preserve">Consider </w:t>
            </w:r>
            <w:r w:rsidR="00FA70F1" w:rsidRPr="00BA55F5">
              <w:rPr>
                <w:sz w:val="19"/>
                <w:szCs w:val="19"/>
              </w:rPr>
              <w:t>how the proposed arrangement(s) and/or grant(s), focuses on drought preparedness and resilience as opposed to in-drought hardship assistance</w:t>
            </w:r>
            <w:r w:rsidR="00ED3586" w:rsidRPr="00BA55F5">
              <w:rPr>
                <w:sz w:val="19"/>
                <w:szCs w:val="19"/>
              </w:rPr>
              <w:t>.</w:t>
            </w:r>
          </w:p>
          <w:p w14:paraId="61364D03" w14:textId="0528ED81" w:rsidR="00E64377" w:rsidRPr="00BA55F5" w:rsidRDefault="00E64377" w:rsidP="00001DDB">
            <w:pPr>
              <w:pStyle w:val="TableText"/>
              <w:rPr>
                <w:sz w:val="19"/>
                <w:szCs w:val="19"/>
              </w:rPr>
            </w:pPr>
            <w:r w:rsidRPr="00BA55F5">
              <w:rPr>
                <w:sz w:val="19"/>
                <w:szCs w:val="19"/>
              </w:rPr>
              <w:t>Some e</w:t>
            </w:r>
            <w:r w:rsidR="00420807" w:rsidRPr="00BA55F5">
              <w:rPr>
                <w:sz w:val="19"/>
                <w:szCs w:val="19"/>
              </w:rPr>
              <w:t>xamples</w:t>
            </w:r>
            <w:r w:rsidR="00ED3586" w:rsidRPr="00BA55F5">
              <w:rPr>
                <w:sz w:val="19"/>
                <w:szCs w:val="19"/>
              </w:rPr>
              <w:t xml:space="preserve"> of in-drought assistance to directly address hardship</w:t>
            </w:r>
            <w:r w:rsidR="00420807" w:rsidRPr="00BA55F5">
              <w:rPr>
                <w:sz w:val="19"/>
                <w:szCs w:val="19"/>
              </w:rPr>
              <w:t xml:space="preserve"> include</w:t>
            </w:r>
            <w:r w:rsidRPr="00BA55F5">
              <w:rPr>
                <w:sz w:val="19"/>
                <w:szCs w:val="19"/>
              </w:rPr>
              <w:t>:</w:t>
            </w:r>
          </w:p>
          <w:p w14:paraId="215E6275" w14:textId="2976AA05" w:rsidR="00E64377" w:rsidRPr="00BA55F5" w:rsidRDefault="00B0326A" w:rsidP="00001DDB">
            <w:pPr>
              <w:pStyle w:val="TableBullet1"/>
              <w:rPr>
                <w:sz w:val="19"/>
                <w:szCs w:val="19"/>
              </w:rPr>
            </w:pPr>
            <w:r w:rsidRPr="00BA55F5">
              <w:rPr>
                <w:sz w:val="19"/>
                <w:szCs w:val="19"/>
              </w:rPr>
              <w:t>payments to alleviate existing financial hardship</w:t>
            </w:r>
          </w:p>
          <w:p w14:paraId="58CA628E" w14:textId="0F2D62CC" w:rsidR="00FA70F1" w:rsidRPr="00BA55F5" w:rsidRDefault="00B0326A" w:rsidP="00001DDB">
            <w:pPr>
              <w:pStyle w:val="TableBullet1"/>
              <w:rPr>
                <w:b/>
                <w:bCs/>
                <w:sz w:val="19"/>
                <w:szCs w:val="19"/>
              </w:rPr>
            </w:pPr>
            <w:r w:rsidRPr="00BA55F5">
              <w:rPr>
                <w:sz w:val="19"/>
                <w:szCs w:val="19"/>
              </w:rPr>
              <w:t xml:space="preserve">delivery of water to </w:t>
            </w:r>
            <w:r w:rsidR="00E64377" w:rsidRPr="00BA55F5">
              <w:rPr>
                <w:sz w:val="19"/>
                <w:szCs w:val="19"/>
              </w:rPr>
              <w:t>individuals</w:t>
            </w:r>
            <w:r w:rsidRPr="00BA55F5">
              <w:rPr>
                <w:sz w:val="19"/>
                <w:szCs w:val="19"/>
              </w:rPr>
              <w:t xml:space="preserve"> or communit</w:t>
            </w:r>
            <w:r w:rsidR="00E64377" w:rsidRPr="00BA55F5">
              <w:rPr>
                <w:sz w:val="19"/>
                <w:szCs w:val="19"/>
              </w:rPr>
              <w:t>ies</w:t>
            </w:r>
            <w:r w:rsidRPr="00BA55F5">
              <w:rPr>
                <w:sz w:val="19"/>
                <w:szCs w:val="19"/>
              </w:rPr>
              <w:t xml:space="preserve"> to alleviate hardship associated with having insufficient water for amenities.</w:t>
            </w:r>
          </w:p>
        </w:tc>
      </w:tr>
      <w:tr w:rsidR="00FA70F1" w:rsidRPr="00BA55F5" w14:paraId="7D5EB36A" w14:textId="77777777" w:rsidTr="001667C9">
        <w:tc>
          <w:tcPr>
            <w:tcW w:w="649" w:type="dxa"/>
          </w:tcPr>
          <w:p w14:paraId="46D81433" w14:textId="77777777" w:rsidR="00FA70F1" w:rsidRPr="00BA55F5" w:rsidRDefault="00FA70F1" w:rsidP="00001DDB">
            <w:pPr>
              <w:pStyle w:val="TableText"/>
              <w:rPr>
                <w:sz w:val="19"/>
                <w:szCs w:val="19"/>
              </w:rPr>
            </w:pPr>
            <w:r w:rsidRPr="00BA55F5">
              <w:rPr>
                <w:sz w:val="19"/>
                <w:szCs w:val="19"/>
              </w:rPr>
              <w:t>(d)</w:t>
            </w:r>
          </w:p>
        </w:tc>
        <w:tc>
          <w:tcPr>
            <w:tcW w:w="3457" w:type="dxa"/>
          </w:tcPr>
          <w:p w14:paraId="6A8BCCB4" w14:textId="77777777" w:rsidR="00FA70F1" w:rsidRPr="00BA55F5" w:rsidRDefault="00FA70F1" w:rsidP="00001DDB">
            <w:pPr>
              <w:pStyle w:val="TableText"/>
              <w:rPr>
                <w:sz w:val="19"/>
                <w:szCs w:val="19"/>
              </w:rPr>
            </w:pPr>
            <w:r w:rsidRPr="00BA55F5">
              <w:rPr>
                <w:sz w:val="19"/>
                <w:szCs w:val="19"/>
              </w:rPr>
              <w:t>actively encourage participation of a diverse range of people, businesses and landscapes involved in the agricultural sector and rural, regional and remote communities, including First Nations people</w:t>
            </w:r>
          </w:p>
        </w:tc>
        <w:tc>
          <w:tcPr>
            <w:tcW w:w="5630" w:type="dxa"/>
          </w:tcPr>
          <w:p w14:paraId="10390FFA" w14:textId="23A69428" w:rsidR="00FA70F1" w:rsidRPr="00BA55F5" w:rsidRDefault="00FA70F1" w:rsidP="00001DDB">
            <w:pPr>
              <w:pStyle w:val="TableText"/>
              <w:rPr>
                <w:sz w:val="19"/>
                <w:szCs w:val="19"/>
              </w:rPr>
            </w:pPr>
            <w:r w:rsidRPr="00BA55F5">
              <w:rPr>
                <w:sz w:val="19"/>
                <w:szCs w:val="19"/>
              </w:rPr>
              <w:t>Consider who the proposed arrangement(s) and/or grant(s), is targeted at and how it will engage a diverse range of participants.</w:t>
            </w:r>
          </w:p>
          <w:p w14:paraId="7826A396" w14:textId="488E8D62" w:rsidR="00FA70F1" w:rsidRPr="00BA55F5" w:rsidRDefault="00FA70F1" w:rsidP="00001DDB">
            <w:pPr>
              <w:pStyle w:val="TableText"/>
              <w:rPr>
                <w:sz w:val="19"/>
                <w:szCs w:val="19"/>
              </w:rPr>
            </w:pPr>
            <w:r w:rsidRPr="00BA55F5">
              <w:rPr>
                <w:sz w:val="19"/>
                <w:szCs w:val="19"/>
              </w:rPr>
              <w:t xml:space="preserve">Where relevant, </w:t>
            </w:r>
            <w:r w:rsidR="004C110E" w:rsidRPr="00BA55F5">
              <w:rPr>
                <w:sz w:val="19"/>
                <w:szCs w:val="19"/>
              </w:rPr>
              <w:t xml:space="preserve">consider </w:t>
            </w:r>
            <w:r w:rsidRPr="00BA55F5">
              <w:rPr>
                <w:sz w:val="19"/>
                <w:szCs w:val="19"/>
              </w:rPr>
              <w:t>how the arrangement/grant will engage with First Nations stakeholders and how this engagement aligns with priorities in the Closing the Gap National Agreement.</w:t>
            </w:r>
          </w:p>
        </w:tc>
      </w:tr>
      <w:tr w:rsidR="00FA70F1" w:rsidRPr="00BA55F5" w14:paraId="42F58BB9" w14:textId="77777777" w:rsidTr="001667C9">
        <w:tc>
          <w:tcPr>
            <w:tcW w:w="649" w:type="dxa"/>
          </w:tcPr>
          <w:p w14:paraId="3515E883" w14:textId="77777777" w:rsidR="00FA70F1" w:rsidRPr="00BA55F5" w:rsidRDefault="00FA70F1" w:rsidP="00001DDB">
            <w:pPr>
              <w:pStyle w:val="TableText"/>
              <w:rPr>
                <w:sz w:val="19"/>
                <w:szCs w:val="19"/>
              </w:rPr>
            </w:pPr>
            <w:r w:rsidRPr="00BA55F5">
              <w:rPr>
                <w:sz w:val="19"/>
                <w:szCs w:val="19"/>
              </w:rPr>
              <w:t>(e)</w:t>
            </w:r>
          </w:p>
        </w:tc>
        <w:tc>
          <w:tcPr>
            <w:tcW w:w="3457" w:type="dxa"/>
          </w:tcPr>
          <w:p w14:paraId="2485BEEF" w14:textId="77777777" w:rsidR="00FA70F1" w:rsidRPr="00BA55F5" w:rsidRDefault="00FA70F1" w:rsidP="00001DDB">
            <w:pPr>
              <w:pStyle w:val="TableText"/>
              <w:rPr>
                <w:sz w:val="19"/>
                <w:szCs w:val="19"/>
              </w:rPr>
            </w:pPr>
            <w:r w:rsidRPr="00BA55F5">
              <w:rPr>
                <w:sz w:val="19"/>
                <w:szCs w:val="19"/>
              </w:rPr>
              <w:t>foster collaboration to improve integration, coordination, communication, planning and implementation of drought resilience activities, and avoid unnecessary duplication</w:t>
            </w:r>
          </w:p>
        </w:tc>
        <w:tc>
          <w:tcPr>
            <w:tcW w:w="5630" w:type="dxa"/>
          </w:tcPr>
          <w:p w14:paraId="39FAAC65" w14:textId="6DCED8E6" w:rsidR="00FA70F1" w:rsidRPr="00BA55F5" w:rsidRDefault="004C110E" w:rsidP="00001DDB">
            <w:pPr>
              <w:pStyle w:val="TableText"/>
              <w:rPr>
                <w:sz w:val="19"/>
                <w:szCs w:val="19"/>
              </w:rPr>
            </w:pPr>
            <w:r w:rsidRPr="00BA55F5">
              <w:rPr>
                <w:sz w:val="19"/>
                <w:szCs w:val="19"/>
              </w:rPr>
              <w:t xml:space="preserve">Consider </w:t>
            </w:r>
            <w:r w:rsidR="00FA70F1" w:rsidRPr="00BA55F5">
              <w:rPr>
                <w:sz w:val="19"/>
                <w:szCs w:val="19"/>
              </w:rPr>
              <w:t xml:space="preserve">how the proposed arrangement(s) and/or grant(s), will align with and leverage existing policies, programs, user knowledge and networks where possible. Questions to </w:t>
            </w:r>
            <w:r w:rsidRPr="00BA55F5">
              <w:rPr>
                <w:sz w:val="19"/>
                <w:szCs w:val="19"/>
              </w:rPr>
              <w:t>consider</w:t>
            </w:r>
            <w:r w:rsidR="00FA70F1" w:rsidRPr="00BA55F5">
              <w:rPr>
                <w:sz w:val="19"/>
                <w:szCs w:val="19"/>
              </w:rPr>
              <w:t>:</w:t>
            </w:r>
          </w:p>
          <w:p w14:paraId="60B462CD" w14:textId="77777777" w:rsidR="00FA70F1" w:rsidRPr="00BA55F5" w:rsidRDefault="00FA70F1" w:rsidP="00001DDB">
            <w:pPr>
              <w:pStyle w:val="TableBullet1"/>
              <w:rPr>
                <w:sz w:val="19"/>
                <w:szCs w:val="19"/>
              </w:rPr>
            </w:pPr>
            <w:r w:rsidRPr="00BA55F5">
              <w:rPr>
                <w:sz w:val="19"/>
                <w:szCs w:val="19"/>
              </w:rPr>
              <w:t>How will the arrangement/grant foster collaboration? For instance, will it be co-designed?</w:t>
            </w:r>
          </w:p>
          <w:p w14:paraId="033F3096" w14:textId="77777777" w:rsidR="00FA70F1" w:rsidRPr="00BA55F5" w:rsidRDefault="00FA70F1" w:rsidP="00001DDB">
            <w:pPr>
              <w:pStyle w:val="TableBullet1"/>
              <w:rPr>
                <w:sz w:val="19"/>
                <w:szCs w:val="19"/>
              </w:rPr>
            </w:pPr>
            <w:r w:rsidRPr="00BA55F5">
              <w:rPr>
                <w:sz w:val="19"/>
                <w:szCs w:val="19"/>
              </w:rPr>
              <w:t>How will the arrangement/grant avoid unnecessary duplication?</w:t>
            </w:r>
          </w:p>
          <w:p w14:paraId="2A37A35D" w14:textId="3363EF75" w:rsidR="00FA70F1" w:rsidRPr="00BA55F5" w:rsidRDefault="00FA70F1" w:rsidP="00001DDB">
            <w:pPr>
              <w:pStyle w:val="TableBullet1"/>
              <w:rPr>
                <w:sz w:val="19"/>
                <w:szCs w:val="19"/>
              </w:rPr>
            </w:pPr>
            <w:r w:rsidRPr="00BA55F5">
              <w:rPr>
                <w:sz w:val="19"/>
                <w:szCs w:val="19"/>
              </w:rPr>
              <w:t>Does the arrangement/grant present a perceived or actual duplication? If so, how will duplication be avoided while supporting complementary investment?</w:t>
            </w:r>
          </w:p>
          <w:p w14:paraId="3382FB75" w14:textId="69F53E80" w:rsidR="00FA70F1" w:rsidRPr="00BA55F5" w:rsidRDefault="00206190" w:rsidP="00001DDB">
            <w:pPr>
              <w:pStyle w:val="TableText"/>
              <w:rPr>
                <w:sz w:val="19"/>
                <w:szCs w:val="19"/>
              </w:rPr>
            </w:pPr>
            <w:r w:rsidRPr="00BA55F5">
              <w:rPr>
                <w:sz w:val="19"/>
                <w:szCs w:val="19"/>
              </w:rPr>
              <w:t xml:space="preserve">Example of </w:t>
            </w:r>
            <w:r w:rsidR="00FA70F1" w:rsidRPr="00BA55F5">
              <w:rPr>
                <w:sz w:val="19"/>
                <w:szCs w:val="19"/>
              </w:rPr>
              <w:t xml:space="preserve">government initiatives and strategies that may present a perceived duplication include the National Soil Action Plan 2023 to 2028, National Heritage Trust, Disaster Ready Fund, and state and territory government programs. </w:t>
            </w:r>
          </w:p>
        </w:tc>
      </w:tr>
      <w:tr w:rsidR="00FA70F1" w:rsidRPr="00BA55F5" w14:paraId="77F34A45" w14:textId="77777777" w:rsidTr="001667C9">
        <w:tc>
          <w:tcPr>
            <w:tcW w:w="649" w:type="dxa"/>
          </w:tcPr>
          <w:p w14:paraId="60FE1857" w14:textId="77777777" w:rsidR="00FA70F1" w:rsidRPr="00BA55F5" w:rsidRDefault="00FA70F1" w:rsidP="00001DDB">
            <w:pPr>
              <w:pStyle w:val="TableText"/>
              <w:rPr>
                <w:sz w:val="19"/>
                <w:szCs w:val="19"/>
              </w:rPr>
            </w:pPr>
            <w:r w:rsidRPr="00BA55F5">
              <w:rPr>
                <w:sz w:val="19"/>
                <w:szCs w:val="19"/>
              </w:rPr>
              <w:t>(f)</w:t>
            </w:r>
          </w:p>
        </w:tc>
        <w:tc>
          <w:tcPr>
            <w:tcW w:w="3457" w:type="dxa"/>
          </w:tcPr>
          <w:p w14:paraId="0EF89D2C" w14:textId="77777777" w:rsidR="00FA70F1" w:rsidRPr="00BA55F5" w:rsidRDefault="00FA70F1" w:rsidP="00001DDB">
            <w:pPr>
              <w:pStyle w:val="TableText"/>
              <w:rPr>
                <w:sz w:val="19"/>
                <w:szCs w:val="19"/>
              </w:rPr>
            </w:pPr>
            <w:r w:rsidRPr="00BA55F5">
              <w:rPr>
                <w:sz w:val="19"/>
                <w:szCs w:val="19"/>
              </w:rPr>
              <w:t>be designed to deliver efficient and effective outcomes for stakeholders</w:t>
            </w:r>
          </w:p>
        </w:tc>
        <w:tc>
          <w:tcPr>
            <w:tcW w:w="5630" w:type="dxa"/>
          </w:tcPr>
          <w:p w14:paraId="72B2531C" w14:textId="006BA379" w:rsidR="00FA70F1" w:rsidRPr="00BA55F5" w:rsidRDefault="00FA70F1" w:rsidP="00001DDB">
            <w:pPr>
              <w:pStyle w:val="TableText"/>
              <w:rPr>
                <w:sz w:val="19"/>
                <w:szCs w:val="19"/>
              </w:rPr>
            </w:pPr>
            <w:r w:rsidRPr="00BA55F5">
              <w:rPr>
                <w:sz w:val="19"/>
                <w:szCs w:val="19"/>
              </w:rPr>
              <w:t>Consider how the proposed arrangement(s) and/or grant(s) deliver</w:t>
            </w:r>
            <w:r w:rsidR="00206190" w:rsidRPr="00BA55F5">
              <w:rPr>
                <w:sz w:val="19"/>
                <w:szCs w:val="19"/>
              </w:rPr>
              <w:t>s</w:t>
            </w:r>
            <w:r w:rsidRPr="00BA55F5">
              <w:rPr>
                <w:sz w:val="19"/>
                <w:szCs w:val="19"/>
              </w:rPr>
              <w:t xml:space="preserve"> efficient and effective outcomes for stakeholders. For instance:</w:t>
            </w:r>
          </w:p>
          <w:p w14:paraId="3E2B46DE" w14:textId="77777777" w:rsidR="00FA70F1" w:rsidRPr="00BA55F5" w:rsidRDefault="00FA70F1" w:rsidP="00001DDB">
            <w:pPr>
              <w:pStyle w:val="TableBullet1"/>
              <w:rPr>
                <w:sz w:val="19"/>
                <w:szCs w:val="19"/>
              </w:rPr>
            </w:pPr>
            <w:r w:rsidRPr="00BA55F5">
              <w:rPr>
                <w:sz w:val="19"/>
                <w:szCs w:val="19"/>
              </w:rPr>
              <w:t>Will it support a place-based approach to building drought resilience?</w:t>
            </w:r>
          </w:p>
          <w:p w14:paraId="1D4A897E" w14:textId="77777777" w:rsidR="00FA70F1" w:rsidRPr="00BA55F5" w:rsidRDefault="00FA70F1" w:rsidP="00001DDB">
            <w:pPr>
              <w:pStyle w:val="TableBullet1"/>
              <w:rPr>
                <w:sz w:val="19"/>
                <w:szCs w:val="19"/>
              </w:rPr>
            </w:pPr>
            <w:r w:rsidRPr="00BA55F5">
              <w:rPr>
                <w:sz w:val="19"/>
                <w:szCs w:val="19"/>
              </w:rPr>
              <w:t>Will it be co-designed?</w:t>
            </w:r>
          </w:p>
          <w:p w14:paraId="4F896E41" w14:textId="77777777" w:rsidR="00FA70F1" w:rsidRPr="00BA55F5" w:rsidRDefault="00FA70F1" w:rsidP="00001DDB">
            <w:pPr>
              <w:pStyle w:val="TableBullet1"/>
              <w:rPr>
                <w:sz w:val="19"/>
                <w:szCs w:val="19"/>
              </w:rPr>
            </w:pPr>
            <w:r w:rsidRPr="00BA55F5">
              <w:rPr>
                <w:sz w:val="19"/>
                <w:szCs w:val="19"/>
              </w:rPr>
              <w:t xml:space="preserve">Are participants able to provide free, prior and informed consent? </w:t>
            </w:r>
          </w:p>
          <w:p w14:paraId="66579864" w14:textId="77777777" w:rsidR="00FA70F1" w:rsidRPr="00BA55F5" w:rsidRDefault="00FA70F1" w:rsidP="00001DDB">
            <w:pPr>
              <w:pStyle w:val="TableBullet1"/>
              <w:rPr>
                <w:sz w:val="19"/>
                <w:szCs w:val="19"/>
              </w:rPr>
            </w:pPr>
            <w:r w:rsidRPr="00BA55F5">
              <w:rPr>
                <w:sz w:val="19"/>
                <w:szCs w:val="19"/>
              </w:rPr>
              <w:t>Will experts with the relevant skills be engaged?</w:t>
            </w:r>
          </w:p>
          <w:p w14:paraId="497E19EE" w14:textId="77777777" w:rsidR="00FA70F1" w:rsidRPr="00BA55F5" w:rsidRDefault="00FA70F1" w:rsidP="00001DDB">
            <w:pPr>
              <w:pStyle w:val="TableBullet1"/>
              <w:rPr>
                <w:sz w:val="19"/>
                <w:szCs w:val="19"/>
              </w:rPr>
            </w:pPr>
            <w:r w:rsidRPr="00BA55F5">
              <w:rPr>
                <w:sz w:val="19"/>
                <w:szCs w:val="19"/>
              </w:rPr>
              <w:t>Have stakeholder views been considered?</w:t>
            </w:r>
          </w:p>
          <w:p w14:paraId="05B5A4FE" w14:textId="77777777" w:rsidR="00FA70F1" w:rsidRPr="00BA55F5" w:rsidRDefault="00FA70F1" w:rsidP="00001DDB">
            <w:pPr>
              <w:pStyle w:val="TableBullet1"/>
              <w:rPr>
                <w:sz w:val="19"/>
                <w:szCs w:val="19"/>
              </w:rPr>
            </w:pPr>
            <w:r w:rsidRPr="00BA55F5">
              <w:rPr>
                <w:sz w:val="19"/>
                <w:szCs w:val="19"/>
              </w:rPr>
              <w:t>Are there any timing considerations?</w:t>
            </w:r>
          </w:p>
          <w:p w14:paraId="24875C79" w14:textId="77777777" w:rsidR="00FA70F1" w:rsidRPr="00BA55F5" w:rsidRDefault="00FA70F1" w:rsidP="00001DDB">
            <w:pPr>
              <w:pStyle w:val="TableBullet1"/>
              <w:rPr>
                <w:sz w:val="19"/>
                <w:szCs w:val="19"/>
              </w:rPr>
            </w:pPr>
            <w:r w:rsidRPr="00BA55F5">
              <w:rPr>
                <w:sz w:val="19"/>
                <w:szCs w:val="19"/>
              </w:rPr>
              <w:t>Will it leverage existing work?</w:t>
            </w:r>
          </w:p>
        </w:tc>
      </w:tr>
      <w:tr w:rsidR="00FA70F1" w:rsidRPr="00BA55F5" w14:paraId="15E72E1E" w14:textId="77777777" w:rsidTr="001667C9">
        <w:tc>
          <w:tcPr>
            <w:tcW w:w="649" w:type="dxa"/>
          </w:tcPr>
          <w:p w14:paraId="4B7541BC" w14:textId="77777777" w:rsidR="00FA70F1" w:rsidRPr="00BA55F5" w:rsidRDefault="00FA70F1" w:rsidP="00001DDB">
            <w:pPr>
              <w:pStyle w:val="TableText"/>
              <w:rPr>
                <w:sz w:val="19"/>
                <w:szCs w:val="19"/>
              </w:rPr>
            </w:pPr>
            <w:r w:rsidRPr="00BA55F5">
              <w:rPr>
                <w:sz w:val="19"/>
                <w:szCs w:val="19"/>
              </w:rPr>
              <w:t>(g)</w:t>
            </w:r>
          </w:p>
        </w:tc>
        <w:tc>
          <w:tcPr>
            <w:tcW w:w="3457" w:type="dxa"/>
          </w:tcPr>
          <w:p w14:paraId="6C67AF1F" w14:textId="77777777" w:rsidR="00FA70F1" w:rsidRPr="00BA55F5" w:rsidRDefault="00FA70F1" w:rsidP="00001DDB">
            <w:pPr>
              <w:pStyle w:val="TableText"/>
              <w:rPr>
                <w:sz w:val="19"/>
                <w:szCs w:val="19"/>
              </w:rPr>
            </w:pPr>
            <w:r w:rsidRPr="00BA55F5">
              <w:rPr>
                <w:sz w:val="19"/>
                <w:szCs w:val="19"/>
              </w:rPr>
              <w:t>ensure data and knowledge obtained from activities under the fund is shared and freely made available in the public domain</w:t>
            </w:r>
          </w:p>
        </w:tc>
        <w:tc>
          <w:tcPr>
            <w:tcW w:w="5630" w:type="dxa"/>
          </w:tcPr>
          <w:p w14:paraId="5CA6CE20" w14:textId="02A7D5F0" w:rsidR="00163B39" w:rsidRPr="00BA55F5" w:rsidRDefault="00163B39" w:rsidP="00001DDB">
            <w:pPr>
              <w:pStyle w:val="TableText"/>
              <w:rPr>
                <w:sz w:val="19"/>
                <w:szCs w:val="19"/>
              </w:rPr>
            </w:pPr>
            <w:r w:rsidRPr="00BA55F5">
              <w:rPr>
                <w:sz w:val="19"/>
                <w:szCs w:val="19"/>
              </w:rPr>
              <w:t>Suggested considerations:</w:t>
            </w:r>
          </w:p>
          <w:p w14:paraId="60B632B1" w14:textId="550FD5C2" w:rsidR="00FA70F1" w:rsidRPr="00BA55F5" w:rsidRDefault="00FA70F1" w:rsidP="00001DDB">
            <w:pPr>
              <w:pStyle w:val="TableBullet1"/>
              <w:rPr>
                <w:sz w:val="19"/>
                <w:szCs w:val="19"/>
              </w:rPr>
            </w:pPr>
            <w:r w:rsidRPr="00BA55F5">
              <w:rPr>
                <w:sz w:val="19"/>
                <w:szCs w:val="19"/>
              </w:rPr>
              <w:t xml:space="preserve">how the data and knowledge will be shared with the public. For instance, is there a requirement to publish results on the internet, </w:t>
            </w:r>
            <w:r w:rsidR="00124E04" w:rsidRPr="00BA55F5">
              <w:rPr>
                <w:sz w:val="19"/>
                <w:szCs w:val="19"/>
              </w:rPr>
              <w:t>hold events or present at</w:t>
            </w:r>
            <w:r w:rsidRPr="00BA55F5">
              <w:rPr>
                <w:sz w:val="19"/>
                <w:szCs w:val="19"/>
              </w:rPr>
              <w:t xml:space="preserve"> conferences</w:t>
            </w:r>
            <w:r w:rsidR="00124E04" w:rsidRPr="00BA55F5">
              <w:rPr>
                <w:sz w:val="19"/>
                <w:szCs w:val="19"/>
              </w:rPr>
              <w:t>?</w:t>
            </w:r>
          </w:p>
          <w:p w14:paraId="48C3A903" w14:textId="3254DD84" w:rsidR="00FA70F1" w:rsidRPr="00BA55F5" w:rsidRDefault="00163B39" w:rsidP="00001DDB">
            <w:pPr>
              <w:pStyle w:val="TableBullet1"/>
              <w:rPr>
                <w:sz w:val="19"/>
                <w:szCs w:val="19"/>
              </w:rPr>
            </w:pPr>
            <w:r w:rsidRPr="00BA55F5">
              <w:rPr>
                <w:sz w:val="19"/>
                <w:szCs w:val="19"/>
              </w:rPr>
              <w:t>w</w:t>
            </w:r>
            <w:r w:rsidR="00FA70F1" w:rsidRPr="00BA55F5">
              <w:rPr>
                <w:sz w:val="19"/>
                <w:szCs w:val="19"/>
              </w:rPr>
              <w:t>here relevant, how you are engaging with matters related to Indigenous Cultural and Intellectual Property (ICIP). Importantly</w:t>
            </w:r>
            <w:r w:rsidR="00246009" w:rsidRPr="00BA55F5">
              <w:rPr>
                <w:sz w:val="19"/>
                <w:szCs w:val="19"/>
              </w:rPr>
              <w:t>:</w:t>
            </w:r>
          </w:p>
          <w:p w14:paraId="1537A378" w14:textId="7CC2EAB7" w:rsidR="00FA70F1" w:rsidRPr="00BA55F5" w:rsidRDefault="00FA70F1" w:rsidP="00001DDB">
            <w:pPr>
              <w:pStyle w:val="TableBullet2"/>
              <w:rPr>
                <w:sz w:val="19"/>
                <w:szCs w:val="19"/>
              </w:rPr>
            </w:pPr>
            <w:r w:rsidRPr="00BA55F5">
              <w:rPr>
                <w:sz w:val="19"/>
                <w:szCs w:val="19"/>
              </w:rPr>
              <w:t>this principle is not a barrier to providing protections for ICIP. ICIP should only be shared with the free, prior and informed consent of the owners.</w:t>
            </w:r>
          </w:p>
          <w:p w14:paraId="12870219" w14:textId="0751626B" w:rsidR="00FA70F1" w:rsidRPr="00BA55F5" w:rsidRDefault="00FA70F1" w:rsidP="00001DDB">
            <w:pPr>
              <w:pStyle w:val="TableBullet2"/>
              <w:rPr>
                <w:sz w:val="19"/>
                <w:szCs w:val="19"/>
              </w:rPr>
            </w:pPr>
            <w:r w:rsidRPr="00BA55F5">
              <w:rPr>
                <w:sz w:val="19"/>
                <w:szCs w:val="19"/>
              </w:rPr>
              <w:t>this principle does not create a barrier with respect to recognising Indigenous Data Sovereignty.</w:t>
            </w:r>
          </w:p>
          <w:p w14:paraId="606821D7" w14:textId="68655B71" w:rsidR="00FA70F1" w:rsidRPr="00BA55F5" w:rsidRDefault="00FA70F1" w:rsidP="00001DDB">
            <w:pPr>
              <w:pStyle w:val="TableBullet1"/>
              <w:rPr>
                <w:sz w:val="19"/>
                <w:szCs w:val="19"/>
              </w:rPr>
            </w:pPr>
            <w:r w:rsidRPr="00BA55F5">
              <w:rPr>
                <w:sz w:val="19"/>
                <w:szCs w:val="19"/>
              </w:rPr>
              <w:t>how you will manage any pre-existing intellectual property that feeds into the arrangement(s) and/or grant(s) activities or outputs.</w:t>
            </w:r>
          </w:p>
        </w:tc>
      </w:tr>
      <w:tr w:rsidR="00FA70F1" w:rsidRPr="00BA55F5" w14:paraId="3CB8C4A6" w14:textId="77777777" w:rsidTr="001667C9">
        <w:tc>
          <w:tcPr>
            <w:tcW w:w="649" w:type="dxa"/>
          </w:tcPr>
          <w:p w14:paraId="60E0F5C9" w14:textId="77777777" w:rsidR="00FA70F1" w:rsidRPr="00BA55F5" w:rsidRDefault="00FA70F1" w:rsidP="00001DDB">
            <w:pPr>
              <w:pStyle w:val="TableText"/>
              <w:rPr>
                <w:sz w:val="19"/>
                <w:szCs w:val="19"/>
              </w:rPr>
            </w:pPr>
            <w:r w:rsidRPr="00BA55F5">
              <w:rPr>
                <w:sz w:val="19"/>
                <w:szCs w:val="19"/>
              </w:rPr>
              <w:lastRenderedPageBreak/>
              <w:t>(h)</w:t>
            </w:r>
          </w:p>
        </w:tc>
        <w:tc>
          <w:tcPr>
            <w:tcW w:w="3457" w:type="dxa"/>
          </w:tcPr>
          <w:p w14:paraId="258F15BC" w14:textId="43A39306" w:rsidR="00163B39" w:rsidRPr="00BA55F5" w:rsidRDefault="00FA70F1" w:rsidP="00001DDB">
            <w:pPr>
              <w:pStyle w:val="TableText"/>
              <w:rPr>
                <w:sz w:val="19"/>
                <w:szCs w:val="19"/>
              </w:rPr>
            </w:pPr>
            <w:r w:rsidRPr="00BA55F5">
              <w:rPr>
                <w:sz w:val="19"/>
                <w:szCs w:val="19"/>
              </w:rPr>
              <w:t>ensure planned monitoring, evaluation, and learning activities are efficient, robust and in alignment with fund level monitoring, evaluation and learning</w:t>
            </w:r>
            <w:r w:rsidR="00163B39" w:rsidRPr="00BA55F5">
              <w:rPr>
                <w:sz w:val="19"/>
                <w:szCs w:val="19"/>
              </w:rPr>
              <w:t xml:space="preserve"> (MEL)</w:t>
            </w:r>
            <w:r w:rsidRPr="00BA55F5">
              <w:rPr>
                <w:sz w:val="19"/>
                <w:szCs w:val="19"/>
              </w:rPr>
              <w:t xml:space="preserve"> expectations</w:t>
            </w:r>
          </w:p>
          <w:p w14:paraId="31420566" w14:textId="77777777" w:rsidR="00163B39" w:rsidRPr="00BA55F5" w:rsidRDefault="00163B39" w:rsidP="00001DDB">
            <w:pPr>
              <w:pStyle w:val="TableText"/>
              <w:rPr>
                <w:sz w:val="19"/>
                <w:szCs w:val="19"/>
              </w:rPr>
            </w:pPr>
          </w:p>
        </w:tc>
        <w:tc>
          <w:tcPr>
            <w:tcW w:w="5630" w:type="dxa"/>
          </w:tcPr>
          <w:p w14:paraId="4CD5EAAD" w14:textId="5E1C743C" w:rsidR="00FA70F1" w:rsidRPr="00BA55F5" w:rsidRDefault="00FA70F1" w:rsidP="00001DDB">
            <w:pPr>
              <w:pStyle w:val="TableText"/>
              <w:rPr>
                <w:sz w:val="19"/>
                <w:szCs w:val="19"/>
              </w:rPr>
            </w:pPr>
            <w:r w:rsidRPr="00BA55F5">
              <w:rPr>
                <w:sz w:val="19"/>
                <w:szCs w:val="19"/>
              </w:rPr>
              <w:t>Develop MEL plans early with delivery partners</w:t>
            </w:r>
            <w:r w:rsidR="00163B39" w:rsidRPr="00BA55F5">
              <w:rPr>
                <w:sz w:val="19"/>
                <w:szCs w:val="19"/>
              </w:rPr>
              <w:t>, where relevant</w:t>
            </w:r>
            <w:r w:rsidRPr="00BA55F5">
              <w:rPr>
                <w:sz w:val="19"/>
                <w:szCs w:val="19"/>
              </w:rPr>
              <w:t>, to ensure commitment and co-ownership of the MEL process. Questions to consider:</w:t>
            </w:r>
          </w:p>
          <w:p w14:paraId="4598D9C5" w14:textId="04A3FD4A" w:rsidR="00FA70F1" w:rsidRPr="00BA55F5" w:rsidRDefault="00FA70F1" w:rsidP="00001DDB">
            <w:pPr>
              <w:pStyle w:val="TableBullet1"/>
              <w:rPr>
                <w:sz w:val="19"/>
                <w:szCs w:val="19"/>
              </w:rPr>
            </w:pPr>
            <w:r w:rsidRPr="00BA55F5">
              <w:rPr>
                <w:sz w:val="19"/>
                <w:szCs w:val="19"/>
              </w:rPr>
              <w:t>What MEL guidance is required?</w:t>
            </w:r>
          </w:p>
          <w:p w14:paraId="13E73C20" w14:textId="2238AB0B" w:rsidR="00FA70F1" w:rsidRPr="00BA55F5" w:rsidRDefault="00FA70F1" w:rsidP="00001DDB">
            <w:pPr>
              <w:pStyle w:val="TableBullet1"/>
              <w:rPr>
                <w:sz w:val="19"/>
                <w:szCs w:val="19"/>
              </w:rPr>
            </w:pPr>
            <w:r w:rsidRPr="00BA55F5">
              <w:rPr>
                <w:sz w:val="19"/>
                <w:szCs w:val="19"/>
              </w:rPr>
              <w:t xml:space="preserve">What MEL commitments </w:t>
            </w:r>
            <w:r w:rsidR="00163B39" w:rsidRPr="00BA55F5">
              <w:rPr>
                <w:sz w:val="19"/>
                <w:szCs w:val="19"/>
              </w:rPr>
              <w:t>need to be included in</w:t>
            </w:r>
            <w:r w:rsidRPr="00BA55F5">
              <w:rPr>
                <w:sz w:val="19"/>
                <w:szCs w:val="19"/>
              </w:rPr>
              <w:t xml:space="preserve"> applications?</w:t>
            </w:r>
          </w:p>
          <w:p w14:paraId="28FA5E22" w14:textId="77777777" w:rsidR="00FA70F1" w:rsidRPr="00BA55F5" w:rsidRDefault="00FA70F1" w:rsidP="00001DDB">
            <w:pPr>
              <w:pStyle w:val="TableBullet1"/>
              <w:rPr>
                <w:sz w:val="19"/>
                <w:szCs w:val="19"/>
              </w:rPr>
            </w:pPr>
            <w:r w:rsidRPr="00BA55F5">
              <w:rPr>
                <w:sz w:val="19"/>
                <w:szCs w:val="19"/>
              </w:rPr>
              <w:t>How will MEL plans and approaches be communicated and designed with stakeholders?</w:t>
            </w:r>
          </w:p>
          <w:p w14:paraId="27FA1545" w14:textId="77777777" w:rsidR="00FA70F1" w:rsidRPr="00BA55F5" w:rsidRDefault="00FA70F1" w:rsidP="00001DDB">
            <w:pPr>
              <w:pStyle w:val="TableBullet1"/>
              <w:rPr>
                <w:sz w:val="19"/>
                <w:szCs w:val="19"/>
              </w:rPr>
            </w:pPr>
            <w:r w:rsidRPr="00BA55F5">
              <w:rPr>
                <w:sz w:val="19"/>
                <w:szCs w:val="19"/>
              </w:rPr>
              <w:t>What MEL activities will take place and when? How will data be collected?</w:t>
            </w:r>
          </w:p>
          <w:p w14:paraId="11E2969D" w14:textId="22681FC6" w:rsidR="00FA70F1" w:rsidRPr="00BA55F5" w:rsidRDefault="00FA70F1" w:rsidP="00001DDB">
            <w:pPr>
              <w:pStyle w:val="TableBullet1"/>
              <w:rPr>
                <w:sz w:val="19"/>
                <w:szCs w:val="19"/>
              </w:rPr>
            </w:pPr>
            <w:r w:rsidRPr="00BA55F5">
              <w:rPr>
                <w:sz w:val="19"/>
                <w:szCs w:val="19"/>
              </w:rPr>
              <w:t xml:space="preserve">How will these activities align with the </w:t>
            </w:r>
            <w:hyperlink r:id="rId18" w:history="1">
              <w:r w:rsidRPr="00BA55F5">
                <w:rPr>
                  <w:rStyle w:val="Hyperlink"/>
                  <w:color w:val="auto"/>
                  <w:sz w:val="19"/>
                  <w:szCs w:val="19"/>
                  <w:u w:val="none"/>
                </w:rPr>
                <w:t>FDF MEL Framework and theory of change</w:t>
              </w:r>
            </w:hyperlink>
            <w:r w:rsidRPr="00BA55F5">
              <w:rPr>
                <w:sz w:val="19"/>
                <w:szCs w:val="19"/>
              </w:rPr>
              <w:t>?</w:t>
            </w:r>
          </w:p>
        </w:tc>
      </w:tr>
    </w:tbl>
    <w:p w14:paraId="2F986587" w14:textId="261B2493" w:rsidR="00AA6AB4" w:rsidRPr="00EF276C" w:rsidRDefault="00AA6AB4" w:rsidP="00D155DB">
      <w:pPr>
        <w:pStyle w:val="Heading2"/>
        <w:numPr>
          <w:ilvl w:val="0"/>
          <w:numId w:val="0"/>
        </w:numPr>
        <w:spacing w:before="160" w:after="160" w:line="259" w:lineRule="auto"/>
        <w:ind w:left="720" w:hanging="720"/>
      </w:pPr>
      <w:r>
        <w:t>Frequently asked questions</w:t>
      </w:r>
      <w:bookmarkEnd w:id="10"/>
    </w:p>
    <w:p w14:paraId="353AF4C4" w14:textId="4B5F38C1" w:rsidR="00851A4C" w:rsidRPr="00F57962" w:rsidRDefault="00851A4C" w:rsidP="00851A4C">
      <w:pPr>
        <w:pStyle w:val="Heading3"/>
        <w:numPr>
          <w:ilvl w:val="0"/>
          <w:numId w:val="0"/>
        </w:numPr>
        <w:spacing w:after="160" w:line="259" w:lineRule="auto"/>
      </w:pPr>
      <w:bookmarkStart w:id="12" w:name="_Toc199162017"/>
      <w:r w:rsidRPr="00F57962">
        <w:t xml:space="preserve">Why do we need to </w:t>
      </w:r>
      <w:r w:rsidR="006E3E1C">
        <w:t>align</w:t>
      </w:r>
      <w:r w:rsidR="006E3E1C" w:rsidRPr="00F57962">
        <w:t xml:space="preserve"> </w:t>
      </w:r>
      <w:r w:rsidRPr="00F57962">
        <w:t>with the Funding Plan?</w:t>
      </w:r>
      <w:bookmarkEnd w:id="12"/>
    </w:p>
    <w:p w14:paraId="31CCCA63" w14:textId="2E1C6023" w:rsidR="00851A4C" w:rsidRPr="00F57962" w:rsidRDefault="00851A4C" w:rsidP="00851A4C">
      <w:pPr>
        <w:rPr>
          <w:rFonts w:ascii="Calibri" w:hAnsi="Calibri" w:cs="Calibri"/>
        </w:rPr>
      </w:pPr>
      <w:r w:rsidRPr="00F57962">
        <w:rPr>
          <w:rFonts w:ascii="Calibri" w:hAnsi="Calibri" w:cs="Calibri"/>
        </w:rPr>
        <w:t xml:space="preserve">The Funding Plan is a legislative instrument </w:t>
      </w:r>
      <w:r w:rsidR="00B97EA0">
        <w:rPr>
          <w:rFonts w:ascii="Calibri" w:hAnsi="Calibri" w:cs="Calibri"/>
        </w:rPr>
        <w:t>that</w:t>
      </w:r>
      <w:r>
        <w:rPr>
          <w:rFonts w:ascii="Calibri" w:hAnsi="Calibri" w:cs="Calibri"/>
        </w:rPr>
        <w:t xml:space="preserve"> ensure</w:t>
      </w:r>
      <w:r w:rsidR="00BC2AA2">
        <w:rPr>
          <w:rFonts w:ascii="Calibri" w:hAnsi="Calibri" w:cs="Calibri"/>
        </w:rPr>
        <w:t>s</w:t>
      </w:r>
      <w:r>
        <w:rPr>
          <w:rFonts w:ascii="Calibri" w:hAnsi="Calibri" w:cs="Calibri"/>
        </w:rPr>
        <w:t xml:space="preserve"> the Fund is operating as intended, effectively and efficiently – it is a key mechanism for ensuring accountability and the </w:t>
      </w:r>
      <w:r w:rsidRPr="00592807">
        <w:rPr>
          <w:rFonts w:ascii="Calibri" w:hAnsi="Calibri" w:cs="Calibri"/>
        </w:rPr>
        <w:t>responsible use of public resources</w:t>
      </w:r>
      <w:r>
        <w:rPr>
          <w:rFonts w:ascii="Calibri" w:hAnsi="Calibri" w:cs="Calibri"/>
        </w:rPr>
        <w:t>.</w:t>
      </w:r>
    </w:p>
    <w:p w14:paraId="187D00DF" w14:textId="0D8B200F" w:rsidR="00851A4C" w:rsidRDefault="0071779B" w:rsidP="00851A4C">
      <w:pPr>
        <w:rPr>
          <w:rFonts w:ascii="Calibri" w:hAnsi="Calibri" w:cs="Calibri"/>
        </w:rPr>
      </w:pPr>
      <w:r>
        <w:rPr>
          <w:rFonts w:ascii="Calibri" w:hAnsi="Calibri" w:cs="Calibri"/>
        </w:rPr>
        <w:t>Aligning</w:t>
      </w:r>
      <w:r w:rsidRPr="00F57962">
        <w:rPr>
          <w:rFonts w:ascii="Calibri" w:hAnsi="Calibri" w:cs="Calibri"/>
        </w:rPr>
        <w:t xml:space="preserve"> with the Funding Plan</w:t>
      </w:r>
      <w:r w:rsidR="006E3E1C">
        <w:rPr>
          <w:rFonts w:ascii="Calibri" w:hAnsi="Calibri" w:cs="Calibri"/>
        </w:rPr>
        <w:t xml:space="preserve"> improves</w:t>
      </w:r>
      <w:r w:rsidR="00851A4C" w:rsidRPr="00764C2A">
        <w:rPr>
          <w:rFonts w:ascii="Calibri" w:hAnsi="Calibri" w:cs="Calibri"/>
        </w:rPr>
        <w:t xml:space="preserve"> the </w:t>
      </w:r>
      <w:r w:rsidR="00DE47C0">
        <w:rPr>
          <w:rFonts w:ascii="Calibri" w:hAnsi="Calibri" w:cs="Calibri"/>
        </w:rPr>
        <w:t>FDF</w:t>
      </w:r>
      <w:r w:rsidR="00851A4C" w:rsidRPr="00764C2A">
        <w:rPr>
          <w:rFonts w:ascii="Calibri" w:hAnsi="Calibri" w:cs="Calibri"/>
        </w:rPr>
        <w:t>’s capacity to deliver on its aim to buil</w:t>
      </w:r>
      <w:r w:rsidR="00851A4C">
        <w:rPr>
          <w:rFonts w:ascii="Calibri" w:hAnsi="Calibri" w:cs="Calibri"/>
        </w:rPr>
        <w:t>d</w:t>
      </w:r>
      <w:r w:rsidR="00851A4C" w:rsidRPr="00764C2A">
        <w:rPr>
          <w:rFonts w:ascii="Calibri" w:hAnsi="Calibri" w:cs="Calibri"/>
        </w:rPr>
        <w:t xml:space="preserve"> drought and climate resilience for the public good of the Australian agricultur</w:t>
      </w:r>
      <w:r w:rsidR="00F115F6">
        <w:rPr>
          <w:rFonts w:ascii="Calibri" w:hAnsi="Calibri" w:cs="Calibri"/>
        </w:rPr>
        <w:t>al</w:t>
      </w:r>
      <w:r w:rsidR="00851A4C" w:rsidRPr="00764C2A">
        <w:rPr>
          <w:rFonts w:ascii="Calibri" w:hAnsi="Calibri" w:cs="Calibri"/>
        </w:rPr>
        <w:t xml:space="preserve"> sector, landscapes, and communities. Without proper </w:t>
      </w:r>
      <w:r w:rsidR="006E3E1C">
        <w:rPr>
          <w:rFonts w:ascii="Calibri" w:hAnsi="Calibri" w:cs="Calibri"/>
        </w:rPr>
        <w:t>alignment with</w:t>
      </w:r>
      <w:r w:rsidR="00851A4C" w:rsidRPr="00764C2A">
        <w:rPr>
          <w:rFonts w:ascii="Calibri" w:hAnsi="Calibri" w:cs="Calibri"/>
        </w:rPr>
        <w:t xml:space="preserve"> the Funding Plan, the effectiveness of the FDF and its initiatives would be jeopardised</w:t>
      </w:r>
      <w:r w:rsidR="008036C7">
        <w:rPr>
          <w:rFonts w:ascii="Calibri" w:hAnsi="Calibri" w:cs="Calibri"/>
        </w:rPr>
        <w:t>.</w:t>
      </w:r>
    </w:p>
    <w:p w14:paraId="047BA751" w14:textId="1F16CED3" w:rsidR="00AA6AB4" w:rsidRDefault="00AA6AB4" w:rsidP="00253015">
      <w:pPr>
        <w:pStyle w:val="Heading3"/>
        <w:numPr>
          <w:ilvl w:val="0"/>
          <w:numId w:val="0"/>
        </w:numPr>
        <w:spacing w:before="160" w:after="160" w:line="259" w:lineRule="auto"/>
        <w:ind w:left="964" w:hanging="964"/>
      </w:pPr>
      <w:bookmarkStart w:id="13" w:name="_Toc199162018"/>
      <w:r>
        <w:t xml:space="preserve">Do the funding principles apply to devolved </w:t>
      </w:r>
      <w:r w:rsidR="003C33FF">
        <w:t xml:space="preserve">arrangements and </w:t>
      </w:r>
      <w:r>
        <w:t>grants?</w:t>
      </w:r>
      <w:bookmarkEnd w:id="13"/>
    </w:p>
    <w:p w14:paraId="16CE758B" w14:textId="775775BE" w:rsidR="00AA6AB4" w:rsidRPr="006D25F0" w:rsidRDefault="00B97EA0" w:rsidP="00AA6AB4">
      <w:pPr>
        <w:rPr>
          <w:rFonts w:ascii="Calibri" w:hAnsi="Calibri" w:cs="Calibri"/>
        </w:rPr>
      </w:pPr>
      <w:r>
        <w:rPr>
          <w:rFonts w:ascii="Calibri" w:hAnsi="Calibri" w:cs="Calibri"/>
        </w:rPr>
        <w:t>Yes, t</w:t>
      </w:r>
      <w:r w:rsidR="00AA6AB4" w:rsidRPr="000625A3">
        <w:rPr>
          <w:rFonts w:ascii="Calibri" w:hAnsi="Calibri" w:cs="Calibri"/>
        </w:rPr>
        <w:t xml:space="preserve">he principles apply to all </w:t>
      </w:r>
      <w:r w:rsidR="00ED03FD" w:rsidRPr="000625A3">
        <w:rPr>
          <w:rFonts w:ascii="Calibri" w:hAnsi="Calibri" w:cs="Calibri"/>
        </w:rPr>
        <w:t>funding</w:t>
      </w:r>
      <w:r w:rsidR="00AA6AB4" w:rsidRPr="000625A3">
        <w:rPr>
          <w:rFonts w:ascii="Calibri" w:hAnsi="Calibri" w:cs="Calibri"/>
        </w:rPr>
        <w:t xml:space="preserve"> </w:t>
      </w:r>
      <w:r w:rsidR="00CD376A" w:rsidRPr="000625A3">
        <w:rPr>
          <w:rFonts w:ascii="Calibri" w:hAnsi="Calibri" w:cs="Calibri"/>
        </w:rPr>
        <w:t xml:space="preserve">decisions </w:t>
      </w:r>
      <w:r w:rsidR="00AA6AB4" w:rsidRPr="000625A3">
        <w:rPr>
          <w:rFonts w:ascii="Calibri" w:hAnsi="Calibri" w:cs="Calibri"/>
        </w:rPr>
        <w:t>from the FDF, which include devolved arrangements</w:t>
      </w:r>
      <w:r w:rsidR="00132785" w:rsidRPr="000625A3">
        <w:rPr>
          <w:rFonts w:ascii="Calibri" w:hAnsi="Calibri" w:cs="Calibri"/>
        </w:rPr>
        <w:t xml:space="preserve"> and grants</w:t>
      </w:r>
      <w:r w:rsidR="00AA6AB4" w:rsidRPr="000625A3">
        <w:rPr>
          <w:rFonts w:ascii="Calibri" w:hAnsi="Calibri" w:cs="Calibri"/>
        </w:rPr>
        <w:t xml:space="preserve">. </w:t>
      </w:r>
      <w:r w:rsidR="00946CB2">
        <w:t>All partners delivering FDF activities must</w:t>
      </w:r>
      <w:r w:rsidR="00C71DD6">
        <w:t xml:space="preserve"> ensure that they</w:t>
      </w:r>
      <w:r w:rsidR="00946CB2">
        <w:t xml:space="preserve"> </w:t>
      </w:r>
      <w:r w:rsidR="00A0288B">
        <w:t>do so</w:t>
      </w:r>
      <w:r w:rsidR="00C71DD6">
        <w:t xml:space="preserve"> consistent</w:t>
      </w:r>
      <w:r w:rsidR="00A0288B">
        <w:t>ly</w:t>
      </w:r>
      <w:r w:rsidR="00C71DD6">
        <w:t xml:space="preserve"> with the</w:t>
      </w:r>
      <w:r w:rsidR="00946CB2">
        <w:t xml:space="preserve"> funding principles.</w:t>
      </w:r>
    </w:p>
    <w:p w14:paraId="0ED6D64A" w14:textId="13B818EE" w:rsidR="00AA6AB4" w:rsidRPr="006D25F0" w:rsidRDefault="00AA6AB4" w:rsidP="00253015">
      <w:pPr>
        <w:pStyle w:val="Heading3"/>
        <w:numPr>
          <w:ilvl w:val="0"/>
          <w:numId w:val="0"/>
        </w:numPr>
        <w:spacing w:before="160" w:after="160" w:line="259" w:lineRule="auto"/>
      </w:pPr>
      <w:bookmarkStart w:id="14" w:name="_Toc199162019"/>
      <w:r w:rsidRPr="006D25F0">
        <w:t xml:space="preserve">Do the </w:t>
      </w:r>
      <w:r w:rsidR="00CC7CBE">
        <w:t xml:space="preserve">current </w:t>
      </w:r>
      <w:r w:rsidR="00B44E3B">
        <w:t xml:space="preserve">funding </w:t>
      </w:r>
      <w:r w:rsidRPr="006D25F0">
        <w:t xml:space="preserve">principles apply to programs </w:t>
      </w:r>
      <w:r w:rsidR="004253E2">
        <w:t>implemented under the</w:t>
      </w:r>
      <w:r w:rsidR="00DE47C0">
        <w:t xml:space="preserve"> </w:t>
      </w:r>
      <w:r w:rsidR="00324A82">
        <w:t xml:space="preserve">previous </w:t>
      </w:r>
      <w:r w:rsidR="006E02A9">
        <w:t xml:space="preserve">Funding </w:t>
      </w:r>
      <w:r w:rsidR="000E1809">
        <w:t>Plan</w:t>
      </w:r>
      <w:r w:rsidRPr="006D25F0">
        <w:t>?</w:t>
      </w:r>
      <w:bookmarkEnd w:id="14"/>
    </w:p>
    <w:p w14:paraId="62E78BA7" w14:textId="343D5D9B" w:rsidR="00AA6AB4" w:rsidRPr="006D25F0" w:rsidRDefault="00AA6AB4" w:rsidP="00AA6AB4">
      <w:pPr>
        <w:rPr>
          <w:rFonts w:ascii="Calibri" w:hAnsi="Calibri" w:cs="Calibri"/>
        </w:rPr>
      </w:pPr>
      <w:r w:rsidRPr="006D25F0">
        <w:rPr>
          <w:rFonts w:ascii="Calibri" w:hAnsi="Calibri" w:cs="Calibri"/>
        </w:rPr>
        <w:t>All programs</w:t>
      </w:r>
      <w:r w:rsidR="00A94B4B" w:rsidRPr="006D25F0">
        <w:rPr>
          <w:rFonts w:ascii="Calibri" w:hAnsi="Calibri" w:cs="Calibri"/>
        </w:rPr>
        <w:t xml:space="preserve">, </w:t>
      </w:r>
      <w:r w:rsidRPr="006D25F0">
        <w:rPr>
          <w:rFonts w:ascii="Calibri" w:hAnsi="Calibri" w:cs="Calibri"/>
        </w:rPr>
        <w:t>financial arrangements</w:t>
      </w:r>
      <w:r w:rsidR="00A94B4B" w:rsidRPr="006D25F0">
        <w:rPr>
          <w:rFonts w:ascii="Calibri" w:hAnsi="Calibri" w:cs="Calibri"/>
        </w:rPr>
        <w:t xml:space="preserve"> and </w:t>
      </w:r>
      <w:r w:rsidRPr="006D25F0">
        <w:rPr>
          <w:rFonts w:ascii="Calibri" w:hAnsi="Calibri" w:cs="Calibri"/>
        </w:rPr>
        <w:t xml:space="preserve">contracts in place prior to 9 February 2024 </w:t>
      </w:r>
      <w:r w:rsidR="00291FBB" w:rsidRPr="006D25F0">
        <w:rPr>
          <w:rFonts w:ascii="Calibri" w:hAnsi="Calibri" w:cs="Calibri"/>
        </w:rPr>
        <w:t>are</w:t>
      </w:r>
      <w:r w:rsidRPr="006D25F0">
        <w:rPr>
          <w:rFonts w:ascii="Calibri" w:hAnsi="Calibri" w:cs="Calibri"/>
        </w:rPr>
        <w:t xml:space="preserve"> consistent with the previous </w:t>
      </w:r>
      <w:hyperlink r:id="rId19" w:history="1">
        <w:r w:rsidR="006C1690" w:rsidRPr="00767629">
          <w:rPr>
            <w:rStyle w:val="Hyperlink"/>
            <w:rFonts w:ascii="Calibri" w:hAnsi="Calibri" w:cs="Calibri"/>
            <w:i/>
            <w:iCs/>
          </w:rPr>
          <w:t>Future Drought Fund (Drought Resilience Funding Plan 2020 to 2024) Determination 2020</w:t>
        </w:r>
      </w:hyperlink>
      <w:r w:rsidRPr="006D25F0">
        <w:rPr>
          <w:rFonts w:ascii="Calibri" w:hAnsi="Calibri" w:cs="Calibri"/>
        </w:rPr>
        <w:t>.</w:t>
      </w:r>
    </w:p>
    <w:p w14:paraId="67E57D67" w14:textId="165E21A4" w:rsidR="00AA6AB4" w:rsidRDefault="00CB6E8C" w:rsidP="00AA6AB4">
      <w:pPr>
        <w:rPr>
          <w:rFonts w:ascii="Calibri" w:hAnsi="Calibri" w:cs="Calibri"/>
        </w:rPr>
      </w:pPr>
      <w:r w:rsidRPr="006D25F0">
        <w:rPr>
          <w:rFonts w:ascii="Calibri" w:hAnsi="Calibri" w:cs="Calibri"/>
        </w:rPr>
        <w:t xml:space="preserve">Funding decisions regarding these programs made after </w:t>
      </w:r>
      <w:r w:rsidR="00AA6AB4" w:rsidRPr="006D25F0">
        <w:rPr>
          <w:rFonts w:ascii="Calibri" w:hAnsi="Calibri" w:cs="Calibri"/>
        </w:rPr>
        <w:t>9 February 2024</w:t>
      </w:r>
      <w:r w:rsidRPr="006D25F0">
        <w:rPr>
          <w:rFonts w:ascii="Calibri" w:hAnsi="Calibri" w:cs="Calibri"/>
        </w:rPr>
        <w:t xml:space="preserve">, including contract variations that extend foundational programs, must comply with the </w:t>
      </w:r>
      <w:r w:rsidR="00AA6AB4" w:rsidRPr="006D25F0">
        <w:rPr>
          <w:rFonts w:ascii="Calibri" w:hAnsi="Calibri" w:cs="Calibri"/>
        </w:rPr>
        <w:t xml:space="preserve">current </w:t>
      </w:r>
      <w:r w:rsidR="002A7D26">
        <w:rPr>
          <w:rFonts w:ascii="Calibri" w:hAnsi="Calibri" w:cs="Calibri"/>
        </w:rPr>
        <w:t xml:space="preserve">Funding </w:t>
      </w:r>
      <w:r w:rsidR="00AA6AB4" w:rsidRPr="006D25F0">
        <w:rPr>
          <w:rFonts w:ascii="Calibri" w:hAnsi="Calibri" w:cs="Calibri"/>
        </w:rPr>
        <w:t>Plan (2024-2028).</w:t>
      </w:r>
    </w:p>
    <w:p w14:paraId="76747C39" w14:textId="6FEE5FA9" w:rsidR="008A29A5" w:rsidRPr="006D25F0" w:rsidRDefault="008A29A5" w:rsidP="00253015">
      <w:pPr>
        <w:pStyle w:val="Heading3"/>
        <w:numPr>
          <w:ilvl w:val="0"/>
          <w:numId w:val="0"/>
        </w:numPr>
        <w:spacing w:before="160" w:after="160" w:line="259" w:lineRule="auto"/>
        <w:ind w:left="964" w:hanging="964"/>
      </w:pPr>
      <w:bookmarkStart w:id="15" w:name="_Toc199162020"/>
      <w:r w:rsidRPr="006D25F0">
        <w:t xml:space="preserve">Do the funding principles apply to </w:t>
      </w:r>
      <w:r>
        <w:t>communication</w:t>
      </w:r>
      <w:r w:rsidR="000A2D91">
        <w:t xml:space="preserve">s </w:t>
      </w:r>
      <w:r>
        <w:t>products</w:t>
      </w:r>
      <w:r w:rsidRPr="006D25F0">
        <w:t>?</w:t>
      </w:r>
      <w:bookmarkEnd w:id="15"/>
    </w:p>
    <w:p w14:paraId="015217B7" w14:textId="2B85DED7" w:rsidR="00A241BE" w:rsidRPr="00B8058A" w:rsidRDefault="00B97EA0" w:rsidP="00A74B6F">
      <w:pPr>
        <w:rPr>
          <w:rFonts w:cstheme="minorHAnsi"/>
        </w:rPr>
      </w:pPr>
      <w:r w:rsidRPr="00B8058A">
        <w:rPr>
          <w:rFonts w:cstheme="minorHAnsi"/>
        </w:rPr>
        <w:t>Yes, i</w:t>
      </w:r>
      <w:r w:rsidR="00A74B6F" w:rsidRPr="00B8058A">
        <w:rPr>
          <w:rFonts w:cstheme="minorHAnsi"/>
        </w:rPr>
        <w:t>n addition to relevant branding and co-branding requirements, communication</w:t>
      </w:r>
      <w:r w:rsidR="008D2352" w:rsidRPr="00B8058A">
        <w:rPr>
          <w:rFonts w:cstheme="minorHAnsi"/>
        </w:rPr>
        <w:t>s</w:t>
      </w:r>
      <w:r w:rsidR="00A74B6F" w:rsidRPr="00B8058A">
        <w:rPr>
          <w:rFonts w:cstheme="minorHAnsi"/>
        </w:rPr>
        <w:t xml:space="preserve"> products should </w:t>
      </w:r>
      <w:r w:rsidRPr="00B8058A">
        <w:rPr>
          <w:rFonts w:cstheme="minorHAnsi"/>
        </w:rPr>
        <w:t xml:space="preserve">align </w:t>
      </w:r>
      <w:r w:rsidR="00A74B6F" w:rsidRPr="00B8058A">
        <w:rPr>
          <w:rFonts w:cstheme="minorHAnsi"/>
        </w:rPr>
        <w:t>with the Funding Plan (2024-2028) and its funding principles</w:t>
      </w:r>
      <w:bookmarkStart w:id="16" w:name="_Hlk198821039"/>
      <w:r w:rsidR="00A241BE" w:rsidRPr="00B8058A">
        <w:rPr>
          <w:rFonts w:cstheme="minorHAnsi"/>
        </w:rPr>
        <w:t xml:space="preserve">. Communications products </w:t>
      </w:r>
      <w:r w:rsidR="009C7B6B" w:rsidRPr="00B8058A">
        <w:rPr>
          <w:rFonts w:cstheme="minorHAnsi"/>
        </w:rPr>
        <w:t>must be consistent with the principles relating to decisions about arrangements and grants</w:t>
      </w:r>
      <w:r w:rsidR="007F5C54" w:rsidRPr="00B8058A">
        <w:rPr>
          <w:rFonts w:cstheme="minorHAnsi"/>
        </w:rPr>
        <w:t xml:space="preserve"> (s 6 (3))</w:t>
      </w:r>
      <w:r w:rsidR="009C7B6B" w:rsidRPr="00B8058A">
        <w:rPr>
          <w:rFonts w:cstheme="minorHAnsi"/>
        </w:rPr>
        <w:t>.</w:t>
      </w:r>
    </w:p>
    <w:p w14:paraId="43FE74AD" w14:textId="49C2B8C5" w:rsidR="00130933" w:rsidRPr="00B8058A" w:rsidRDefault="00B97EA0" w:rsidP="004C79BF">
      <w:pPr>
        <w:rPr>
          <w:rFonts w:cstheme="minorHAnsi"/>
        </w:rPr>
      </w:pPr>
      <w:r w:rsidRPr="00B8058A">
        <w:rPr>
          <w:rFonts w:cstheme="minorHAnsi"/>
        </w:rPr>
        <w:t>A</w:t>
      </w:r>
      <w:r w:rsidR="007F5C54" w:rsidRPr="00B8058A">
        <w:rPr>
          <w:rFonts w:cstheme="minorHAnsi"/>
        </w:rPr>
        <w:t xml:space="preserve">lthough not mandatory, </w:t>
      </w:r>
      <w:r w:rsidR="009C7B6B" w:rsidRPr="00B8058A">
        <w:rPr>
          <w:rFonts w:cstheme="minorHAnsi"/>
        </w:rPr>
        <w:t>the fund wide principles</w:t>
      </w:r>
      <w:r w:rsidR="007F5C54" w:rsidRPr="00B8058A">
        <w:rPr>
          <w:rFonts w:cstheme="minorHAnsi"/>
        </w:rPr>
        <w:t xml:space="preserve"> (s 6 (2))</w:t>
      </w:r>
      <w:r w:rsidR="009C7B6B" w:rsidRPr="00B8058A">
        <w:rPr>
          <w:rFonts w:cstheme="minorHAnsi"/>
        </w:rPr>
        <w:t xml:space="preserve"> should </w:t>
      </w:r>
      <w:r w:rsidR="00050A2A" w:rsidRPr="00B8058A">
        <w:rPr>
          <w:rFonts w:cstheme="minorHAnsi"/>
        </w:rPr>
        <w:t xml:space="preserve">also </w:t>
      </w:r>
      <w:r w:rsidR="009C7B6B" w:rsidRPr="00B8058A">
        <w:rPr>
          <w:rFonts w:cstheme="minorHAnsi"/>
        </w:rPr>
        <w:t xml:space="preserve">be </w:t>
      </w:r>
      <w:r w:rsidR="007F5C54" w:rsidRPr="00B8058A">
        <w:rPr>
          <w:rFonts w:cstheme="minorHAnsi"/>
        </w:rPr>
        <w:t>considered when developing communication</w:t>
      </w:r>
      <w:r w:rsidR="00A241BE" w:rsidRPr="00B8058A">
        <w:rPr>
          <w:rFonts w:cstheme="minorHAnsi"/>
        </w:rPr>
        <w:t>s</w:t>
      </w:r>
      <w:r w:rsidR="007F5C54" w:rsidRPr="00B8058A">
        <w:rPr>
          <w:rFonts w:cstheme="minorHAnsi"/>
        </w:rPr>
        <w:t xml:space="preserve"> materials to </w:t>
      </w:r>
      <w:r w:rsidR="009C7B6B" w:rsidRPr="00B8058A">
        <w:rPr>
          <w:rFonts w:cstheme="minorHAnsi"/>
        </w:rPr>
        <w:t xml:space="preserve">guide </w:t>
      </w:r>
      <w:r w:rsidR="007F5C54" w:rsidRPr="00B8058A">
        <w:rPr>
          <w:rFonts w:cstheme="minorHAnsi"/>
        </w:rPr>
        <w:t xml:space="preserve">consistent FDF </w:t>
      </w:r>
      <w:r w:rsidR="009C7B6B" w:rsidRPr="00B8058A">
        <w:rPr>
          <w:rFonts w:cstheme="minorHAnsi"/>
        </w:rPr>
        <w:t>messaging</w:t>
      </w:r>
      <w:bookmarkEnd w:id="16"/>
      <w:r w:rsidR="00130933" w:rsidRPr="00B8058A">
        <w:rPr>
          <w:rFonts w:cstheme="minorHAnsi"/>
        </w:rPr>
        <w:t>.</w:t>
      </w:r>
    </w:p>
    <w:p w14:paraId="199710B1" w14:textId="3A96D82A" w:rsidR="004E4DF5" w:rsidRPr="00D250B9" w:rsidRDefault="00B97EA0" w:rsidP="00D250B9">
      <w:pPr>
        <w:rPr>
          <w:rFonts w:cstheme="minorHAnsi"/>
          <w:bCs/>
        </w:rPr>
      </w:pPr>
      <w:r w:rsidRPr="00D250B9">
        <w:rPr>
          <w:rFonts w:cstheme="minorHAnsi"/>
          <w:bCs/>
        </w:rPr>
        <w:t>Alignment</w:t>
      </w:r>
      <w:r w:rsidR="004C79BF" w:rsidRPr="00D250B9">
        <w:rPr>
          <w:rFonts w:cstheme="minorHAnsi"/>
          <w:bCs/>
        </w:rPr>
        <w:t xml:space="preserve"> with the funding principles should be factored into program design and financial agreements and</w:t>
      </w:r>
      <w:r w:rsidR="00D866E0" w:rsidRPr="00D250B9">
        <w:rPr>
          <w:rFonts w:cstheme="minorHAnsi"/>
          <w:bCs/>
        </w:rPr>
        <w:t>,</w:t>
      </w:r>
      <w:r w:rsidR="004C79BF" w:rsidRPr="00D250B9">
        <w:rPr>
          <w:rFonts w:cstheme="minorHAnsi"/>
          <w:bCs/>
        </w:rPr>
        <w:t xml:space="preserve"> as such</w:t>
      </w:r>
      <w:r w:rsidR="00D866E0" w:rsidRPr="00D250B9">
        <w:rPr>
          <w:rFonts w:cstheme="minorHAnsi"/>
          <w:bCs/>
        </w:rPr>
        <w:t>,</w:t>
      </w:r>
      <w:r w:rsidR="004C79BF" w:rsidRPr="00D250B9">
        <w:rPr>
          <w:rFonts w:cstheme="minorHAnsi"/>
          <w:bCs/>
        </w:rPr>
        <w:t xml:space="preserve"> these should be reflected in delivery partner communications and engagement plans to ensure consistent messaging.</w:t>
      </w:r>
    </w:p>
    <w:p w14:paraId="47986904" w14:textId="5B5AD26F" w:rsidR="007B4A9D" w:rsidRDefault="007B4A9D" w:rsidP="00246009">
      <w:pPr>
        <w:pStyle w:val="Heading2"/>
        <w:numPr>
          <w:ilvl w:val="0"/>
          <w:numId w:val="0"/>
        </w:numPr>
        <w:spacing w:before="200" w:after="200"/>
      </w:pPr>
      <w:bookmarkStart w:id="17" w:name="_Fund_wide_principles"/>
      <w:bookmarkStart w:id="18" w:name="_Principles_relating_to"/>
      <w:bookmarkStart w:id="19" w:name="_Toc199162027"/>
      <w:bookmarkEnd w:id="17"/>
      <w:bookmarkEnd w:id="18"/>
      <w:r>
        <w:t>Funding principle guidance</w:t>
      </w:r>
    </w:p>
    <w:p w14:paraId="7FB8861B" w14:textId="2B85D064" w:rsidR="00572EF9" w:rsidRPr="00C16316" w:rsidRDefault="00572EF9" w:rsidP="00253015">
      <w:pPr>
        <w:pStyle w:val="Heading3"/>
        <w:numPr>
          <w:ilvl w:val="0"/>
          <w:numId w:val="0"/>
        </w:numPr>
        <w:spacing w:before="160" w:after="160"/>
        <w:ind w:left="964" w:hanging="964"/>
      </w:pPr>
      <w:r w:rsidRPr="00C16316">
        <w:lastRenderedPageBreak/>
        <w:t xml:space="preserve">Drought </w:t>
      </w:r>
      <w:r w:rsidRPr="00324A82">
        <w:t>resilience</w:t>
      </w:r>
      <w:bookmarkEnd w:id="19"/>
    </w:p>
    <w:p w14:paraId="5B7D3000" w14:textId="313CD2A9" w:rsidR="00E53C72" w:rsidRDefault="00572EF9" w:rsidP="00A64EB4">
      <w:pPr>
        <w:rPr>
          <w:lang w:eastAsia="en-AU"/>
        </w:rPr>
      </w:pPr>
      <w:r w:rsidRPr="00C16316">
        <w:rPr>
          <w:lang w:eastAsia="en-AU"/>
        </w:rPr>
        <w:t>The object of the Act is to enhance the public good by building drought resilience.</w:t>
      </w:r>
    </w:p>
    <w:p w14:paraId="27A59475" w14:textId="6CEB5F0B" w:rsidR="00F442D6" w:rsidRDefault="00F442D6" w:rsidP="00A64EB4">
      <w:pPr>
        <w:rPr>
          <w:lang w:eastAsia="en-AU"/>
        </w:rPr>
      </w:pPr>
      <w:r w:rsidRPr="00F57102">
        <w:rPr>
          <w:lang w:eastAsia="en-AU"/>
        </w:rPr>
        <w:t xml:space="preserve">Building drought resilience is a complex and long-term endeavour, as continued adaptation is required to meet changing circumstances over time. This is reflected in the secure and continuous funding made available each year for drought resilience activities, under the </w:t>
      </w:r>
      <w:r>
        <w:rPr>
          <w:lang w:eastAsia="en-AU"/>
        </w:rPr>
        <w:t>FDF</w:t>
      </w:r>
      <w:r w:rsidRPr="00F57102">
        <w:rPr>
          <w:lang w:eastAsia="en-AU"/>
        </w:rPr>
        <w:t>.</w:t>
      </w:r>
    </w:p>
    <w:p w14:paraId="354619E4" w14:textId="0D08AFA3" w:rsidR="007254B7" w:rsidRDefault="00A64EB4" w:rsidP="00A64EB4">
      <w:pPr>
        <w:rPr>
          <w:lang w:eastAsia="en-AU"/>
        </w:rPr>
      </w:pPr>
      <w:r>
        <w:rPr>
          <w:lang w:eastAsia="en-AU"/>
        </w:rPr>
        <w:t>A</w:t>
      </w:r>
      <w:r w:rsidR="002D3F3C" w:rsidRPr="002D3F3C">
        <w:rPr>
          <w:lang w:eastAsia="en-AU"/>
        </w:rPr>
        <w:t xml:space="preserve"> key aspect of drought resilience</w:t>
      </w:r>
      <w:r w:rsidR="00F115F6">
        <w:rPr>
          <w:lang w:eastAsia="en-AU"/>
        </w:rPr>
        <w:t xml:space="preserve"> </w:t>
      </w:r>
      <w:r w:rsidR="002D3F3C" w:rsidRPr="002D3F3C">
        <w:rPr>
          <w:lang w:eastAsia="en-AU"/>
        </w:rPr>
        <w:t>is the ability to adapt, reorganise or transform in response to changing temperature</w:t>
      </w:r>
      <w:r w:rsidR="00D53B3E">
        <w:rPr>
          <w:lang w:eastAsia="en-AU"/>
        </w:rPr>
        <w:t xml:space="preserve">, increasing </w:t>
      </w:r>
      <w:r w:rsidR="002D3F3C" w:rsidRPr="002D3F3C">
        <w:rPr>
          <w:lang w:eastAsia="en-AU"/>
        </w:rPr>
        <w:t>variability and scarcity of rainfall and changed seasonality of rainfall, for improved economic, environmental and social resilience.</w:t>
      </w:r>
      <w:r w:rsidR="007254B7">
        <w:rPr>
          <w:lang w:eastAsia="en-AU"/>
        </w:rPr>
        <w:t xml:space="preserve"> </w:t>
      </w:r>
      <w:bookmarkStart w:id="20" w:name="_Hlk199171783"/>
      <w:r w:rsidR="007254B7">
        <w:rPr>
          <w:lang w:eastAsia="en-AU"/>
        </w:rPr>
        <w:t>The funding Plan</w:t>
      </w:r>
      <w:r w:rsidR="00DE47C0">
        <w:rPr>
          <w:lang w:eastAsia="en-AU"/>
        </w:rPr>
        <w:t xml:space="preserve"> </w:t>
      </w:r>
      <w:bookmarkStart w:id="21" w:name="_Hlk200549730"/>
      <w:r w:rsidR="00DE47C0">
        <w:rPr>
          <w:lang w:eastAsia="en-AU"/>
        </w:rPr>
        <w:t>(2024-2028)</w:t>
      </w:r>
      <w:r w:rsidR="00B04184">
        <w:rPr>
          <w:lang w:eastAsia="en-AU"/>
        </w:rPr>
        <w:t xml:space="preserve"> </w:t>
      </w:r>
      <w:bookmarkEnd w:id="21"/>
      <w:r w:rsidR="00B04184">
        <w:rPr>
          <w:lang w:eastAsia="en-AU"/>
        </w:rPr>
        <w:t>reflects this</w:t>
      </w:r>
      <w:r w:rsidR="00236A91">
        <w:rPr>
          <w:lang w:eastAsia="en-AU"/>
        </w:rPr>
        <w:t>,</w:t>
      </w:r>
      <w:r w:rsidR="00B04184">
        <w:rPr>
          <w:lang w:eastAsia="en-AU"/>
        </w:rPr>
        <w:t xml:space="preserve"> </w:t>
      </w:r>
      <w:r w:rsidR="007254B7">
        <w:rPr>
          <w:lang w:eastAsia="en-AU"/>
        </w:rPr>
        <w:t>focus</w:t>
      </w:r>
      <w:r w:rsidR="00236A91">
        <w:rPr>
          <w:lang w:eastAsia="en-AU"/>
        </w:rPr>
        <w:t>ing</w:t>
      </w:r>
      <w:r w:rsidR="007254B7">
        <w:rPr>
          <w:lang w:eastAsia="en-AU"/>
        </w:rPr>
        <w:t xml:space="preserve"> on</w:t>
      </w:r>
      <w:r w:rsidR="00235761">
        <w:rPr>
          <w:lang w:eastAsia="en-AU"/>
        </w:rPr>
        <w:t xml:space="preserve"> </w:t>
      </w:r>
      <w:r>
        <w:rPr>
          <w:lang w:eastAsia="en-AU"/>
        </w:rPr>
        <w:t>building</w:t>
      </w:r>
      <w:r w:rsidR="00235761">
        <w:rPr>
          <w:lang w:eastAsia="en-AU"/>
        </w:rPr>
        <w:t xml:space="preserve"> drought resilience through</w:t>
      </w:r>
      <w:r w:rsidR="007254B7">
        <w:rPr>
          <w:lang w:eastAsia="en-AU"/>
        </w:rPr>
        <w:t xml:space="preserve"> </w:t>
      </w:r>
      <w:r>
        <w:rPr>
          <w:lang w:eastAsia="en-AU"/>
        </w:rPr>
        <w:t>improved</w:t>
      </w:r>
      <w:r w:rsidR="00235761">
        <w:rPr>
          <w:lang w:eastAsia="en-AU"/>
        </w:rPr>
        <w:t xml:space="preserve"> </w:t>
      </w:r>
      <w:r w:rsidR="00235761" w:rsidRPr="002D3F3C">
        <w:rPr>
          <w:lang w:eastAsia="en-AU"/>
        </w:rPr>
        <w:t>economic, environmental and social resilience</w:t>
      </w:r>
      <w:r w:rsidR="00B04184">
        <w:rPr>
          <w:lang w:eastAsia="en-AU"/>
        </w:rPr>
        <w:t>.</w:t>
      </w:r>
      <w:r w:rsidR="00F75BFF">
        <w:rPr>
          <w:lang w:eastAsia="en-AU"/>
        </w:rPr>
        <w:t xml:space="preserve"> The </w:t>
      </w:r>
      <w:hyperlink r:id="rId20" w:history="1">
        <w:r w:rsidR="006D68D4" w:rsidRPr="006D68D4">
          <w:rPr>
            <w:rStyle w:val="Hyperlink"/>
            <w:lang w:eastAsia="en-AU"/>
          </w:rPr>
          <w:t>Funding Plan (2024-2028) Explanatory statement</w:t>
        </w:r>
      </w:hyperlink>
      <w:r w:rsidR="006D68D4">
        <w:rPr>
          <w:lang w:eastAsia="en-AU"/>
        </w:rPr>
        <w:t xml:space="preserve"> provides an explanation of economic, environmental and social resilience.</w:t>
      </w:r>
    </w:p>
    <w:p w14:paraId="2B424028" w14:textId="77777777" w:rsidR="008256D8" w:rsidRDefault="008256D8" w:rsidP="00253015">
      <w:pPr>
        <w:pStyle w:val="Heading3"/>
        <w:numPr>
          <w:ilvl w:val="0"/>
          <w:numId w:val="0"/>
        </w:numPr>
        <w:spacing w:before="160" w:after="160"/>
        <w:ind w:left="964" w:hanging="964"/>
      </w:pPr>
      <w:bookmarkStart w:id="22" w:name="_Toc199162028"/>
      <w:bookmarkEnd w:id="20"/>
      <w:r>
        <w:t>Climate resilience</w:t>
      </w:r>
      <w:bookmarkEnd w:id="22"/>
    </w:p>
    <w:p w14:paraId="003B43FB" w14:textId="5CBB5504" w:rsidR="000E076E" w:rsidRDefault="008256D8" w:rsidP="00001DDB">
      <w:pPr>
        <w:rPr>
          <w:lang w:eastAsia="en-AU"/>
        </w:rPr>
      </w:pPr>
      <w:r w:rsidRPr="006A0FDA">
        <w:rPr>
          <w:lang w:eastAsia="en-AU"/>
        </w:rPr>
        <w:t xml:space="preserve">Drought and climate resilience activities and outcomes are often interconnected. Building resilience in one area can have multiple benefits of building resilience for managing other risks. While drought preparedness and resilience remain the key focus of the </w:t>
      </w:r>
      <w:r w:rsidR="004B2827">
        <w:rPr>
          <w:lang w:eastAsia="en-AU"/>
        </w:rPr>
        <w:t>FDF</w:t>
      </w:r>
      <w:r w:rsidRPr="006A0FDA">
        <w:rPr>
          <w:lang w:eastAsia="en-AU"/>
        </w:rPr>
        <w:t xml:space="preserve">, programs can consider a broader range of climatic risks where they meet the requirements in the </w:t>
      </w:r>
      <w:r w:rsidR="000F5EBE">
        <w:rPr>
          <w:lang w:eastAsia="en-AU"/>
        </w:rPr>
        <w:t xml:space="preserve">Funding </w:t>
      </w:r>
      <w:r w:rsidRPr="006A0FDA">
        <w:rPr>
          <w:lang w:eastAsia="en-AU"/>
        </w:rPr>
        <w:t>Plan</w:t>
      </w:r>
      <w:r w:rsidR="008B1114">
        <w:rPr>
          <w:lang w:eastAsia="en-AU"/>
        </w:rPr>
        <w:t xml:space="preserve"> (2024-2028)</w:t>
      </w:r>
      <w:r w:rsidRPr="006A0FDA">
        <w:rPr>
          <w:lang w:eastAsia="en-AU"/>
        </w:rPr>
        <w:t>.</w:t>
      </w:r>
    </w:p>
    <w:p w14:paraId="27A3FC59" w14:textId="3F96334F" w:rsidR="008256D8" w:rsidRDefault="00C14E44" w:rsidP="00001DDB">
      <w:pPr>
        <w:rPr>
          <w:lang w:eastAsia="en-AU"/>
        </w:rPr>
      </w:pPr>
      <w:r>
        <w:rPr>
          <w:lang w:eastAsia="en-AU"/>
        </w:rPr>
        <w:t>In line with funding principle 6(2)(b), t</w:t>
      </w:r>
      <w:r w:rsidR="008256D8" w:rsidRPr="006A0FDA">
        <w:rPr>
          <w:lang w:eastAsia="en-AU"/>
        </w:rPr>
        <w:t xml:space="preserve">he FDF will support and prioritise </w:t>
      </w:r>
      <w:r w:rsidR="008C0D0A">
        <w:rPr>
          <w:lang w:eastAsia="en-AU"/>
        </w:rPr>
        <w:t xml:space="preserve">activities that achieve </w:t>
      </w:r>
      <w:r w:rsidR="008256D8" w:rsidRPr="006A0FDA">
        <w:rPr>
          <w:lang w:eastAsia="en-AU"/>
        </w:rPr>
        <w:t xml:space="preserve">mutually reinforcing </w:t>
      </w:r>
      <w:r w:rsidR="003F1C4C" w:rsidRPr="006A0FDA">
        <w:rPr>
          <w:lang w:eastAsia="en-AU"/>
        </w:rPr>
        <w:t xml:space="preserve">drought and climate resilience </w:t>
      </w:r>
      <w:r w:rsidR="008256D8" w:rsidRPr="006A0FDA">
        <w:rPr>
          <w:lang w:eastAsia="en-AU"/>
        </w:rPr>
        <w:t>outcomes.</w:t>
      </w:r>
    </w:p>
    <w:p w14:paraId="761CB483" w14:textId="77777777" w:rsidR="00AE2B6B" w:rsidRDefault="00AE2B6B" w:rsidP="00253015">
      <w:pPr>
        <w:pStyle w:val="Heading3"/>
        <w:numPr>
          <w:ilvl w:val="0"/>
          <w:numId w:val="0"/>
        </w:numPr>
        <w:spacing w:before="160" w:after="160"/>
        <w:ind w:left="964" w:hanging="964"/>
      </w:pPr>
      <w:bookmarkStart w:id="23" w:name="_Toc199162029"/>
      <w:r>
        <w:t>Public good</w:t>
      </w:r>
      <w:bookmarkEnd w:id="23"/>
    </w:p>
    <w:p w14:paraId="165EDEC3" w14:textId="085CC72A" w:rsidR="005F6F61" w:rsidRPr="007C1135" w:rsidRDefault="00AE2B6B" w:rsidP="00001DDB">
      <w:pPr>
        <w:rPr>
          <w:lang w:eastAsia="ja-JP"/>
        </w:rPr>
      </w:pPr>
      <w:r w:rsidRPr="00ED297C">
        <w:rPr>
          <w:lang w:eastAsia="ja-JP"/>
        </w:rPr>
        <w:t xml:space="preserve">The objective of the </w:t>
      </w:r>
      <w:r w:rsidR="004B2827">
        <w:rPr>
          <w:lang w:eastAsia="ja-JP"/>
        </w:rPr>
        <w:t>FDF</w:t>
      </w:r>
      <w:r w:rsidRPr="00ED297C">
        <w:rPr>
          <w:lang w:eastAsia="ja-JP"/>
        </w:rPr>
        <w:t xml:space="preserve"> is to enhance the public good by building drought resilience. Consistent with this, the benefits generated from </w:t>
      </w:r>
      <w:r w:rsidR="004B2827">
        <w:rPr>
          <w:lang w:eastAsia="ja-JP"/>
        </w:rPr>
        <w:t>FDF</w:t>
      </w:r>
      <w:r w:rsidR="00DE47C0">
        <w:rPr>
          <w:lang w:eastAsia="ja-JP"/>
        </w:rPr>
        <w:t xml:space="preserve"> funding</w:t>
      </w:r>
      <w:r w:rsidRPr="00ED297C">
        <w:rPr>
          <w:lang w:eastAsia="ja-JP"/>
        </w:rPr>
        <w:t xml:space="preserve"> should be access</w:t>
      </w:r>
      <w:r w:rsidR="00DE47C0">
        <w:rPr>
          <w:lang w:eastAsia="ja-JP"/>
        </w:rPr>
        <w:t>ible</w:t>
      </w:r>
      <w:r w:rsidRPr="00ED297C">
        <w:rPr>
          <w:lang w:eastAsia="ja-JP"/>
        </w:rPr>
        <w:t xml:space="preserve"> and</w:t>
      </w:r>
      <w:r w:rsidR="00B44E3B">
        <w:rPr>
          <w:lang w:eastAsia="ja-JP"/>
        </w:rPr>
        <w:t>/</w:t>
      </w:r>
      <w:r w:rsidRPr="00ED297C">
        <w:rPr>
          <w:lang w:eastAsia="ja-JP"/>
        </w:rPr>
        <w:t xml:space="preserve">or shared by many (public benefits), rather than be captured solely by individual businesses or industries for private commercial </w:t>
      </w:r>
      <w:r w:rsidRPr="007C1135">
        <w:rPr>
          <w:lang w:eastAsia="ja-JP"/>
        </w:rPr>
        <w:t>gain (private benefits).</w:t>
      </w:r>
    </w:p>
    <w:p w14:paraId="6EEEDCE6" w14:textId="13EE7E9C" w:rsidR="005F6F61" w:rsidRPr="00F70C07" w:rsidRDefault="00630ECA" w:rsidP="00001DDB">
      <w:pPr>
        <w:rPr>
          <w:lang w:eastAsia="ja-JP"/>
        </w:rPr>
      </w:pPr>
      <w:r w:rsidRPr="00F70C07">
        <w:rPr>
          <w:lang w:eastAsia="ja-JP"/>
        </w:rPr>
        <w:t xml:space="preserve">Public good may be established where there </w:t>
      </w:r>
      <w:proofErr w:type="gramStart"/>
      <w:r w:rsidRPr="00F70C07">
        <w:rPr>
          <w:lang w:eastAsia="ja-JP"/>
        </w:rPr>
        <w:t>are</w:t>
      </w:r>
      <w:proofErr w:type="gramEnd"/>
      <w:r w:rsidRPr="00F70C07">
        <w:rPr>
          <w:lang w:eastAsia="ja-JP"/>
        </w:rPr>
        <w:t xml:space="preserve"> significant spill over benefits for society and the economy, well beyond those derived by private beneficiaries. Wherever activities could deliver both public and private benefits, relevant decisions should seek to leverage private or industry co-contributions (financial or in</w:t>
      </w:r>
      <w:r w:rsidR="00CF0DCE" w:rsidRPr="00F70C07">
        <w:rPr>
          <w:lang w:eastAsia="ja-JP"/>
        </w:rPr>
        <w:t>-</w:t>
      </w:r>
      <w:r w:rsidRPr="00F70C07">
        <w:rPr>
          <w:lang w:eastAsia="ja-JP"/>
        </w:rPr>
        <w:t>kind) to offset private gains, where appropriate</w:t>
      </w:r>
      <w:r w:rsidR="00A86E20">
        <w:rPr>
          <w:lang w:eastAsia="ja-JP"/>
        </w:rPr>
        <w:t xml:space="preserve"> (see </w:t>
      </w:r>
      <w:hyperlink w:anchor="_Co-contributions" w:history="1">
        <w:r w:rsidR="00A86E20" w:rsidRPr="00A86E20">
          <w:rPr>
            <w:rStyle w:val="Hyperlink"/>
            <w:lang w:eastAsia="ja-JP"/>
          </w:rPr>
          <w:t>Co-contributions</w:t>
        </w:r>
      </w:hyperlink>
      <w:r w:rsidR="00A86E20">
        <w:rPr>
          <w:lang w:eastAsia="ja-JP"/>
        </w:rPr>
        <w:t>)</w:t>
      </w:r>
      <w:r w:rsidR="00D85288">
        <w:rPr>
          <w:lang w:eastAsia="ja-JP"/>
        </w:rPr>
        <w:t>.</w:t>
      </w:r>
      <w:r w:rsidR="00576FFD">
        <w:rPr>
          <w:lang w:eastAsia="ja-JP"/>
        </w:rPr>
        <w:t xml:space="preserve"> </w:t>
      </w:r>
      <w:r w:rsidR="007C1135" w:rsidRPr="00F70C07">
        <w:rPr>
          <w:lang w:eastAsia="ja-JP"/>
        </w:rPr>
        <w:t>Other relevant considerations include achieving value for money (including where the benefits achievable from the funding outweigh the costs) and maximising the impact of activities across Australia.</w:t>
      </w:r>
    </w:p>
    <w:p w14:paraId="040354FB" w14:textId="29B34390" w:rsidR="00AE2B6B" w:rsidRPr="00630ECA" w:rsidRDefault="00AE2B6B" w:rsidP="00001DDB">
      <w:pPr>
        <w:rPr>
          <w:lang w:eastAsia="ja-JP"/>
        </w:rPr>
      </w:pPr>
      <w:r w:rsidRPr="00630ECA">
        <w:rPr>
          <w:lang w:eastAsia="ja-JP"/>
        </w:rPr>
        <w:t xml:space="preserve">Examples of activities that enhance the public good </w:t>
      </w:r>
      <w:r w:rsidR="00630ECA" w:rsidRPr="00630ECA">
        <w:rPr>
          <w:lang w:eastAsia="ja-JP"/>
        </w:rPr>
        <w:t xml:space="preserve">by building drought resilience </w:t>
      </w:r>
      <w:r w:rsidRPr="00630ECA">
        <w:rPr>
          <w:lang w:eastAsia="ja-JP"/>
        </w:rPr>
        <w:t>may include those that:</w:t>
      </w:r>
    </w:p>
    <w:p w14:paraId="0EDFDE7A" w14:textId="694C4780" w:rsidR="00AE2B6B" w:rsidRPr="00001DDB" w:rsidRDefault="00A1498F" w:rsidP="00001DDB">
      <w:pPr>
        <w:pStyle w:val="ListBullet"/>
      </w:pPr>
      <w:r w:rsidRPr="00001DDB">
        <w:t>a</w:t>
      </w:r>
      <w:r w:rsidR="00AE2B6B" w:rsidRPr="00001DDB">
        <w:t>ddress information gaps</w:t>
      </w:r>
    </w:p>
    <w:p w14:paraId="3D66B820" w14:textId="58CFA27E" w:rsidR="00AE2B6B" w:rsidRPr="00001DDB" w:rsidRDefault="00A1498F" w:rsidP="00001DDB">
      <w:pPr>
        <w:pStyle w:val="ListBullet"/>
      </w:pPr>
      <w:r w:rsidRPr="00001DDB">
        <w:t>d</w:t>
      </w:r>
      <w:r w:rsidR="00AE2B6B" w:rsidRPr="00001DDB">
        <w:t>rive collective behavioural change or change at scale</w:t>
      </w:r>
    </w:p>
    <w:p w14:paraId="28B27A3E" w14:textId="7A570368" w:rsidR="00AE2B6B" w:rsidRPr="00001DDB" w:rsidRDefault="00A1498F" w:rsidP="00001DDB">
      <w:pPr>
        <w:pStyle w:val="ListBullet"/>
      </w:pPr>
      <w:r w:rsidRPr="00001DDB">
        <w:t>m</w:t>
      </w:r>
      <w:r w:rsidR="00AE2B6B" w:rsidRPr="00001DDB">
        <w:t>aximise the value of research and development</w:t>
      </w:r>
    </w:p>
    <w:p w14:paraId="62087576" w14:textId="767AF4A2" w:rsidR="00AE2B6B" w:rsidRPr="00001DDB" w:rsidRDefault="00A1498F" w:rsidP="00001DDB">
      <w:pPr>
        <w:pStyle w:val="ListBullet"/>
      </w:pPr>
      <w:r w:rsidRPr="00001DDB">
        <w:t>e</w:t>
      </w:r>
      <w:r w:rsidR="00AE2B6B" w:rsidRPr="00001DDB">
        <w:t>nhance the natural resource base</w:t>
      </w:r>
    </w:p>
    <w:p w14:paraId="798F2101" w14:textId="0A0C8E65" w:rsidR="00AE2B6B" w:rsidRPr="00001DDB" w:rsidRDefault="00A1498F" w:rsidP="00001DDB">
      <w:pPr>
        <w:pStyle w:val="ListBullet"/>
      </w:pPr>
      <w:r w:rsidRPr="00001DDB">
        <w:t>b</w:t>
      </w:r>
      <w:r w:rsidR="00AE2B6B" w:rsidRPr="00001DDB">
        <w:t>uild human capital through improved decision-making</w:t>
      </w:r>
    </w:p>
    <w:p w14:paraId="02F22E36" w14:textId="3EABF2CD" w:rsidR="00AE2B6B" w:rsidRPr="00001DDB" w:rsidRDefault="00A1498F" w:rsidP="00001DDB">
      <w:pPr>
        <w:pStyle w:val="ListBullet"/>
      </w:pPr>
      <w:r w:rsidRPr="00001DDB">
        <w:t>b</w:t>
      </w:r>
      <w:r w:rsidR="00AE2B6B" w:rsidRPr="00001DDB">
        <w:t xml:space="preserve">uild social capital through strengthening networks </w:t>
      </w:r>
    </w:p>
    <w:p w14:paraId="1FE37110" w14:textId="4FEBADB9" w:rsidR="00AE2B6B" w:rsidRPr="00001DDB" w:rsidRDefault="00A1498F" w:rsidP="00001DDB">
      <w:pPr>
        <w:pStyle w:val="ListBullet"/>
      </w:pPr>
      <w:r w:rsidRPr="00001DDB">
        <w:t>s</w:t>
      </w:r>
      <w:r w:rsidR="00AE2B6B" w:rsidRPr="00001DDB">
        <w:t>hare knowledge</w:t>
      </w:r>
    </w:p>
    <w:p w14:paraId="5242A538" w14:textId="19859A11" w:rsidR="008D18E3" w:rsidRPr="00001DDB" w:rsidRDefault="00A1498F" w:rsidP="00001DDB">
      <w:pPr>
        <w:pStyle w:val="ListBullet"/>
      </w:pPr>
      <w:r w:rsidRPr="00001DDB">
        <w:t>i</w:t>
      </w:r>
      <w:r w:rsidR="00AE2B6B" w:rsidRPr="00001DDB">
        <w:t>mprove overall well-being.</w:t>
      </w:r>
    </w:p>
    <w:p w14:paraId="5914B68D" w14:textId="7BC1BB7D" w:rsidR="008256D8" w:rsidRPr="000E707D" w:rsidRDefault="008256D8" w:rsidP="00253015">
      <w:pPr>
        <w:pStyle w:val="Heading3"/>
        <w:numPr>
          <w:ilvl w:val="0"/>
          <w:numId w:val="0"/>
        </w:numPr>
        <w:spacing w:before="160" w:after="160"/>
        <w:ind w:left="964" w:hanging="964"/>
      </w:pPr>
      <w:bookmarkStart w:id="24" w:name="_Co-contributions"/>
      <w:bookmarkStart w:id="25" w:name="_Ref198798794"/>
      <w:bookmarkStart w:id="26" w:name="_Toc199162030"/>
      <w:bookmarkEnd w:id="24"/>
      <w:r w:rsidRPr="000E707D">
        <w:lastRenderedPageBreak/>
        <w:t>Co-contributions</w:t>
      </w:r>
      <w:bookmarkEnd w:id="25"/>
      <w:bookmarkEnd w:id="26"/>
    </w:p>
    <w:p w14:paraId="255AB4A6" w14:textId="4B510C15" w:rsidR="00D60DF0" w:rsidRDefault="00D60DF0" w:rsidP="00001DDB">
      <w:pPr>
        <w:rPr>
          <w:lang w:eastAsia="en-AU"/>
        </w:rPr>
      </w:pPr>
      <w:r w:rsidRPr="00D60DF0">
        <w:rPr>
          <w:lang w:eastAsia="en-AU"/>
        </w:rPr>
        <w:t>Co-contributions are financial or in-kind investments provided alongside program funding</w:t>
      </w:r>
      <w:r w:rsidR="000911D8">
        <w:rPr>
          <w:lang w:eastAsia="en-AU"/>
        </w:rPr>
        <w:t>.</w:t>
      </w:r>
      <w:r w:rsidRPr="00D60DF0">
        <w:rPr>
          <w:lang w:eastAsia="en-AU"/>
        </w:rPr>
        <w:t xml:space="preserve"> </w:t>
      </w:r>
      <w:r w:rsidR="000911D8">
        <w:rPr>
          <w:lang w:eastAsia="en-AU"/>
        </w:rPr>
        <w:t>They</w:t>
      </w:r>
      <w:r w:rsidRPr="00D60DF0">
        <w:rPr>
          <w:lang w:eastAsia="en-AU"/>
        </w:rPr>
        <w:t xml:space="preserve"> strengthen outcomes and ensure that initiatives deliver public benefi</w:t>
      </w:r>
      <w:r>
        <w:rPr>
          <w:lang w:eastAsia="en-AU"/>
        </w:rPr>
        <w:t>ts</w:t>
      </w:r>
      <w:r w:rsidR="000911D8">
        <w:rPr>
          <w:lang w:eastAsia="en-AU"/>
        </w:rPr>
        <w:t xml:space="preserve"> by </w:t>
      </w:r>
      <w:r>
        <w:rPr>
          <w:lang w:eastAsia="en-AU"/>
        </w:rPr>
        <w:t>offset</w:t>
      </w:r>
      <w:r w:rsidR="000911D8">
        <w:rPr>
          <w:lang w:eastAsia="en-AU"/>
        </w:rPr>
        <w:t>ting</w:t>
      </w:r>
      <w:r>
        <w:rPr>
          <w:lang w:eastAsia="en-AU"/>
        </w:rPr>
        <w:t xml:space="preserve"> private gain.</w:t>
      </w:r>
    </w:p>
    <w:p w14:paraId="1CF44862" w14:textId="22437252" w:rsidR="008B5A07" w:rsidRDefault="008256D8" w:rsidP="00001DDB">
      <w:pPr>
        <w:rPr>
          <w:lang w:eastAsia="en-AU"/>
        </w:rPr>
      </w:pPr>
      <w:r w:rsidRPr="007C26CE">
        <w:rPr>
          <w:lang w:eastAsia="en-AU"/>
        </w:rPr>
        <w:t>Depending on the circumstances, these co-contributions could for example, come from a state or territory government, private investor, universities or another research organisation, philanthropic organisation or an individual.</w:t>
      </w:r>
    </w:p>
    <w:p w14:paraId="0AAC1F5C" w14:textId="4B1A4B2C" w:rsidR="008256D8" w:rsidRDefault="008256D8" w:rsidP="00001DDB">
      <w:pPr>
        <w:rPr>
          <w:lang w:eastAsia="en-AU"/>
        </w:rPr>
      </w:pPr>
      <w:r w:rsidRPr="007C26CE">
        <w:rPr>
          <w:lang w:eastAsia="en-AU"/>
        </w:rPr>
        <w:t>Leveraging co-contributions acknowledges that the benefits and role of building drought preparedness and resilience in agriculture are shared across many sectors of the economy and all levels of government.</w:t>
      </w:r>
      <w:r w:rsidR="00A765A1">
        <w:rPr>
          <w:lang w:eastAsia="en-AU"/>
        </w:rPr>
        <w:t xml:space="preserve"> Mandatory</w:t>
      </w:r>
      <w:r w:rsidRPr="007C26CE">
        <w:rPr>
          <w:lang w:eastAsia="en-AU"/>
        </w:rPr>
        <w:t xml:space="preserve"> </w:t>
      </w:r>
      <w:r w:rsidR="00A765A1">
        <w:rPr>
          <w:lang w:eastAsia="en-AU"/>
        </w:rPr>
        <w:t>c</w:t>
      </w:r>
      <w:r w:rsidRPr="007C26CE">
        <w:rPr>
          <w:lang w:eastAsia="en-AU"/>
        </w:rPr>
        <w:t>o-investment may be less appropriate where it would create a substantial barrier to uptake, for example where there is a known market failure or where a small community or community organisation cannot contribute due to financial constraints.</w:t>
      </w:r>
    </w:p>
    <w:p w14:paraId="07B83301" w14:textId="77777777" w:rsidR="008256D8" w:rsidRDefault="008256D8" w:rsidP="00253015">
      <w:pPr>
        <w:pStyle w:val="Heading3"/>
        <w:numPr>
          <w:ilvl w:val="0"/>
          <w:numId w:val="0"/>
        </w:numPr>
        <w:spacing w:before="160" w:after="160"/>
        <w:ind w:left="964" w:hanging="964"/>
      </w:pPr>
      <w:bookmarkStart w:id="27" w:name="_Toc199162031"/>
      <w:r>
        <w:t>Transformational change</w:t>
      </w:r>
      <w:bookmarkEnd w:id="27"/>
    </w:p>
    <w:p w14:paraId="40895FF1" w14:textId="53E6D6E4" w:rsidR="008256D8" w:rsidRPr="00F339F0" w:rsidRDefault="008256D8" w:rsidP="00001DDB">
      <w:r>
        <w:t>Transformation</w:t>
      </w:r>
      <w:r w:rsidR="00A1498F">
        <w:t>al</w:t>
      </w:r>
      <w:r>
        <w:t xml:space="preserve"> change is t</w:t>
      </w:r>
      <w:r w:rsidRPr="00F339F0">
        <w:t>he ability to undertake wholescale change of a system when adverse events or risks make the current system untenable</w:t>
      </w:r>
      <w:r>
        <w:t>,</w:t>
      </w:r>
      <w:r w:rsidRPr="00F339F0">
        <w:t xml:space="preserve"> i.e. changes to the fundamental attributes of a soci</w:t>
      </w:r>
      <w:r w:rsidR="00562162">
        <w:t>al-</w:t>
      </w:r>
      <w:r w:rsidRPr="00F339F0">
        <w:t xml:space="preserve">ecological system. It is a way of doing things differently and innovatively when </w:t>
      </w:r>
      <w:proofErr w:type="gramStart"/>
      <w:r w:rsidRPr="00F339F0">
        <w:t>it is clear that the</w:t>
      </w:r>
      <w:proofErr w:type="gramEnd"/>
      <w:r w:rsidRPr="00F339F0">
        <w:t xml:space="preserve"> current system is untenable and losing its resilience – for example</w:t>
      </w:r>
      <w:r>
        <w:t>,</w:t>
      </w:r>
      <w:r w:rsidRPr="00F339F0">
        <w:t xml:space="preserve"> transforming from irrigated to dry crop production when water becomes scarce.</w:t>
      </w:r>
    </w:p>
    <w:p w14:paraId="71326B54" w14:textId="4A3C927C" w:rsidR="008256D8" w:rsidRDefault="008256D8" w:rsidP="00001DDB">
      <w:r w:rsidRPr="00F339F0">
        <w:t>Transformational change is context dependent. While change at a large spatial scale may be transformational, it can also be achieved at smaller scales, including within a business. Transformational changes at smaller scale (farm/business) are often required to maintain resilience at larger scale (</w:t>
      </w:r>
      <w:r w:rsidR="00A1498F">
        <w:t xml:space="preserve">for example, </w:t>
      </w:r>
      <w:r w:rsidRPr="00F339F0">
        <w:t>broad landscape). The level of change that counts as ‘transformational’ is subjective and relative</w:t>
      </w:r>
      <w:r>
        <w:t xml:space="preserve"> –</w:t>
      </w:r>
      <w:r w:rsidRPr="00F339F0">
        <w:t xml:space="preserve"> considering the difference between a deliberate change (beyond what would typically occur) versus a background change.</w:t>
      </w:r>
    </w:p>
    <w:p w14:paraId="39DCB882" w14:textId="41F08564" w:rsidR="00AF3162" w:rsidRDefault="00AF3162" w:rsidP="00001DDB">
      <w:r w:rsidRPr="00AF3162">
        <w:t xml:space="preserve">Transformational change is a key feature of the second phase of the FDF. However, </w:t>
      </w:r>
      <w:r w:rsidR="00E66FB6">
        <w:t xml:space="preserve">we </w:t>
      </w:r>
      <w:r w:rsidRPr="00AF3162">
        <w:t>recognise that such change should not be forced on those who are not ready, and that greater consideration</w:t>
      </w:r>
      <w:r w:rsidR="00A17C54">
        <w:t xml:space="preserve"> should be</w:t>
      </w:r>
      <w:r w:rsidRPr="00AF3162">
        <w:t xml:space="preserve"> given to the unique circumstances and contexts of farmers and regions.</w:t>
      </w:r>
    </w:p>
    <w:p w14:paraId="5FCC114F" w14:textId="77777777" w:rsidR="001B0882" w:rsidRPr="009E73B5" w:rsidRDefault="001B0882" w:rsidP="00253015">
      <w:pPr>
        <w:pStyle w:val="Heading3"/>
        <w:numPr>
          <w:ilvl w:val="0"/>
          <w:numId w:val="0"/>
        </w:numPr>
        <w:spacing w:before="160" w:after="160"/>
        <w:ind w:left="964" w:hanging="964"/>
      </w:pPr>
      <w:bookmarkStart w:id="28" w:name="_Toc199162032"/>
      <w:r w:rsidRPr="00B44C7E">
        <w:t>In-drought assistance</w:t>
      </w:r>
      <w:bookmarkEnd w:id="28"/>
    </w:p>
    <w:p w14:paraId="7463721C" w14:textId="6FCEA88D" w:rsidR="006D68D4" w:rsidRDefault="006D68D4" w:rsidP="00001DDB">
      <w:r w:rsidRPr="004C4443">
        <w:t xml:space="preserve">In </w:t>
      </w:r>
      <w:r>
        <w:t>alignment</w:t>
      </w:r>
      <w:r w:rsidRPr="004C4443">
        <w:t xml:space="preserve"> with</w:t>
      </w:r>
      <w:r>
        <w:t xml:space="preserve"> the</w:t>
      </w:r>
      <w:r w:rsidRPr="004C4443">
        <w:t xml:space="preserve"> </w:t>
      </w:r>
      <w:hyperlink r:id="rId21" w:history="1">
        <w:r>
          <w:rPr>
            <w:rStyle w:val="Hyperlink"/>
          </w:rPr>
          <w:t>National Drought Agreement</w:t>
        </w:r>
      </w:hyperlink>
      <w:r>
        <w:t xml:space="preserve"> (NDA)</w:t>
      </w:r>
      <w:r w:rsidRPr="004C4443">
        <w:t xml:space="preserve"> and the </w:t>
      </w:r>
      <w:hyperlink r:id="rId22" w:history="1">
        <w:r w:rsidRPr="00003C94">
          <w:rPr>
            <w:rStyle w:val="Hyperlink"/>
          </w:rPr>
          <w:t>Australian Government Drought Plan</w:t>
        </w:r>
      </w:hyperlink>
      <w:r>
        <w:t xml:space="preserve"> (Drought Plan)</w:t>
      </w:r>
      <w:r w:rsidRPr="004C4443">
        <w:t>,</w:t>
      </w:r>
      <w:r>
        <w:t xml:space="preserve"> the</w:t>
      </w:r>
      <w:r w:rsidRPr="004C4443">
        <w:t xml:space="preserve"> FDF contribute</w:t>
      </w:r>
      <w:r>
        <w:t>s</w:t>
      </w:r>
      <w:r w:rsidRPr="004C4443">
        <w:t xml:space="preserve"> to the government’s proactive approach to drought and the delivery of its drought policy. FDF programs and activities </w:t>
      </w:r>
      <w:r w:rsidR="00040916">
        <w:t>are designed to enhance drought preparedness and resilience</w:t>
      </w:r>
      <w:r w:rsidRPr="004C4443">
        <w:t xml:space="preserve"> across the drought cycle </w:t>
      </w:r>
      <w:r w:rsidR="00B8058A">
        <w:t>a</w:t>
      </w:r>
      <w:r w:rsidR="00040916">
        <w:t xml:space="preserve">s outlined in the </w:t>
      </w:r>
      <w:r w:rsidRPr="004C4443">
        <w:t>Drought Plan.</w:t>
      </w:r>
    </w:p>
    <w:p w14:paraId="05E4B173" w14:textId="1E8C5F88" w:rsidR="00040916" w:rsidRPr="00691B2D" w:rsidRDefault="00040916" w:rsidP="00001DDB">
      <w:r>
        <w:t xml:space="preserve">Under the NDA the Australian Government is responsible </w:t>
      </w:r>
      <w:r w:rsidR="00C22AD8">
        <w:t xml:space="preserve">for </w:t>
      </w:r>
      <w:r>
        <w:t>delivering</w:t>
      </w:r>
      <w:r w:rsidRPr="00702C93">
        <w:t xml:space="preserve"> national programs</w:t>
      </w:r>
      <w:r>
        <w:t xml:space="preserve"> such as farm household support payments and agricultural risk management incentives (e.g. tax concessions and concessional loans), improving and maintaining nationally consistent drought indicator information</w:t>
      </w:r>
      <w:r w:rsidR="00B176D0">
        <w:t xml:space="preserve"> and for providing secretariat services for the NDA</w:t>
      </w:r>
      <w:r>
        <w:t xml:space="preserve">. The Australian Government is also responsible for administering the </w:t>
      </w:r>
      <w:r w:rsidRPr="00691B2D">
        <w:t>FDF</w:t>
      </w:r>
      <w:r>
        <w:t xml:space="preserve">, including providing </w:t>
      </w:r>
      <w:r w:rsidRPr="000B232F">
        <w:t>continued information on</w:t>
      </w:r>
      <w:r>
        <w:t>,</w:t>
      </w:r>
      <w:r w:rsidRPr="000B232F">
        <w:t xml:space="preserve"> and access to</w:t>
      </w:r>
      <w:r>
        <w:t>,</w:t>
      </w:r>
      <w:r w:rsidRPr="000B232F">
        <w:t xml:space="preserve"> drought resilience and preparedness activities</w:t>
      </w:r>
      <w:r>
        <w:t xml:space="preserve"> through the FDF including:</w:t>
      </w:r>
    </w:p>
    <w:p w14:paraId="31783BA8" w14:textId="6C229147" w:rsidR="00040916" w:rsidRPr="00001DDB" w:rsidRDefault="00040916" w:rsidP="00001DDB">
      <w:pPr>
        <w:pStyle w:val="ListBullet"/>
      </w:pPr>
      <w:r w:rsidRPr="00001DDB">
        <w:t>working with state and territory governments to co-design programs that are dependent on interjurisdictional implementation</w:t>
      </w:r>
      <w:r w:rsidR="00ED3586" w:rsidRPr="00001DDB">
        <w:t>.</w:t>
      </w:r>
    </w:p>
    <w:p w14:paraId="3D052B26" w14:textId="665F6A9E" w:rsidR="00040916" w:rsidRPr="00001DDB" w:rsidRDefault="00040916" w:rsidP="00001DDB">
      <w:pPr>
        <w:pStyle w:val="ListBullet"/>
      </w:pPr>
      <w:r w:rsidRPr="00001DDB">
        <w:t>undertaking proactive consultation with state and territory governments when designing other FDF programs.</w:t>
      </w:r>
    </w:p>
    <w:p w14:paraId="0EB69985" w14:textId="389CF608" w:rsidR="00040916" w:rsidRDefault="001B0882" w:rsidP="00001DDB">
      <w:r w:rsidRPr="008F25F3">
        <w:lastRenderedPageBreak/>
        <w:t xml:space="preserve">FDF programs, grants and arrangements are available throughout the drought cycle. The FDF programs, grants and arrangements </w:t>
      </w:r>
      <w:r w:rsidR="00040916">
        <w:t>do</w:t>
      </w:r>
      <w:r w:rsidR="00040916" w:rsidRPr="008F25F3">
        <w:t xml:space="preserve"> </w:t>
      </w:r>
      <w:r w:rsidRPr="008F25F3">
        <w:t>not provide in-drought hardship support</w:t>
      </w:r>
      <w:r w:rsidR="00A17C54">
        <w:t xml:space="preserve">. The </w:t>
      </w:r>
      <w:r>
        <w:t>F</w:t>
      </w:r>
      <w:r w:rsidRPr="008F25F3">
        <w:t xml:space="preserve">unding </w:t>
      </w:r>
      <w:r>
        <w:t>P</w:t>
      </w:r>
      <w:r w:rsidRPr="008F25F3">
        <w:t>lan</w:t>
      </w:r>
      <w:r>
        <w:t xml:space="preserve"> (2024-2028) </w:t>
      </w:r>
      <w:r w:rsidRPr="008F25F3">
        <w:t>specifically excludes in</w:t>
      </w:r>
      <w:r w:rsidR="00003C94">
        <w:t>-</w:t>
      </w:r>
      <w:r w:rsidRPr="008F25F3">
        <w:t>drought assistance</w:t>
      </w:r>
      <w:bookmarkStart w:id="29" w:name="_Hlk199172072"/>
      <w:r w:rsidR="00003C94">
        <w:t xml:space="preserve"> to directly address hardship</w:t>
      </w:r>
      <w:bookmarkEnd w:id="29"/>
      <w:r w:rsidR="00003C94">
        <w:t>,</w:t>
      </w:r>
      <w:r>
        <w:t xml:space="preserve"> and the duplication of </w:t>
      </w:r>
      <w:r w:rsidRPr="009E73B5">
        <w:t>existing sources of support.</w:t>
      </w:r>
      <w:r>
        <w:t xml:space="preserve"> </w:t>
      </w:r>
      <w:r w:rsidRPr="008F25F3">
        <w:t>Drought preparedness and resilience remain the key focus of the FDF; however</w:t>
      </w:r>
      <w:r>
        <w:t>,</w:t>
      </w:r>
      <w:r w:rsidRPr="008F25F3">
        <w:t xml:space="preserve"> its activities and their outcomes have utility across the drought cycle</w:t>
      </w:r>
      <w:r>
        <w:t>.</w:t>
      </w:r>
    </w:p>
    <w:p w14:paraId="70D09745" w14:textId="1AA97165" w:rsidR="00040916" w:rsidRDefault="001B0882" w:rsidP="00001DDB">
      <w:r w:rsidRPr="004C4443">
        <w:t>FDF programs are designed to be flexible and responsive to on-ground conditions, particularly when drought conditions arise. For example, the Farm Business Resilience program has in-built flexibility to tailor activities to reflect the circumstances and needs of farmers during different stages of the drought cycle. Likewise, under the Regional Drought Resilience Planning program, regions may prioritise implementing actions in their plans that enable them to better manage through or recover from drought, thereby strengthening their drought resilience.</w:t>
      </w:r>
    </w:p>
    <w:p w14:paraId="356082EF" w14:textId="5B2BABB7" w:rsidR="00581063" w:rsidRDefault="00581063" w:rsidP="008619DB">
      <w:pPr>
        <w:pStyle w:val="Heading3"/>
        <w:numPr>
          <w:ilvl w:val="0"/>
          <w:numId w:val="0"/>
        </w:numPr>
        <w:spacing w:before="160" w:after="160"/>
        <w:ind w:left="964" w:hanging="964"/>
      </w:pPr>
      <w:bookmarkStart w:id="30" w:name="_Toc199162033"/>
      <w:r w:rsidRPr="00581063">
        <w:t>Knowledge sharing and access to information</w:t>
      </w:r>
      <w:bookmarkEnd w:id="30"/>
    </w:p>
    <w:p w14:paraId="4CCB2654" w14:textId="092C9777" w:rsidR="00581063" w:rsidRDefault="00B8058A" w:rsidP="00001DDB">
      <w:r>
        <w:t xml:space="preserve">FDF </w:t>
      </w:r>
      <w:r w:rsidR="00581063">
        <w:t xml:space="preserve">activities generate a wealth of information and knowledge that assists </w:t>
      </w:r>
      <w:r>
        <w:t>in</w:t>
      </w:r>
      <w:r w:rsidR="00581063">
        <w:t xml:space="preserve"> build</w:t>
      </w:r>
      <w:r>
        <w:t>ing</w:t>
      </w:r>
      <w:r w:rsidR="00581063">
        <w:t xml:space="preserve"> drought resilience. This knowledge is a valuable public resource. Sharing it supports the dissemination of drought resilience strategies among agricultural businesses and communities, facilitating their application. Knowledge sharing is a core rationale for public investment in FDF activities as it extends and amplifies public benefits.</w:t>
      </w:r>
    </w:p>
    <w:p w14:paraId="0F060AC9" w14:textId="3B998410" w:rsidR="00E01585" w:rsidRPr="00E01585" w:rsidRDefault="00B8058A" w:rsidP="00001DDB">
      <w:pPr>
        <w:rPr>
          <w:bCs/>
        </w:rPr>
      </w:pPr>
      <w:r w:rsidRPr="00D250B9">
        <w:rPr>
          <w:bCs/>
        </w:rPr>
        <w:t>T</w:t>
      </w:r>
      <w:r w:rsidR="00581063" w:rsidRPr="00D250B9">
        <w:rPr>
          <w:bCs/>
        </w:rPr>
        <w:t>ransparency and public access to government information are</w:t>
      </w:r>
      <w:r w:rsidRPr="00D250B9">
        <w:rPr>
          <w:bCs/>
        </w:rPr>
        <w:t xml:space="preserve"> also</w:t>
      </w:r>
      <w:r w:rsidR="00581063" w:rsidRPr="00D250B9">
        <w:rPr>
          <w:bCs/>
        </w:rPr>
        <w:t xml:space="preserve"> </w:t>
      </w:r>
      <w:r w:rsidRPr="00D250B9">
        <w:rPr>
          <w:bCs/>
        </w:rPr>
        <w:t>important</w:t>
      </w:r>
      <w:r w:rsidR="00581063" w:rsidRPr="00D250B9">
        <w:rPr>
          <w:bCs/>
        </w:rPr>
        <w:t>. Open access to</w:t>
      </w:r>
      <w:r w:rsidR="00246009" w:rsidRPr="00D250B9">
        <w:rPr>
          <w:bCs/>
        </w:rPr>
        <w:t xml:space="preserve"> FDF information and the</w:t>
      </w:r>
      <w:r w:rsidRPr="00D250B9">
        <w:rPr>
          <w:bCs/>
        </w:rPr>
        <w:t xml:space="preserve"> data and knowledge</w:t>
      </w:r>
      <w:r w:rsidR="00246009" w:rsidRPr="00D250B9">
        <w:rPr>
          <w:bCs/>
        </w:rPr>
        <w:t xml:space="preserve"> gained</w:t>
      </w:r>
      <w:r w:rsidRPr="00D250B9">
        <w:rPr>
          <w:bCs/>
        </w:rPr>
        <w:t xml:space="preserve"> from </w:t>
      </w:r>
      <w:r w:rsidR="00581063" w:rsidRPr="00D250B9">
        <w:rPr>
          <w:bCs/>
        </w:rPr>
        <w:t xml:space="preserve">FDF </w:t>
      </w:r>
      <w:r w:rsidRPr="00D250B9">
        <w:rPr>
          <w:bCs/>
        </w:rPr>
        <w:t xml:space="preserve">funded </w:t>
      </w:r>
      <w:r w:rsidR="00581063" w:rsidRPr="00D250B9">
        <w:rPr>
          <w:bCs/>
        </w:rPr>
        <w:t xml:space="preserve">activities enhances the community's ability to engage with the </w:t>
      </w:r>
      <w:r w:rsidR="00EA2E30" w:rsidRPr="00D250B9">
        <w:rPr>
          <w:bCs/>
        </w:rPr>
        <w:t>d</w:t>
      </w:r>
      <w:r w:rsidR="00581063" w:rsidRPr="00D250B9">
        <w:rPr>
          <w:bCs/>
        </w:rPr>
        <w:t>epartment and its delivery partners about FDF programs and activities. Information sharing enables the community to contribute to program development, participate in program delivery, provide evidence for decision-making, and evaluate performance. A free flow of information between government, businesses, and the community can also stimulate innovation, benefiting the nation economically and socially.</w:t>
      </w:r>
      <w:bookmarkStart w:id="31" w:name="_Appendix_B:_Considering"/>
      <w:bookmarkEnd w:id="31"/>
    </w:p>
    <w:p w14:paraId="357599B6" w14:textId="77777777" w:rsidR="00076CA5" w:rsidRDefault="00076CA5" w:rsidP="00076CA5">
      <w:pPr>
        <w:pStyle w:val="Normalsmall"/>
        <w:spacing w:before="480" w:after="0"/>
      </w:pPr>
      <w:r>
        <w:rPr>
          <w:rStyle w:val="Strong"/>
        </w:rPr>
        <w:t>Acknowledgement of Country</w:t>
      </w:r>
    </w:p>
    <w:p w14:paraId="7B96A7FE" w14:textId="77777777" w:rsidR="00076CA5" w:rsidRDefault="00076CA5" w:rsidP="00076CA5">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5DB7A30C" w14:textId="77777777" w:rsidR="00076CA5" w:rsidRDefault="00076CA5" w:rsidP="00076CA5">
      <w:pPr>
        <w:pStyle w:val="Normalsmall"/>
        <w:spacing w:before="360"/>
      </w:pPr>
      <w:r>
        <w:t>© Commonwealth of Australia 2026</w:t>
      </w:r>
    </w:p>
    <w:p w14:paraId="68F6F33A" w14:textId="77777777" w:rsidR="00076CA5" w:rsidRDefault="00076CA5" w:rsidP="00076CA5">
      <w:pPr>
        <w:pStyle w:val="Normalsmall"/>
      </w:pPr>
      <w:r>
        <w:t>Unless otherwise noted, copyright (and any other intellectual property rights) in this publication is owned by the Commonwealth of Australia (referred to as the Commonwealth).</w:t>
      </w:r>
    </w:p>
    <w:p w14:paraId="64DDD92D" w14:textId="77777777" w:rsidR="00076CA5" w:rsidRDefault="00076CA5" w:rsidP="00076CA5">
      <w:pPr>
        <w:pStyle w:val="Normalsmall"/>
      </w:pPr>
      <w:r>
        <w:t xml:space="preserve">All material in this publication is licensed under a </w:t>
      </w:r>
      <w:hyperlink r:id="rId23" w:history="1">
        <w:r>
          <w:rPr>
            <w:rStyle w:val="Hyperlink"/>
          </w:rPr>
          <w:t>Creative Commons Attribution 4.0 International Licence</w:t>
        </w:r>
      </w:hyperlink>
      <w:r>
        <w:t xml:space="preserve"> except content supplied by third parties, logos and the Commonwealth Coat of Arms.</w:t>
      </w:r>
    </w:p>
    <w:p w14:paraId="3ABDCDE6" w14:textId="2680CC4A" w:rsidR="005C13A1" w:rsidRPr="00436AE2" w:rsidRDefault="00076CA5" w:rsidP="00001DDB">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C13A1" w:rsidRPr="00436AE2" w:rsidSect="001667C9">
      <w:headerReference w:type="default" r:id="rId24"/>
      <w:footerReference w:type="default" r:id="rId25"/>
      <w:headerReference w:type="first" r:id="rId26"/>
      <w:footerReference w:type="first" r:id="rId27"/>
      <w:pgSz w:w="11906" w:h="16838"/>
      <w:pgMar w:top="1134" w:right="1080" w:bottom="1276" w:left="1080"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B488" w14:textId="77777777" w:rsidR="008B15C5" w:rsidRDefault="008B15C5">
      <w:r>
        <w:separator/>
      </w:r>
    </w:p>
    <w:p w14:paraId="2C22A863" w14:textId="77777777" w:rsidR="008B15C5" w:rsidRDefault="008B15C5"/>
  </w:endnote>
  <w:endnote w:type="continuationSeparator" w:id="0">
    <w:p w14:paraId="25248F00" w14:textId="77777777" w:rsidR="008B15C5" w:rsidRDefault="008B15C5">
      <w:r>
        <w:continuationSeparator/>
      </w:r>
    </w:p>
    <w:p w14:paraId="068EC892" w14:textId="77777777" w:rsidR="008B15C5" w:rsidRDefault="008B15C5"/>
  </w:endnote>
  <w:endnote w:type="continuationNotice" w:id="1">
    <w:p w14:paraId="62E988EA" w14:textId="77777777" w:rsidR="008B15C5" w:rsidRDefault="008B15C5">
      <w:pPr>
        <w:pStyle w:val="Footer"/>
      </w:pPr>
    </w:p>
    <w:p w14:paraId="3436583E" w14:textId="77777777" w:rsidR="008B15C5" w:rsidRDefault="008B1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480581"/>
      <w:docPartObj>
        <w:docPartGallery w:val="Page Numbers (Bottom of Page)"/>
        <w:docPartUnique/>
      </w:docPartObj>
    </w:sdtPr>
    <w:sdtEndPr>
      <w:rPr>
        <w:noProof/>
      </w:rPr>
    </w:sdtEndPr>
    <w:sdtContent>
      <w:p w14:paraId="37FD7CE6" w14:textId="6ADD993F" w:rsidR="00617D2B" w:rsidRDefault="00617D2B" w:rsidP="00617D2B">
        <w:pPr>
          <w:pStyle w:val="Footer"/>
          <w:jc w:val="right"/>
        </w:pPr>
        <w:r w:rsidRPr="00617D2B">
          <w:rPr>
            <w:color w:val="FF0000"/>
          </w:rPr>
          <w:t xml:space="preserve">OFFICIAL </w:t>
        </w:r>
        <w:r>
          <w:rPr>
            <w:color w:val="FF0000"/>
          </w:rPr>
          <w:tab/>
        </w:r>
        <w:r>
          <w:rPr>
            <w:color w:val="FF0000"/>
          </w:rPr>
          <w:tab/>
        </w:r>
        <w:r>
          <w:fldChar w:fldCharType="begin"/>
        </w:r>
        <w:r>
          <w:instrText xml:space="preserve"> PAGE   \* MERGEFORMAT </w:instrText>
        </w:r>
        <w:r>
          <w:fldChar w:fldCharType="separate"/>
        </w:r>
        <w:r>
          <w:rPr>
            <w:noProof/>
          </w:rPr>
          <w:t>2</w:t>
        </w:r>
        <w:r>
          <w:rPr>
            <w:noProof/>
          </w:rPr>
          <w:fldChar w:fldCharType="end"/>
        </w:r>
      </w:p>
    </w:sdtContent>
  </w:sdt>
  <w:p w14:paraId="2647DA32" w14:textId="3E254CBB" w:rsidR="00BD6FD1" w:rsidRDefault="00BD6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94148"/>
      <w:docPartObj>
        <w:docPartGallery w:val="Page Numbers (Bottom of Page)"/>
        <w:docPartUnique/>
      </w:docPartObj>
    </w:sdtPr>
    <w:sdtEndPr>
      <w:rPr>
        <w:noProof/>
      </w:rPr>
    </w:sdtEndPr>
    <w:sdtContent>
      <w:p w14:paraId="73ED80D1" w14:textId="45334870" w:rsidR="00BD6FD1" w:rsidRDefault="00BD6FD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B606" w14:textId="77777777" w:rsidR="008B15C5" w:rsidRDefault="008B15C5">
      <w:r>
        <w:separator/>
      </w:r>
    </w:p>
    <w:p w14:paraId="4825E9DB" w14:textId="77777777" w:rsidR="008B15C5" w:rsidRDefault="008B15C5"/>
  </w:footnote>
  <w:footnote w:type="continuationSeparator" w:id="0">
    <w:p w14:paraId="3EA9EA86" w14:textId="77777777" w:rsidR="008B15C5" w:rsidRDefault="008B15C5">
      <w:r>
        <w:continuationSeparator/>
      </w:r>
    </w:p>
    <w:p w14:paraId="1796F9D0" w14:textId="77777777" w:rsidR="008B15C5" w:rsidRDefault="008B15C5"/>
  </w:footnote>
  <w:footnote w:type="continuationNotice" w:id="1">
    <w:p w14:paraId="413FE0BE" w14:textId="77777777" w:rsidR="008B15C5" w:rsidRDefault="008B15C5">
      <w:pPr>
        <w:pStyle w:val="Footer"/>
      </w:pPr>
    </w:p>
    <w:p w14:paraId="4A9DAF57" w14:textId="77777777" w:rsidR="008B15C5" w:rsidRDefault="008B1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8635" w14:textId="594D51B2" w:rsidR="000A28A8" w:rsidRPr="00A926D9" w:rsidRDefault="00A926D9" w:rsidP="00A926D9">
    <w:pPr>
      <w:pStyle w:val="Header"/>
    </w:pPr>
    <w:r w:rsidRPr="00CF1AFA">
      <w:rPr>
        <w:color w:val="000000"/>
        <w:sz w:val="22"/>
      </w:rPr>
      <w:t xml:space="preserve">Funding Plan – guidance </w:t>
    </w:r>
    <w:proofErr w:type="gramStart"/>
    <w:r w:rsidRPr="00CF1AFA">
      <w:rPr>
        <w:color w:val="000000"/>
        <w:sz w:val="22"/>
      </w:rPr>
      <w:t>note</w:t>
    </w:r>
    <w:proofErr w:type="gramEnd"/>
    <w:r w:rsidRPr="00CF1AFA">
      <w:rPr>
        <w:color w:val="000000"/>
        <w:sz w:val="22"/>
      </w:rPr>
      <w:t xml:space="preserve"> for delivery partners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1560" w14:textId="56BB9DB4" w:rsidR="00E7195F" w:rsidRDefault="00076CA5" w:rsidP="00CA40A0">
    <w:pPr>
      <w:pStyle w:val="Header"/>
      <w:rPr>
        <w:color w:val="FF0000"/>
        <w:sz w:val="22"/>
      </w:rPr>
    </w:pPr>
    <w:r>
      <w:rPr>
        <w:noProof/>
      </w:rPr>
      <w:drawing>
        <wp:anchor distT="0" distB="0" distL="114300" distR="114300" simplePos="0" relativeHeight="251659264" behindDoc="1" locked="0" layoutInCell="1" allowOverlap="1" wp14:anchorId="2E3C6309" wp14:editId="158BD6D1">
          <wp:simplePos x="0" y="0"/>
          <wp:positionH relativeFrom="page">
            <wp:align>right</wp:align>
          </wp:positionH>
          <wp:positionV relativeFrom="paragraph">
            <wp:posOffset>-328295</wp:posOffset>
          </wp:positionV>
          <wp:extent cx="7545842" cy="1296181"/>
          <wp:effectExtent l="0" t="0" r="0" b="0"/>
          <wp:wrapNone/>
          <wp:docPr id="1043954405" name="Picture 1043954405" descr="Australian Government Department of Agriculture, Fisheries and Forestry: Future Drough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Future Drought Fund"/>
                  <pic:cNvPicPr/>
                </pic:nvPicPr>
                <pic:blipFill>
                  <a:blip r:embed="rId1">
                    <a:extLst>
                      <a:ext uri="{28A0092B-C50C-407E-A947-70E740481C1C}">
                        <a14:useLocalDpi xmlns:a14="http://schemas.microsoft.com/office/drawing/2010/main" val="0"/>
                      </a:ext>
                    </a:extLst>
                  </a:blip>
                  <a:stretch>
                    <a:fillRect/>
                  </a:stretch>
                </pic:blipFill>
                <pic:spPr>
                  <a:xfrm>
                    <a:off x="0" y="0"/>
                    <a:ext cx="7545842" cy="129618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1312" behindDoc="0" locked="0" layoutInCell="1" allowOverlap="1" wp14:anchorId="2F53A62F" wp14:editId="2304DBC0">
              <wp:simplePos x="0" y="0"/>
              <wp:positionH relativeFrom="margin">
                <wp:align>center</wp:align>
              </wp:positionH>
              <wp:positionV relativeFrom="page">
                <wp:align>top</wp:align>
              </wp:positionV>
              <wp:extent cx="622300" cy="404495"/>
              <wp:effectExtent l="0" t="0" r="6350" b="8890"/>
              <wp:wrapNone/>
              <wp:docPr id="19406070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C9D2E0A" w14:textId="77777777" w:rsidR="00076CA5" w:rsidRPr="008D0706" w:rsidRDefault="00076CA5" w:rsidP="00076CA5">
                          <w:pPr>
                            <w:spacing w:after="0"/>
                            <w:rPr>
                              <w:rFonts w:ascii="Aptos" w:eastAsia="Aptos" w:hAnsi="Aptos" w:cs="Aptos"/>
                              <w:noProof/>
                              <w:color w:val="FF0000"/>
                              <w:sz w:val="24"/>
                              <w:szCs w:val="24"/>
                            </w:rPr>
                          </w:pPr>
                          <w:r w:rsidRPr="008D07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3A62F" id="_x0000_t202" coordsize="21600,21600" o:spt="202" path="m,l,21600r21600,l21600,xe">
              <v:stroke joinstyle="miter"/>
              <v:path gradientshapeok="t" o:connecttype="rect"/>
            </v:shapetype>
            <v:shape id="Text Box 1" o:spid="_x0000_s1026" type="#_x0000_t202" alt="OFFICIAL" style="position:absolute;left:0;text-align:left;margin-left:0;margin-top:0;width:49pt;height:31.85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C9D2E0A" w14:textId="77777777" w:rsidR="00076CA5" w:rsidRPr="008D0706" w:rsidRDefault="00076CA5" w:rsidP="00076CA5">
                    <w:pPr>
                      <w:spacing w:after="0"/>
                      <w:rPr>
                        <w:rFonts w:ascii="Aptos" w:eastAsia="Aptos" w:hAnsi="Aptos" w:cs="Aptos"/>
                        <w:noProof/>
                        <w:color w:val="FF0000"/>
                        <w:sz w:val="24"/>
                        <w:szCs w:val="24"/>
                      </w:rPr>
                    </w:pPr>
                    <w:r w:rsidRPr="008D0706">
                      <w:rPr>
                        <w:rFonts w:ascii="Aptos" w:eastAsia="Aptos" w:hAnsi="Aptos" w:cs="Aptos"/>
                        <w:noProof/>
                        <w:color w:val="FF0000"/>
                        <w:sz w:val="24"/>
                        <w:szCs w:val="24"/>
                      </w:rPr>
                      <w:t>OFFICIAL</w:t>
                    </w:r>
                  </w:p>
                </w:txbxContent>
              </v:textbox>
              <w10:wrap anchorx="margin" anchory="page"/>
            </v:shape>
          </w:pict>
        </mc:Fallback>
      </mc:AlternateContent>
    </w:r>
    <w:r w:rsidR="00E7195F">
      <w:rPr>
        <w:color w:val="FF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1AC"/>
    <w:multiLevelType w:val="multilevel"/>
    <w:tmpl w:val="A0241B28"/>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E373FF"/>
    <w:multiLevelType w:val="hybridMultilevel"/>
    <w:tmpl w:val="931285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7" w15:restartNumberingAfterBreak="0">
    <w:nsid w:val="320D46D3"/>
    <w:multiLevelType w:val="hybridMultilevel"/>
    <w:tmpl w:val="8FDC8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FB5E88"/>
    <w:multiLevelType w:val="hybridMultilevel"/>
    <w:tmpl w:val="8FDC83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48B3C08"/>
    <w:multiLevelType w:val="hybridMultilevel"/>
    <w:tmpl w:val="58D2D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902BC9"/>
    <w:multiLevelType w:val="hybridMultilevel"/>
    <w:tmpl w:val="05EEF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A12966"/>
    <w:multiLevelType w:val="multilevel"/>
    <w:tmpl w:val="A0241B28"/>
    <w:styleLink w:val="List10"/>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7290556D"/>
    <w:multiLevelType w:val="hybridMultilevel"/>
    <w:tmpl w:val="6BC29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9E566C"/>
    <w:multiLevelType w:val="hybridMultilevel"/>
    <w:tmpl w:val="53FA29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1470E1"/>
    <w:multiLevelType w:val="hybridMultilevel"/>
    <w:tmpl w:val="2F3A2F6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5A57F57"/>
    <w:multiLevelType w:val="hybridMultilevel"/>
    <w:tmpl w:val="31620B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10"/>
  </w:num>
  <w:num w:numId="2" w16cid:durableId="1448767948">
    <w:abstractNumId w:val="4"/>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6"/>
  </w:num>
  <w:num w:numId="4" w16cid:durableId="1272661232">
    <w:abstractNumId w:val="13"/>
  </w:num>
  <w:num w:numId="5" w16cid:durableId="1965577474">
    <w:abstractNumId w:val="14"/>
  </w:num>
  <w:num w:numId="6" w16cid:durableId="73862057">
    <w:abstractNumId w:val="3"/>
  </w:num>
  <w:num w:numId="7" w16cid:durableId="2110813501">
    <w:abstractNumId w:val="2"/>
  </w:num>
  <w:num w:numId="8" w16cid:durableId="1920214031">
    <w:abstractNumId w:val="1"/>
  </w:num>
  <w:num w:numId="9" w16cid:durableId="107310790">
    <w:abstractNumId w:val="11"/>
  </w:num>
  <w:num w:numId="10" w16cid:durableId="620460175">
    <w:abstractNumId w:val="4"/>
  </w:num>
  <w:num w:numId="11" w16cid:durableId="1772509964">
    <w:abstractNumId w:val="19"/>
  </w:num>
  <w:num w:numId="12" w16cid:durableId="1503661639">
    <w:abstractNumId w:val="19"/>
  </w:num>
  <w:num w:numId="13" w16cid:durableId="1064907761">
    <w:abstractNumId w:val="15"/>
  </w:num>
  <w:num w:numId="14" w16cid:durableId="1182084775">
    <w:abstractNumId w:val="0"/>
  </w:num>
  <w:num w:numId="15" w16cid:durableId="468978048">
    <w:abstractNumId w:val="7"/>
  </w:num>
  <w:num w:numId="16" w16cid:durableId="137571062">
    <w:abstractNumId w:val="12"/>
  </w:num>
  <w:num w:numId="17" w16cid:durableId="2048604773">
    <w:abstractNumId w:val="16"/>
  </w:num>
  <w:num w:numId="18" w16cid:durableId="385301777">
    <w:abstractNumId w:val="18"/>
  </w:num>
  <w:num w:numId="19" w16cid:durableId="1681271264">
    <w:abstractNumId w:val="5"/>
  </w:num>
  <w:num w:numId="20" w16cid:durableId="1408379735">
    <w:abstractNumId w:val="8"/>
  </w:num>
  <w:num w:numId="21" w16cid:durableId="1151752751">
    <w:abstractNumId w:val="17"/>
  </w:num>
  <w:num w:numId="22" w16cid:durableId="5678130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DD"/>
    <w:rsid w:val="00001DDB"/>
    <w:rsid w:val="00002B68"/>
    <w:rsid w:val="00003C94"/>
    <w:rsid w:val="00004093"/>
    <w:rsid w:val="00004C55"/>
    <w:rsid w:val="0000714F"/>
    <w:rsid w:val="00007B9F"/>
    <w:rsid w:val="0001057F"/>
    <w:rsid w:val="000132CC"/>
    <w:rsid w:val="000133D3"/>
    <w:rsid w:val="000145A9"/>
    <w:rsid w:val="00014D8C"/>
    <w:rsid w:val="0001700F"/>
    <w:rsid w:val="000174B1"/>
    <w:rsid w:val="000213E5"/>
    <w:rsid w:val="00022B8D"/>
    <w:rsid w:val="00023891"/>
    <w:rsid w:val="0002529A"/>
    <w:rsid w:val="000253F0"/>
    <w:rsid w:val="000259B9"/>
    <w:rsid w:val="00025F55"/>
    <w:rsid w:val="000329F7"/>
    <w:rsid w:val="00032D6D"/>
    <w:rsid w:val="00032D7F"/>
    <w:rsid w:val="000352BD"/>
    <w:rsid w:val="00035446"/>
    <w:rsid w:val="0003617D"/>
    <w:rsid w:val="0003691A"/>
    <w:rsid w:val="00036E1D"/>
    <w:rsid w:val="00037937"/>
    <w:rsid w:val="00040916"/>
    <w:rsid w:val="00040AF2"/>
    <w:rsid w:val="00041D8A"/>
    <w:rsid w:val="00043ADD"/>
    <w:rsid w:val="000448FC"/>
    <w:rsid w:val="00044C22"/>
    <w:rsid w:val="00044D63"/>
    <w:rsid w:val="0004538C"/>
    <w:rsid w:val="00045599"/>
    <w:rsid w:val="00046D98"/>
    <w:rsid w:val="00047827"/>
    <w:rsid w:val="0005014E"/>
    <w:rsid w:val="00050A2A"/>
    <w:rsid w:val="00050E65"/>
    <w:rsid w:val="00052015"/>
    <w:rsid w:val="000540A2"/>
    <w:rsid w:val="00054A4C"/>
    <w:rsid w:val="00055CEA"/>
    <w:rsid w:val="00055EAB"/>
    <w:rsid w:val="00061EC1"/>
    <w:rsid w:val="000625A3"/>
    <w:rsid w:val="000627C9"/>
    <w:rsid w:val="000653DD"/>
    <w:rsid w:val="000654E9"/>
    <w:rsid w:val="00065906"/>
    <w:rsid w:val="00065E22"/>
    <w:rsid w:val="00067A0E"/>
    <w:rsid w:val="0007002A"/>
    <w:rsid w:val="0007096C"/>
    <w:rsid w:val="000726D1"/>
    <w:rsid w:val="00074E10"/>
    <w:rsid w:val="0007578C"/>
    <w:rsid w:val="00075AED"/>
    <w:rsid w:val="000763F7"/>
    <w:rsid w:val="00076CA5"/>
    <w:rsid w:val="00077602"/>
    <w:rsid w:val="0008048B"/>
    <w:rsid w:val="00081343"/>
    <w:rsid w:val="00081B7D"/>
    <w:rsid w:val="00081D06"/>
    <w:rsid w:val="000820B9"/>
    <w:rsid w:val="00083EB2"/>
    <w:rsid w:val="000854EE"/>
    <w:rsid w:val="00086951"/>
    <w:rsid w:val="00087A24"/>
    <w:rsid w:val="00087F08"/>
    <w:rsid w:val="000908B7"/>
    <w:rsid w:val="000911D8"/>
    <w:rsid w:val="0009356C"/>
    <w:rsid w:val="0009449C"/>
    <w:rsid w:val="00094907"/>
    <w:rsid w:val="00094FB1"/>
    <w:rsid w:val="000968C2"/>
    <w:rsid w:val="00096AD1"/>
    <w:rsid w:val="00096DD0"/>
    <w:rsid w:val="000A1E41"/>
    <w:rsid w:val="000A27C2"/>
    <w:rsid w:val="000A28A8"/>
    <w:rsid w:val="000A2D91"/>
    <w:rsid w:val="000A61D0"/>
    <w:rsid w:val="000A628B"/>
    <w:rsid w:val="000A653E"/>
    <w:rsid w:val="000B3F5A"/>
    <w:rsid w:val="000B7327"/>
    <w:rsid w:val="000C0E22"/>
    <w:rsid w:val="000C18DB"/>
    <w:rsid w:val="000C2EDD"/>
    <w:rsid w:val="000C3202"/>
    <w:rsid w:val="000C6619"/>
    <w:rsid w:val="000C6DCB"/>
    <w:rsid w:val="000C6E1E"/>
    <w:rsid w:val="000C6FCC"/>
    <w:rsid w:val="000D05A7"/>
    <w:rsid w:val="000D17B1"/>
    <w:rsid w:val="000D5F38"/>
    <w:rsid w:val="000D675B"/>
    <w:rsid w:val="000D707A"/>
    <w:rsid w:val="000D738E"/>
    <w:rsid w:val="000D73FF"/>
    <w:rsid w:val="000D7B8D"/>
    <w:rsid w:val="000D7F5F"/>
    <w:rsid w:val="000E070B"/>
    <w:rsid w:val="000E076E"/>
    <w:rsid w:val="000E1809"/>
    <w:rsid w:val="000E3E05"/>
    <w:rsid w:val="000E462E"/>
    <w:rsid w:val="000E5900"/>
    <w:rsid w:val="000E6109"/>
    <w:rsid w:val="000E707D"/>
    <w:rsid w:val="000F0CC1"/>
    <w:rsid w:val="000F2B5D"/>
    <w:rsid w:val="000F3BE0"/>
    <w:rsid w:val="000F4D34"/>
    <w:rsid w:val="000F5EBE"/>
    <w:rsid w:val="000F7268"/>
    <w:rsid w:val="000F77AB"/>
    <w:rsid w:val="000F78B4"/>
    <w:rsid w:val="00102812"/>
    <w:rsid w:val="00105A46"/>
    <w:rsid w:val="001062EF"/>
    <w:rsid w:val="00106DEE"/>
    <w:rsid w:val="00106FD7"/>
    <w:rsid w:val="00111DB8"/>
    <w:rsid w:val="00113CCC"/>
    <w:rsid w:val="00114260"/>
    <w:rsid w:val="001149B5"/>
    <w:rsid w:val="001170C7"/>
    <w:rsid w:val="0012264F"/>
    <w:rsid w:val="00123BA2"/>
    <w:rsid w:val="00124E04"/>
    <w:rsid w:val="00126524"/>
    <w:rsid w:val="00126634"/>
    <w:rsid w:val="00126C37"/>
    <w:rsid w:val="00127A3F"/>
    <w:rsid w:val="0013002A"/>
    <w:rsid w:val="00130933"/>
    <w:rsid w:val="00132785"/>
    <w:rsid w:val="00132EF7"/>
    <w:rsid w:val="001335C1"/>
    <w:rsid w:val="001378CA"/>
    <w:rsid w:val="00140367"/>
    <w:rsid w:val="00141135"/>
    <w:rsid w:val="001414F1"/>
    <w:rsid w:val="00145897"/>
    <w:rsid w:val="0015245F"/>
    <w:rsid w:val="001524BE"/>
    <w:rsid w:val="0015261B"/>
    <w:rsid w:val="0015296F"/>
    <w:rsid w:val="00154EF8"/>
    <w:rsid w:val="00155B58"/>
    <w:rsid w:val="00157027"/>
    <w:rsid w:val="001602D2"/>
    <w:rsid w:val="00163105"/>
    <w:rsid w:val="00163B39"/>
    <w:rsid w:val="0016415E"/>
    <w:rsid w:val="00164CCE"/>
    <w:rsid w:val="001667C9"/>
    <w:rsid w:val="00167265"/>
    <w:rsid w:val="0016728A"/>
    <w:rsid w:val="00170349"/>
    <w:rsid w:val="00170AA6"/>
    <w:rsid w:val="00170C1D"/>
    <w:rsid w:val="00170EC0"/>
    <w:rsid w:val="00171825"/>
    <w:rsid w:val="00171EE7"/>
    <w:rsid w:val="00173B26"/>
    <w:rsid w:val="001744E9"/>
    <w:rsid w:val="00175377"/>
    <w:rsid w:val="00175B2D"/>
    <w:rsid w:val="00175B41"/>
    <w:rsid w:val="00176305"/>
    <w:rsid w:val="00180DBC"/>
    <w:rsid w:val="00182B15"/>
    <w:rsid w:val="0018302E"/>
    <w:rsid w:val="00183371"/>
    <w:rsid w:val="00184492"/>
    <w:rsid w:val="001860BE"/>
    <w:rsid w:val="001902C7"/>
    <w:rsid w:val="00192BF7"/>
    <w:rsid w:val="00192F59"/>
    <w:rsid w:val="00194A76"/>
    <w:rsid w:val="00196C8E"/>
    <w:rsid w:val="00197540"/>
    <w:rsid w:val="001A036F"/>
    <w:rsid w:val="001A3E27"/>
    <w:rsid w:val="001A4269"/>
    <w:rsid w:val="001A4305"/>
    <w:rsid w:val="001A5076"/>
    <w:rsid w:val="001A710F"/>
    <w:rsid w:val="001A7180"/>
    <w:rsid w:val="001A7FEE"/>
    <w:rsid w:val="001B0882"/>
    <w:rsid w:val="001B0E9E"/>
    <w:rsid w:val="001B2730"/>
    <w:rsid w:val="001B2FF4"/>
    <w:rsid w:val="001B5330"/>
    <w:rsid w:val="001B6334"/>
    <w:rsid w:val="001C3D36"/>
    <w:rsid w:val="001C4AF9"/>
    <w:rsid w:val="001C67A0"/>
    <w:rsid w:val="001C7DA4"/>
    <w:rsid w:val="001D03DB"/>
    <w:rsid w:val="001D27E4"/>
    <w:rsid w:val="001D427F"/>
    <w:rsid w:val="001D7677"/>
    <w:rsid w:val="001E3784"/>
    <w:rsid w:val="001E4321"/>
    <w:rsid w:val="001E4CEC"/>
    <w:rsid w:val="001F0119"/>
    <w:rsid w:val="001F203C"/>
    <w:rsid w:val="001F3F21"/>
    <w:rsid w:val="001F500E"/>
    <w:rsid w:val="001F56B1"/>
    <w:rsid w:val="001F5A77"/>
    <w:rsid w:val="001F6BD6"/>
    <w:rsid w:val="001F79C1"/>
    <w:rsid w:val="002024FE"/>
    <w:rsid w:val="0020390D"/>
    <w:rsid w:val="00206190"/>
    <w:rsid w:val="002066A8"/>
    <w:rsid w:val="002071B9"/>
    <w:rsid w:val="0021015E"/>
    <w:rsid w:val="00210361"/>
    <w:rsid w:val="00211AE2"/>
    <w:rsid w:val="00211D77"/>
    <w:rsid w:val="00213E0A"/>
    <w:rsid w:val="00214445"/>
    <w:rsid w:val="002200FC"/>
    <w:rsid w:val="00220D90"/>
    <w:rsid w:val="00221025"/>
    <w:rsid w:val="00221261"/>
    <w:rsid w:val="00221FB3"/>
    <w:rsid w:val="0022318D"/>
    <w:rsid w:val="00224526"/>
    <w:rsid w:val="00224CB6"/>
    <w:rsid w:val="00225059"/>
    <w:rsid w:val="0022643C"/>
    <w:rsid w:val="0022669F"/>
    <w:rsid w:val="0022683E"/>
    <w:rsid w:val="0023143C"/>
    <w:rsid w:val="00231DA0"/>
    <w:rsid w:val="00232184"/>
    <w:rsid w:val="0023240E"/>
    <w:rsid w:val="002326D8"/>
    <w:rsid w:val="00232BAD"/>
    <w:rsid w:val="0023381D"/>
    <w:rsid w:val="0023460F"/>
    <w:rsid w:val="00234995"/>
    <w:rsid w:val="0023535E"/>
    <w:rsid w:val="00235761"/>
    <w:rsid w:val="002359D3"/>
    <w:rsid w:val="00236A12"/>
    <w:rsid w:val="00236A91"/>
    <w:rsid w:val="00237E78"/>
    <w:rsid w:val="002413AE"/>
    <w:rsid w:val="002430D2"/>
    <w:rsid w:val="00243119"/>
    <w:rsid w:val="00243517"/>
    <w:rsid w:val="00243F83"/>
    <w:rsid w:val="00244941"/>
    <w:rsid w:val="00246009"/>
    <w:rsid w:val="002461BF"/>
    <w:rsid w:val="002462E3"/>
    <w:rsid w:val="00247C44"/>
    <w:rsid w:val="002506B8"/>
    <w:rsid w:val="00252B86"/>
    <w:rsid w:val="00253015"/>
    <w:rsid w:val="0025335D"/>
    <w:rsid w:val="002546E6"/>
    <w:rsid w:val="00255244"/>
    <w:rsid w:val="00255E3C"/>
    <w:rsid w:val="00257977"/>
    <w:rsid w:val="002579F1"/>
    <w:rsid w:val="00260223"/>
    <w:rsid w:val="002605DB"/>
    <w:rsid w:val="00262D87"/>
    <w:rsid w:val="002634A5"/>
    <w:rsid w:val="00263509"/>
    <w:rsid w:val="00263F03"/>
    <w:rsid w:val="00263F10"/>
    <w:rsid w:val="00265865"/>
    <w:rsid w:val="002666BA"/>
    <w:rsid w:val="002668E3"/>
    <w:rsid w:val="00266B43"/>
    <w:rsid w:val="002714CF"/>
    <w:rsid w:val="002715CC"/>
    <w:rsid w:val="00272B94"/>
    <w:rsid w:val="002733D6"/>
    <w:rsid w:val="00273E3B"/>
    <w:rsid w:val="00273F48"/>
    <w:rsid w:val="00277928"/>
    <w:rsid w:val="002818BD"/>
    <w:rsid w:val="00282906"/>
    <w:rsid w:val="00284ABF"/>
    <w:rsid w:val="00284EAA"/>
    <w:rsid w:val="00285392"/>
    <w:rsid w:val="00285B59"/>
    <w:rsid w:val="00287516"/>
    <w:rsid w:val="00290E26"/>
    <w:rsid w:val="00290E35"/>
    <w:rsid w:val="00291FBB"/>
    <w:rsid w:val="00292EB0"/>
    <w:rsid w:val="002939B9"/>
    <w:rsid w:val="002942EE"/>
    <w:rsid w:val="002A1C6A"/>
    <w:rsid w:val="002A2733"/>
    <w:rsid w:val="002A418B"/>
    <w:rsid w:val="002A6F85"/>
    <w:rsid w:val="002A7D26"/>
    <w:rsid w:val="002B26DB"/>
    <w:rsid w:val="002B405F"/>
    <w:rsid w:val="002B4D8D"/>
    <w:rsid w:val="002B500F"/>
    <w:rsid w:val="002B6B93"/>
    <w:rsid w:val="002B6FB1"/>
    <w:rsid w:val="002C0DD2"/>
    <w:rsid w:val="002C57FB"/>
    <w:rsid w:val="002C6183"/>
    <w:rsid w:val="002C6623"/>
    <w:rsid w:val="002D3ACA"/>
    <w:rsid w:val="002D3F3C"/>
    <w:rsid w:val="002D6C42"/>
    <w:rsid w:val="002E0B6C"/>
    <w:rsid w:val="002E1AC1"/>
    <w:rsid w:val="002E461F"/>
    <w:rsid w:val="002E594E"/>
    <w:rsid w:val="002E6709"/>
    <w:rsid w:val="002E7794"/>
    <w:rsid w:val="002E7CC6"/>
    <w:rsid w:val="002F02C1"/>
    <w:rsid w:val="002F2F37"/>
    <w:rsid w:val="002F5198"/>
    <w:rsid w:val="002F65C4"/>
    <w:rsid w:val="002F6ED8"/>
    <w:rsid w:val="002F7360"/>
    <w:rsid w:val="002F7EA4"/>
    <w:rsid w:val="002F7F27"/>
    <w:rsid w:val="00302CCB"/>
    <w:rsid w:val="003036A9"/>
    <w:rsid w:val="00303D92"/>
    <w:rsid w:val="00304394"/>
    <w:rsid w:val="00306D1F"/>
    <w:rsid w:val="00307195"/>
    <w:rsid w:val="0031026F"/>
    <w:rsid w:val="00310ACB"/>
    <w:rsid w:val="0031176E"/>
    <w:rsid w:val="00315020"/>
    <w:rsid w:val="003210A0"/>
    <w:rsid w:val="003237C8"/>
    <w:rsid w:val="00324A82"/>
    <w:rsid w:val="00324AA5"/>
    <w:rsid w:val="0032518A"/>
    <w:rsid w:val="0033586D"/>
    <w:rsid w:val="00337525"/>
    <w:rsid w:val="00337C6C"/>
    <w:rsid w:val="00340F31"/>
    <w:rsid w:val="003426C3"/>
    <w:rsid w:val="00342D48"/>
    <w:rsid w:val="0034313C"/>
    <w:rsid w:val="00344815"/>
    <w:rsid w:val="00344C80"/>
    <w:rsid w:val="003471BD"/>
    <w:rsid w:val="00347F2C"/>
    <w:rsid w:val="00350302"/>
    <w:rsid w:val="00350EA2"/>
    <w:rsid w:val="00352ABF"/>
    <w:rsid w:val="00353770"/>
    <w:rsid w:val="00354FCB"/>
    <w:rsid w:val="00360A9B"/>
    <w:rsid w:val="00362781"/>
    <w:rsid w:val="003639BE"/>
    <w:rsid w:val="00364573"/>
    <w:rsid w:val="003652B1"/>
    <w:rsid w:val="003655E6"/>
    <w:rsid w:val="00367265"/>
    <w:rsid w:val="00367F71"/>
    <w:rsid w:val="00367FDA"/>
    <w:rsid w:val="00370E1A"/>
    <w:rsid w:val="00371608"/>
    <w:rsid w:val="00372E22"/>
    <w:rsid w:val="003733F4"/>
    <w:rsid w:val="00373510"/>
    <w:rsid w:val="003751E0"/>
    <w:rsid w:val="0037593B"/>
    <w:rsid w:val="00376341"/>
    <w:rsid w:val="003765D9"/>
    <w:rsid w:val="00377626"/>
    <w:rsid w:val="00380F74"/>
    <w:rsid w:val="003815F5"/>
    <w:rsid w:val="00382033"/>
    <w:rsid w:val="00382326"/>
    <w:rsid w:val="003842C2"/>
    <w:rsid w:val="0038447B"/>
    <w:rsid w:val="0038582D"/>
    <w:rsid w:val="003867D4"/>
    <w:rsid w:val="00386A0F"/>
    <w:rsid w:val="003942C2"/>
    <w:rsid w:val="00397EC4"/>
    <w:rsid w:val="003A064D"/>
    <w:rsid w:val="003A08C3"/>
    <w:rsid w:val="003A138C"/>
    <w:rsid w:val="003A1B16"/>
    <w:rsid w:val="003B1150"/>
    <w:rsid w:val="003B1158"/>
    <w:rsid w:val="003B1BC0"/>
    <w:rsid w:val="003B1DB1"/>
    <w:rsid w:val="003B2244"/>
    <w:rsid w:val="003B359C"/>
    <w:rsid w:val="003B376F"/>
    <w:rsid w:val="003B4151"/>
    <w:rsid w:val="003B46C7"/>
    <w:rsid w:val="003B6EBB"/>
    <w:rsid w:val="003B7A61"/>
    <w:rsid w:val="003B7BA9"/>
    <w:rsid w:val="003C1CAF"/>
    <w:rsid w:val="003C286E"/>
    <w:rsid w:val="003C2DEA"/>
    <w:rsid w:val="003C329A"/>
    <w:rsid w:val="003C33FF"/>
    <w:rsid w:val="003C4617"/>
    <w:rsid w:val="003C5A2D"/>
    <w:rsid w:val="003C78FF"/>
    <w:rsid w:val="003D092D"/>
    <w:rsid w:val="003D10E1"/>
    <w:rsid w:val="003D2BE7"/>
    <w:rsid w:val="003D49AC"/>
    <w:rsid w:val="003D70AE"/>
    <w:rsid w:val="003E016D"/>
    <w:rsid w:val="003E06C3"/>
    <w:rsid w:val="003E0CBF"/>
    <w:rsid w:val="003E2189"/>
    <w:rsid w:val="003E34CF"/>
    <w:rsid w:val="003E3F5C"/>
    <w:rsid w:val="003E49E2"/>
    <w:rsid w:val="003E4BF3"/>
    <w:rsid w:val="003E54B6"/>
    <w:rsid w:val="003E57DF"/>
    <w:rsid w:val="003F1C4C"/>
    <w:rsid w:val="003F2072"/>
    <w:rsid w:val="003F2290"/>
    <w:rsid w:val="003F2334"/>
    <w:rsid w:val="003F2394"/>
    <w:rsid w:val="003F4DF1"/>
    <w:rsid w:val="003F5791"/>
    <w:rsid w:val="003F5E7D"/>
    <w:rsid w:val="003F641B"/>
    <w:rsid w:val="003F6AF5"/>
    <w:rsid w:val="003F718A"/>
    <w:rsid w:val="003F7D55"/>
    <w:rsid w:val="00400C19"/>
    <w:rsid w:val="00401082"/>
    <w:rsid w:val="004020A7"/>
    <w:rsid w:val="00402540"/>
    <w:rsid w:val="00404B8C"/>
    <w:rsid w:val="00404BF7"/>
    <w:rsid w:val="00407C06"/>
    <w:rsid w:val="004109FE"/>
    <w:rsid w:val="004110BE"/>
    <w:rsid w:val="00411BA1"/>
    <w:rsid w:val="00414C92"/>
    <w:rsid w:val="00416674"/>
    <w:rsid w:val="0042077B"/>
    <w:rsid w:val="00420807"/>
    <w:rsid w:val="00420EF4"/>
    <w:rsid w:val="00421965"/>
    <w:rsid w:val="00422C1B"/>
    <w:rsid w:val="00423515"/>
    <w:rsid w:val="004253E2"/>
    <w:rsid w:val="00427BBE"/>
    <w:rsid w:val="00435BF0"/>
    <w:rsid w:val="00436AE2"/>
    <w:rsid w:val="00437805"/>
    <w:rsid w:val="0044014B"/>
    <w:rsid w:val="004438B7"/>
    <w:rsid w:val="00444521"/>
    <w:rsid w:val="00446575"/>
    <w:rsid w:val="004479EE"/>
    <w:rsid w:val="00447A5F"/>
    <w:rsid w:val="00450634"/>
    <w:rsid w:val="00450AE3"/>
    <w:rsid w:val="00450DEC"/>
    <w:rsid w:val="00450F2F"/>
    <w:rsid w:val="0045164F"/>
    <w:rsid w:val="004550F1"/>
    <w:rsid w:val="00455594"/>
    <w:rsid w:val="00455891"/>
    <w:rsid w:val="00455F5B"/>
    <w:rsid w:val="00457373"/>
    <w:rsid w:val="00457E6B"/>
    <w:rsid w:val="00461CB4"/>
    <w:rsid w:val="00463A77"/>
    <w:rsid w:val="0046445C"/>
    <w:rsid w:val="00464529"/>
    <w:rsid w:val="00464989"/>
    <w:rsid w:val="004658BC"/>
    <w:rsid w:val="00465B3C"/>
    <w:rsid w:val="00466103"/>
    <w:rsid w:val="0046651A"/>
    <w:rsid w:val="004678B1"/>
    <w:rsid w:val="004718A8"/>
    <w:rsid w:val="0047391C"/>
    <w:rsid w:val="00477220"/>
    <w:rsid w:val="00480041"/>
    <w:rsid w:val="00480ACF"/>
    <w:rsid w:val="004821E6"/>
    <w:rsid w:val="00483C4D"/>
    <w:rsid w:val="00483EB1"/>
    <w:rsid w:val="00484A45"/>
    <w:rsid w:val="00486A94"/>
    <w:rsid w:val="0048766C"/>
    <w:rsid w:val="00487772"/>
    <w:rsid w:val="004916F1"/>
    <w:rsid w:val="00493BE9"/>
    <w:rsid w:val="004949ED"/>
    <w:rsid w:val="00495183"/>
    <w:rsid w:val="00495912"/>
    <w:rsid w:val="004969C4"/>
    <w:rsid w:val="00496C0A"/>
    <w:rsid w:val="00497F32"/>
    <w:rsid w:val="004A0171"/>
    <w:rsid w:val="004A2504"/>
    <w:rsid w:val="004A2A61"/>
    <w:rsid w:val="004A3310"/>
    <w:rsid w:val="004A5BAA"/>
    <w:rsid w:val="004A5C5C"/>
    <w:rsid w:val="004A6D54"/>
    <w:rsid w:val="004B0A6D"/>
    <w:rsid w:val="004B2827"/>
    <w:rsid w:val="004B3E31"/>
    <w:rsid w:val="004B3E92"/>
    <w:rsid w:val="004B5667"/>
    <w:rsid w:val="004B5F0F"/>
    <w:rsid w:val="004B716D"/>
    <w:rsid w:val="004B7EFA"/>
    <w:rsid w:val="004C105E"/>
    <w:rsid w:val="004C110E"/>
    <w:rsid w:val="004C19A5"/>
    <w:rsid w:val="004C24E4"/>
    <w:rsid w:val="004C2BF9"/>
    <w:rsid w:val="004C2E7A"/>
    <w:rsid w:val="004C2FB0"/>
    <w:rsid w:val="004C38A3"/>
    <w:rsid w:val="004C6B02"/>
    <w:rsid w:val="004C7677"/>
    <w:rsid w:val="004C769D"/>
    <w:rsid w:val="004C7850"/>
    <w:rsid w:val="004C79BF"/>
    <w:rsid w:val="004C7DAE"/>
    <w:rsid w:val="004C7FB5"/>
    <w:rsid w:val="004D017B"/>
    <w:rsid w:val="004D1025"/>
    <w:rsid w:val="004D1A0A"/>
    <w:rsid w:val="004D2160"/>
    <w:rsid w:val="004D47AB"/>
    <w:rsid w:val="004D6DD6"/>
    <w:rsid w:val="004E09AF"/>
    <w:rsid w:val="004E2520"/>
    <w:rsid w:val="004E305C"/>
    <w:rsid w:val="004E37DB"/>
    <w:rsid w:val="004E4DF5"/>
    <w:rsid w:val="004E79A6"/>
    <w:rsid w:val="004F16AB"/>
    <w:rsid w:val="004F2D13"/>
    <w:rsid w:val="004F31F5"/>
    <w:rsid w:val="004F34BC"/>
    <w:rsid w:val="00500D87"/>
    <w:rsid w:val="00502BC0"/>
    <w:rsid w:val="00506873"/>
    <w:rsid w:val="005069C6"/>
    <w:rsid w:val="00506B57"/>
    <w:rsid w:val="00507643"/>
    <w:rsid w:val="00507F9A"/>
    <w:rsid w:val="00510AD5"/>
    <w:rsid w:val="00511DBC"/>
    <w:rsid w:val="00511E38"/>
    <w:rsid w:val="00512346"/>
    <w:rsid w:val="00513718"/>
    <w:rsid w:val="00515DF3"/>
    <w:rsid w:val="0051618E"/>
    <w:rsid w:val="00517059"/>
    <w:rsid w:val="00517B48"/>
    <w:rsid w:val="00521058"/>
    <w:rsid w:val="00522978"/>
    <w:rsid w:val="00525693"/>
    <w:rsid w:val="00525C9C"/>
    <w:rsid w:val="00525FEF"/>
    <w:rsid w:val="00526DAC"/>
    <w:rsid w:val="005272CC"/>
    <w:rsid w:val="005274E2"/>
    <w:rsid w:val="00527CCE"/>
    <w:rsid w:val="005319EC"/>
    <w:rsid w:val="00532872"/>
    <w:rsid w:val="00534BAE"/>
    <w:rsid w:val="00535DB2"/>
    <w:rsid w:val="00541CE4"/>
    <w:rsid w:val="00541D15"/>
    <w:rsid w:val="005437FC"/>
    <w:rsid w:val="00545AA1"/>
    <w:rsid w:val="00545C2F"/>
    <w:rsid w:val="0054766F"/>
    <w:rsid w:val="0054794D"/>
    <w:rsid w:val="00551379"/>
    <w:rsid w:val="005524A9"/>
    <w:rsid w:val="00552C6D"/>
    <w:rsid w:val="00553D7A"/>
    <w:rsid w:val="0055413E"/>
    <w:rsid w:val="00554707"/>
    <w:rsid w:val="0055530D"/>
    <w:rsid w:val="0055696E"/>
    <w:rsid w:val="005578F3"/>
    <w:rsid w:val="00560436"/>
    <w:rsid w:val="00560B2D"/>
    <w:rsid w:val="00561502"/>
    <w:rsid w:val="00562162"/>
    <w:rsid w:val="005640EF"/>
    <w:rsid w:val="00564BE6"/>
    <w:rsid w:val="00565193"/>
    <w:rsid w:val="0057085E"/>
    <w:rsid w:val="00570D0C"/>
    <w:rsid w:val="00571C64"/>
    <w:rsid w:val="00572ADB"/>
    <w:rsid w:val="00572EF9"/>
    <w:rsid w:val="00573300"/>
    <w:rsid w:val="0057402B"/>
    <w:rsid w:val="00576BF9"/>
    <w:rsid w:val="00576FFD"/>
    <w:rsid w:val="0057723D"/>
    <w:rsid w:val="00577EAA"/>
    <w:rsid w:val="00581063"/>
    <w:rsid w:val="005815D9"/>
    <w:rsid w:val="00581DEA"/>
    <w:rsid w:val="00582284"/>
    <w:rsid w:val="00582E52"/>
    <w:rsid w:val="00583DAE"/>
    <w:rsid w:val="00584198"/>
    <w:rsid w:val="0058424D"/>
    <w:rsid w:val="005846FE"/>
    <w:rsid w:val="005848B3"/>
    <w:rsid w:val="00585584"/>
    <w:rsid w:val="00586BBE"/>
    <w:rsid w:val="005875BD"/>
    <w:rsid w:val="00590347"/>
    <w:rsid w:val="005919AB"/>
    <w:rsid w:val="005940BF"/>
    <w:rsid w:val="005958DF"/>
    <w:rsid w:val="00595A13"/>
    <w:rsid w:val="00596AD0"/>
    <w:rsid w:val="005A0E37"/>
    <w:rsid w:val="005A262C"/>
    <w:rsid w:val="005A2880"/>
    <w:rsid w:val="005A2ABE"/>
    <w:rsid w:val="005A3845"/>
    <w:rsid w:val="005A3B79"/>
    <w:rsid w:val="005A66EB"/>
    <w:rsid w:val="005A6A0B"/>
    <w:rsid w:val="005A6E4E"/>
    <w:rsid w:val="005A7B37"/>
    <w:rsid w:val="005A7B56"/>
    <w:rsid w:val="005B0045"/>
    <w:rsid w:val="005B01EF"/>
    <w:rsid w:val="005B08D5"/>
    <w:rsid w:val="005B3A8D"/>
    <w:rsid w:val="005B3ECE"/>
    <w:rsid w:val="005B4B61"/>
    <w:rsid w:val="005B62F1"/>
    <w:rsid w:val="005B7E86"/>
    <w:rsid w:val="005B7EE3"/>
    <w:rsid w:val="005C051F"/>
    <w:rsid w:val="005C09D1"/>
    <w:rsid w:val="005C0E8C"/>
    <w:rsid w:val="005C0F83"/>
    <w:rsid w:val="005C13A1"/>
    <w:rsid w:val="005C13EE"/>
    <w:rsid w:val="005C5179"/>
    <w:rsid w:val="005C5E56"/>
    <w:rsid w:val="005C6032"/>
    <w:rsid w:val="005C664A"/>
    <w:rsid w:val="005C79EA"/>
    <w:rsid w:val="005D1A6A"/>
    <w:rsid w:val="005D1C1E"/>
    <w:rsid w:val="005D5009"/>
    <w:rsid w:val="005D54F8"/>
    <w:rsid w:val="005D5607"/>
    <w:rsid w:val="005D6136"/>
    <w:rsid w:val="005D62ED"/>
    <w:rsid w:val="005D694D"/>
    <w:rsid w:val="005D70E5"/>
    <w:rsid w:val="005D7FC1"/>
    <w:rsid w:val="005E0F1B"/>
    <w:rsid w:val="005E24DF"/>
    <w:rsid w:val="005E42A8"/>
    <w:rsid w:val="005E4AEF"/>
    <w:rsid w:val="005E5B82"/>
    <w:rsid w:val="005E707A"/>
    <w:rsid w:val="005E778F"/>
    <w:rsid w:val="005F1BCA"/>
    <w:rsid w:val="005F37ED"/>
    <w:rsid w:val="005F4489"/>
    <w:rsid w:val="005F4967"/>
    <w:rsid w:val="005F4B0B"/>
    <w:rsid w:val="005F4EA4"/>
    <w:rsid w:val="005F524A"/>
    <w:rsid w:val="005F5C2C"/>
    <w:rsid w:val="005F6F61"/>
    <w:rsid w:val="00601865"/>
    <w:rsid w:val="006054E4"/>
    <w:rsid w:val="00606B87"/>
    <w:rsid w:val="00606C5C"/>
    <w:rsid w:val="00606DCD"/>
    <w:rsid w:val="006076AC"/>
    <w:rsid w:val="00607A44"/>
    <w:rsid w:val="00610BFB"/>
    <w:rsid w:val="0061138D"/>
    <w:rsid w:val="00612D48"/>
    <w:rsid w:val="006131E7"/>
    <w:rsid w:val="006138B5"/>
    <w:rsid w:val="00614FC6"/>
    <w:rsid w:val="00616145"/>
    <w:rsid w:val="00616523"/>
    <w:rsid w:val="00617D2B"/>
    <w:rsid w:val="0062097B"/>
    <w:rsid w:val="00621A22"/>
    <w:rsid w:val="00621A90"/>
    <w:rsid w:val="0062260A"/>
    <w:rsid w:val="006238E6"/>
    <w:rsid w:val="00624989"/>
    <w:rsid w:val="00626515"/>
    <w:rsid w:val="00627C53"/>
    <w:rsid w:val="00627DF9"/>
    <w:rsid w:val="00630ECA"/>
    <w:rsid w:val="00631055"/>
    <w:rsid w:val="0063140E"/>
    <w:rsid w:val="00631D58"/>
    <w:rsid w:val="006330FD"/>
    <w:rsid w:val="00635E19"/>
    <w:rsid w:val="00636085"/>
    <w:rsid w:val="00637066"/>
    <w:rsid w:val="00637918"/>
    <w:rsid w:val="006379FA"/>
    <w:rsid w:val="006428C0"/>
    <w:rsid w:val="006468F6"/>
    <w:rsid w:val="0065074F"/>
    <w:rsid w:val="00652C0E"/>
    <w:rsid w:val="00652C89"/>
    <w:rsid w:val="00653397"/>
    <w:rsid w:val="00655874"/>
    <w:rsid w:val="00665CEA"/>
    <w:rsid w:val="006661C1"/>
    <w:rsid w:val="0066684B"/>
    <w:rsid w:val="006669FB"/>
    <w:rsid w:val="00666BDF"/>
    <w:rsid w:val="006679DB"/>
    <w:rsid w:val="0067252C"/>
    <w:rsid w:val="00673526"/>
    <w:rsid w:val="00673BF5"/>
    <w:rsid w:val="0067697D"/>
    <w:rsid w:val="006769A3"/>
    <w:rsid w:val="0067765A"/>
    <w:rsid w:val="00681BE9"/>
    <w:rsid w:val="00681EC8"/>
    <w:rsid w:val="006828BE"/>
    <w:rsid w:val="006834FF"/>
    <w:rsid w:val="00685061"/>
    <w:rsid w:val="00686A39"/>
    <w:rsid w:val="00691B44"/>
    <w:rsid w:val="00691FEE"/>
    <w:rsid w:val="00692C5F"/>
    <w:rsid w:val="0069325A"/>
    <w:rsid w:val="00695544"/>
    <w:rsid w:val="00697A32"/>
    <w:rsid w:val="006A0C50"/>
    <w:rsid w:val="006A17AC"/>
    <w:rsid w:val="006A19F5"/>
    <w:rsid w:val="006A2426"/>
    <w:rsid w:val="006A2F83"/>
    <w:rsid w:val="006A3264"/>
    <w:rsid w:val="006A3DD5"/>
    <w:rsid w:val="006A3E5B"/>
    <w:rsid w:val="006B0705"/>
    <w:rsid w:val="006B0745"/>
    <w:rsid w:val="006B4E3B"/>
    <w:rsid w:val="006B6345"/>
    <w:rsid w:val="006C1690"/>
    <w:rsid w:val="006C19CE"/>
    <w:rsid w:val="006C2186"/>
    <w:rsid w:val="006C2A18"/>
    <w:rsid w:val="006C4599"/>
    <w:rsid w:val="006C4F4C"/>
    <w:rsid w:val="006C54A6"/>
    <w:rsid w:val="006C5C6F"/>
    <w:rsid w:val="006D06C1"/>
    <w:rsid w:val="006D25F0"/>
    <w:rsid w:val="006D33DB"/>
    <w:rsid w:val="006D3905"/>
    <w:rsid w:val="006D47BA"/>
    <w:rsid w:val="006D4F57"/>
    <w:rsid w:val="006D648D"/>
    <w:rsid w:val="006D68D4"/>
    <w:rsid w:val="006E0166"/>
    <w:rsid w:val="006E02A9"/>
    <w:rsid w:val="006E036F"/>
    <w:rsid w:val="006E1DF2"/>
    <w:rsid w:val="006E37A9"/>
    <w:rsid w:val="006E3E1C"/>
    <w:rsid w:val="006E62C0"/>
    <w:rsid w:val="006F012F"/>
    <w:rsid w:val="006F0703"/>
    <w:rsid w:val="006F1A2F"/>
    <w:rsid w:val="006F3731"/>
    <w:rsid w:val="006F4628"/>
    <w:rsid w:val="006F6D4A"/>
    <w:rsid w:val="007008E8"/>
    <w:rsid w:val="007009CB"/>
    <w:rsid w:val="00701A18"/>
    <w:rsid w:val="00701F05"/>
    <w:rsid w:val="00702EBF"/>
    <w:rsid w:val="007057BD"/>
    <w:rsid w:val="0070624B"/>
    <w:rsid w:val="00707480"/>
    <w:rsid w:val="007079AF"/>
    <w:rsid w:val="007109BA"/>
    <w:rsid w:val="00714CA9"/>
    <w:rsid w:val="0071510F"/>
    <w:rsid w:val="00717682"/>
    <w:rsid w:val="0071779B"/>
    <w:rsid w:val="00721E3A"/>
    <w:rsid w:val="00723357"/>
    <w:rsid w:val="00723549"/>
    <w:rsid w:val="007244D9"/>
    <w:rsid w:val="00724C5D"/>
    <w:rsid w:val="007254B7"/>
    <w:rsid w:val="00726771"/>
    <w:rsid w:val="00731BC2"/>
    <w:rsid w:val="0073214A"/>
    <w:rsid w:val="007333C7"/>
    <w:rsid w:val="007350BB"/>
    <w:rsid w:val="0073562A"/>
    <w:rsid w:val="00740BD5"/>
    <w:rsid w:val="00741CD8"/>
    <w:rsid w:val="00742133"/>
    <w:rsid w:val="007437AC"/>
    <w:rsid w:val="00745338"/>
    <w:rsid w:val="0075042C"/>
    <w:rsid w:val="00750C55"/>
    <w:rsid w:val="00751C10"/>
    <w:rsid w:val="00752BB4"/>
    <w:rsid w:val="007537F1"/>
    <w:rsid w:val="007549FE"/>
    <w:rsid w:val="0075608A"/>
    <w:rsid w:val="00756F7A"/>
    <w:rsid w:val="00760AA3"/>
    <w:rsid w:val="00762388"/>
    <w:rsid w:val="00763663"/>
    <w:rsid w:val="007640B8"/>
    <w:rsid w:val="00764D91"/>
    <w:rsid w:val="0076572A"/>
    <w:rsid w:val="007665D9"/>
    <w:rsid w:val="00767629"/>
    <w:rsid w:val="00767C18"/>
    <w:rsid w:val="00770199"/>
    <w:rsid w:val="00770596"/>
    <w:rsid w:val="00771779"/>
    <w:rsid w:val="007722B3"/>
    <w:rsid w:val="007725BE"/>
    <w:rsid w:val="0077570A"/>
    <w:rsid w:val="00775AB0"/>
    <w:rsid w:val="00776A48"/>
    <w:rsid w:val="0077717E"/>
    <w:rsid w:val="007814B5"/>
    <w:rsid w:val="00782F92"/>
    <w:rsid w:val="00783F00"/>
    <w:rsid w:val="007856E5"/>
    <w:rsid w:val="00785C1A"/>
    <w:rsid w:val="00793380"/>
    <w:rsid w:val="00793636"/>
    <w:rsid w:val="00794B53"/>
    <w:rsid w:val="0079507D"/>
    <w:rsid w:val="00796573"/>
    <w:rsid w:val="00796616"/>
    <w:rsid w:val="00796AD9"/>
    <w:rsid w:val="00796E71"/>
    <w:rsid w:val="007A1C16"/>
    <w:rsid w:val="007A2202"/>
    <w:rsid w:val="007A2918"/>
    <w:rsid w:val="007A2DCF"/>
    <w:rsid w:val="007A32FF"/>
    <w:rsid w:val="007A3360"/>
    <w:rsid w:val="007A3A4D"/>
    <w:rsid w:val="007A47EC"/>
    <w:rsid w:val="007A4EEA"/>
    <w:rsid w:val="007A5F84"/>
    <w:rsid w:val="007A6099"/>
    <w:rsid w:val="007A6207"/>
    <w:rsid w:val="007B0029"/>
    <w:rsid w:val="007B1001"/>
    <w:rsid w:val="007B4A8C"/>
    <w:rsid w:val="007B4A9D"/>
    <w:rsid w:val="007B585D"/>
    <w:rsid w:val="007B58A7"/>
    <w:rsid w:val="007B5E3D"/>
    <w:rsid w:val="007C0917"/>
    <w:rsid w:val="007C0A09"/>
    <w:rsid w:val="007C1135"/>
    <w:rsid w:val="007C1609"/>
    <w:rsid w:val="007C24E0"/>
    <w:rsid w:val="007C26CE"/>
    <w:rsid w:val="007C2F78"/>
    <w:rsid w:val="007C6193"/>
    <w:rsid w:val="007C6544"/>
    <w:rsid w:val="007C658A"/>
    <w:rsid w:val="007C69EF"/>
    <w:rsid w:val="007D189B"/>
    <w:rsid w:val="007D2046"/>
    <w:rsid w:val="007D4B6F"/>
    <w:rsid w:val="007D5B99"/>
    <w:rsid w:val="007D6C6E"/>
    <w:rsid w:val="007D6CAA"/>
    <w:rsid w:val="007D72B8"/>
    <w:rsid w:val="007D75E1"/>
    <w:rsid w:val="007D776E"/>
    <w:rsid w:val="007E23F0"/>
    <w:rsid w:val="007E24C0"/>
    <w:rsid w:val="007E58C0"/>
    <w:rsid w:val="007E6589"/>
    <w:rsid w:val="007F0E1D"/>
    <w:rsid w:val="007F3AE0"/>
    <w:rsid w:val="007F50FD"/>
    <w:rsid w:val="007F55B7"/>
    <w:rsid w:val="007F5C54"/>
    <w:rsid w:val="007F6882"/>
    <w:rsid w:val="0080221A"/>
    <w:rsid w:val="00802D0C"/>
    <w:rsid w:val="00802D71"/>
    <w:rsid w:val="008036C7"/>
    <w:rsid w:val="00805740"/>
    <w:rsid w:val="00806FC1"/>
    <w:rsid w:val="00807D71"/>
    <w:rsid w:val="00807EEA"/>
    <w:rsid w:val="00810B3B"/>
    <w:rsid w:val="00810E66"/>
    <w:rsid w:val="00811575"/>
    <w:rsid w:val="008120BC"/>
    <w:rsid w:val="00812C30"/>
    <w:rsid w:val="00815139"/>
    <w:rsid w:val="008172EF"/>
    <w:rsid w:val="00817DB4"/>
    <w:rsid w:val="00820545"/>
    <w:rsid w:val="0082118A"/>
    <w:rsid w:val="008219F3"/>
    <w:rsid w:val="008226DC"/>
    <w:rsid w:val="008256D8"/>
    <w:rsid w:val="00826A4F"/>
    <w:rsid w:val="00826CF3"/>
    <w:rsid w:val="00827FAE"/>
    <w:rsid w:val="008317AD"/>
    <w:rsid w:val="00832DB9"/>
    <w:rsid w:val="00833799"/>
    <w:rsid w:val="00834DB2"/>
    <w:rsid w:val="00834FC8"/>
    <w:rsid w:val="00836321"/>
    <w:rsid w:val="00836D0C"/>
    <w:rsid w:val="008406E7"/>
    <w:rsid w:val="0084107D"/>
    <w:rsid w:val="008417E7"/>
    <w:rsid w:val="00841BDF"/>
    <w:rsid w:val="00842201"/>
    <w:rsid w:val="00842920"/>
    <w:rsid w:val="008447C9"/>
    <w:rsid w:val="0084684E"/>
    <w:rsid w:val="00846883"/>
    <w:rsid w:val="00846908"/>
    <w:rsid w:val="0085094B"/>
    <w:rsid w:val="00851982"/>
    <w:rsid w:val="00851A4C"/>
    <w:rsid w:val="0085446B"/>
    <w:rsid w:val="00854A13"/>
    <w:rsid w:val="008611DE"/>
    <w:rsid w:val="008613FA"/>
    <w:rsid w:val="008619DB"/>
    <w:rsid w:val="0086498B"/>
    <w:rsid w:val="00864BD3"/>
    <w:rsid w:val="008656B8"/>
    <w:rsid w:val="00866897"/>
    <w:rsid w:val="008668B6"/>
    <w:rsid w:val="0086736C"/>
    <w:rsid w:val="00871C1D"/>
    <w:rsid w:val="00872AF4"/>
    <w:rsid w:val="00874A46"/>
    <w:rsid w:val="00874B8E"/>
    <w:rsid w:val="008759BD"/>
    <w:rsid w:val="00875A36"/>
    <w:rsid w:val="00876E8D"/>
    <w:rsid w:val="00877418"/>
    <w:rsid w:val="00882598"/>
    <w:rsid w:val="00882745"/>
    <w:rsid w:val="00886853"/>
    <w:rsid w:val="00887306"/>
    <w:rsid w:val="008908C3"/>
    <w:rsid w:val="008910C3"/>
    <w:rsid w:val="00891528"/>
    <w:rsid w:val="00891B63"/>
    <w:rsid w:val="00896580"/>
    <w:rsid w:val="0089703B"/>
    <w:rsid w:val="008A0209"/>
    <w:rsid w:val="008A1F2A"/>
    <w:rsid w:val="008A207D"/>
    <w:rsid w:val="008A29A5"/>
    <w:rsid w:val="008A2F6F"/>
    <w:rsid w:val="008A48B0"/>
    <w:rsid w:val="008A5200"/>
    <w:rsid w:val="008A5300"/>
    <w:rsid w:val="008A58FA"/>
    <w:rsid w:val="008A6581"/>
    <w:rsid w:val="008B1114"/>
    <w:rsid w:val="008B15C5"/>
    <w:rsid w:val="008B1A1A"/>
    <w:rsid w:val="008B2ACE"/>
    <w:rsid w:val="008B2C55"/>
    <w:rsid w:val="008B300C"/>
    <w:rsid w:val="008B4A6D"/>
    <w:rsid w:val="008B5681"/>
    <w:rsid w:val="008B5A07"/>
    <w:rsid w:val="008B6261"/>
    <w:rsid w:val="008B6A8D"/>
    <w:rsid w:val="008B6B2E"/>
    <w:rsid w:val="008B70F6"/>
    <w:rsid w:val="008B7721"/>
    <w:rsid w:val="008B796C"/>
    <w:rsid w:val="008C0484"/>
    <w:rsid w:val="008C0D0A"/>
    <w:rsid w:val="008C1FEE"/>
    <w:rsid w:val="008C230B"/>
    <w:rsid w:val="008C340C"/>
    <w:rsid w:val="008C3AD4"/>
    <w:rsid w:val="008C4202"/>
    <w:rsid w:val="008C57F6"/>
    <w:rsid w:val="008C637B"/>
    <w:rsid w:val="008C6ED5"/>
    <w:rsid w:val="008C74C2"/>
    <w:rsid w:val="008C7A07"/>
    <w:rsid w:val="008C7B27"/>
    <w:rsid w:val="008D0598"/>
    <w:rsid w:val="008D13E1"/>
    <w:rsid w:val="008D18E3"/>
    <w:rsid w:val="008D203C"/>
    <w:rsid w:val="008D21E2"/>
    <w:rsid w:val="008D2352"/>
    <w:rsid w:val="008D248E"/>
    <w:rsid w:val="008D4F18"/>
    <w:rsid w:val="008D527A"/>
    <w:rsid w:val="008D6405"/>
    <w:rsid w:val="008D6590"/>
    <w:rsid w:val="008D6B5D"/>
    <w:rsid w:val="008D7051"/>
    <w:rsid w:val="008D7717"/>
    <w:rsid w:val="008D7950"/>
    <w:rsid w:val="008D7CEE"/>
    <w:rsid w:val="008D7D30"/>
    <w:rsid w:val="008E00CA"/>
    <w:rsid w:val="008E16BC"/>
    <w:rsid w:val="008E36B1"/>
    <w:rsid w:val="008E3A4B"/>
    <w:rsid w:val="008E3B0A"/>
    <w:rsid w:val="008E4159"/>
    <w:rsid w:val="008F0734"/>
    <w:rsid w:val="008F3491"/>
    <w:rsid w:val="008F370C"/>
    <w:rsid w:val="008F4E76"/>
    <w:rsid w:val="008F5C89"/>
    <w:rsid w:val="009007F6"/>
    <w:rsid w:val="00901726"/>
    <w:rsid w:val="00901D33"/>
    <w:rsid w:val="009036EE"/>
    <w:rsid w:val="00905B1B"/>
    <w:rsid w:val="0091070D"/>
    <w:rsid w:val="00910B34"/>
    <w:rsid w:val="0091143E"/>
    <w:rsid w:val="009119F4"/>
    <w:rsid w:val="0092088D"/>
    <w:rsid w:val="00921428"/>
    <w:rsid w:val="00921FAB"/>
    <w:rsid w:val="0092298C"/>
    <w:rsid w:val="00922DAB"/>
    <w:rsid w:val="0093252C"/>
    <w:rsid w:val="00933759"/>
    <w:rsid w:val="0093382B"/>
    <w:rsid w:val="00933BEB"/>
    <w:rsid w:val="00934A4D"/>
    <w:rsid w:val="00935211"/>
    <w:rsid w:val="00935476"/>
    <w:rsid w:val="00935BCB"/>
    <w:rsid w:val="009401B2"/>
    <w:rsid w:val="0094161F"/>
    <w:rsid w:val="00942BC6"/>
    <w:rsid w:val="00943291"/>
    <w:rsid w:val="00945895"/>
    <w:rsid w:val="00945D79"/>
    <w:rsid w:val="0094607A"/>
    <w:rsid w:val="00946CB2"/>
    <w:rsid w:val="00946E00"/>
    <w:rsid w:val="0095128B"/>
    <w:rsid w:val="009515BD"/>
    <w:rsid w:val="0095197C"/>
    <w:rsid w:val="00955E85"/>
    <w:rsid w:val="009573C9"/>
    <w:rsid w:val="0096019C"/>
    <w:rsid w:val="009623CD"/>
    <w:rsid w:val="009625AB"/>
    <w:rsid w:val="009643A8"/>
    <w:rsid w:val="00966322"/>
    <w:rsid w:val="00967497"/>
    <w:rsid w:val="0096781D"/>
    <w:rsid w:val="00967C38"/>
    <w:rsid w:val="009701BC"/>
    <w:rsid w:val="0097154C"/>
    <w:rsid w:val="00972EFC"/>
    <w:rsid w:val="00973185"/>
    <w:rsid w:val="009736C3"/>
    <w:rsid w:val="00973D13"/>
    <w:rsid w:val="00974E7F"/>
    <w:rsid w:val="00975892"/>
    <w:rsid w:val="00975A9E"/>
    <w:rsid w:val="009760A6"/>
    <w:rsid w:val="00976CEA"/>
    <w:rsid w:val="0097760D"/>
    <w:rsid w:val="00977ABF"/>
    <w:rsid w:val="0098183F"/>
    <w:rsid w:val="00982069"/>
    <w:rsid w:val="00982B4A"/>
    <w:rsid w:val="00984455"/>
    <w:rsid w:val="00984CCE"/>
    <w:rsid w:val="0098618F"/>
    <w:rsid w:val="00986EB2"/>
    <w:rsid w:val="009878E5"/>
    <w:rsid w:val="00987CA2"/>
    <w:rsid w:val="00992F75"/>
    <w:rsid w:val="009934B1"/>
    <w:rsid w:val="0099373B"/>
    <w:rsid w:val="009950A2"/>
    <w:rsid w:val="00995BEB"/>
    <w:rsid w:val="0099602D"/>
    <w:rsid w:val="00997F7A"/>
    <w:rsid w:val="009A107D"/>
    <w:rsid w:val="009A11F5"/>
    <w:rsid w:val="009A15BD"/>
    <w:rsid w:val="009A396D"/>
    <w:rsid w:val="009A4041"/>
    <w:rsid w:val="009A56E3"/>
    <w:rsid w:val="009A73BC"/>
    <w:rsid w:val="009A7998"/>
    <w:rsid w:val="009B5493"/>
    <w:rsid w:val="009B6126"/>
    <w:rsid w:val="009B6BA4"/>
    <w:rsid w:val="009B7A77"/>
    <w:rsid w:val="009C0463"/>
    <w:rsid w:val="009C2300"/>
    <w:rsid w:val="009C35B7"/>
    <w:rsid w:val="009C3B70"/>
    <w:rsid w:val="009C551C"/>
    <w:rsid w:val="009C7A07"/>
    <w:rsid w:val="009C7B6B"/>
    <w:rsid w:val="009D3F81"/>
    <w:rsid w:val="009D5470"/>
    <w:rsid w:val="009D5A0E"/>
    <w:rsid w:val="009E1553"/>
    <w:rsid w:val="009E240B"/>
    <w:rsid w:val="009E344F"/>
    <w:rsid w:val="009E3EF3"/>
    <w:rsid w:val="009E4B87"/>
    <w:rsid w:val="009E6582"/>
    <w:rsid w:val="009E66B8"/>
    <w:rsid w:val="009F0EBE"/>
    <w:rsid w:val="009F1512"/>
    <w:rsid w:val="009F2F05"/>
    <w:rsid w:val="009F41F6"/>
    <w:rsid w:val="009F4A32"/>
    <w:rsid w:val="009F5412"/>
    <w:rsid w:val="009F5683"/>
    <w:rsid w:val="009F5BEB"/>
    <w:rsid w:val="009F6F41"/>
    <w:rsid w:val="009F7216"/>
    <w:rsid w:val="00A00204"/>
    <w:rsid w:val="00A0035F"/>
    <w:rsid w:val="00A00FA9"/>
    <w:rsid w:val="00A018DD"/>
    <w:rsid w:val="00A0259A"/>
    <w:rsid w:val="00A0288B"/>
    <w:rsid w:val="00A02EC8"/>
    <w:rsid w:val="00A03C92"/>
    <w:rsid w:val="00A04CF2"/>
    <w:rsid w:val="00A050AF"/>
    <w:rsid w:val="00A0593A"/>
    <w:rsid w:val="00A06C8A"/>
    <w:rsid w:val="00A10B76"/>
    <w:rsid w:val="00A13D18"/>
    <w:rsid w:val="00A1498F"/>
    <w:rsid w:val="00A15C78"/>
    <w:rsid w:val="00A15D66"/>
    <w:rsid w:val="00A172B5"/>
    <w:rsid w:val="00A17C54"/>
    <w:rsid w:val="00A17CEF"/>
    <w:rsid w:val="00A21B89"/>
    <w:rsid w:val="00A23119"/>
    <w:rsid w:val="00A2326C"/>
    <w:rsid w:val="00A23AA3"/>
    <w:rsid w:val="00A241BE"/>
    <w:rsid w:val="00A26A51"/>
    <w:rsid w:val="00A26B4A"/>
    <w:rsid w:val="00A3004E"/>
    <w:rsid w:val="00A3041D"/>
    <w:rsid w:val="00A30B46"/>
    <w:rsid w:val="00A324FD"/>
    <w:rsid w:val="00A340A2"/>
    <w:rsid w:val="00A3415C"/>
    <w:rsid w:val="00A375C1"/>
    <w:rsid w:val="00A40186"/>
    <w:rsid w:val="00A410D5"/>
    <w:rsid w:val="00A42BE9"/>
    <w:rsid w:val="00A47D16"/>
    <w:rsid w:val="00A50062"/>
    <w:rsid w:val="00A500E7"/>
    <w:rsid w:val="00A50981"/>
    <w:rsid w:val="00A51249"/>
    <w:rsid w:val="00A51687"/>
    <w:rsid w:val="00A51CD4"/>
    <w:rsid w:val="00A52AC9"/>
    <w:rsid w:val="00A54580"/>
    <w:rsid w:val="00A553BB"/>
    <w:rsid w:val="00A555F8"/>
    <w:rsid w:val="00A61715"/>
    <w:rsid w:val="00A62B86"/>
    <w:rsid w:val="00A62EAB"/>
    <w:rsid w:val="00A636D6"/>
    <w:rsid w:val="00A641B8"/>
    <w:rsid w:val="00A64EB4"/>
    <w:rsid w:val="00A65EE9"/>
    <w:rsid w:val="00A66794"/>
    <w:rsid w:val="00A67923"/>
    <w:rsid w:val="00A67B3B"/>
    <w:rsid w:val="00A67F24"/>
    <w:rsid w:val="00A70F99"/>
    <w:rsid w:val="00A72954"/>
    <w:rsid w:val="00A72DC3"/>
    <w:rsid w:val="00A73C98"/>
    <w:rsid w:val="00A73CF8"/>
    <w:rsid w:val="00A746F8"/>
    <w:rsid w:val="00A74B6F"/>
    <w:rsid w:val="00A75B95"/>
    <w:rsid w:val="00A765A1"/>
    <w:rsid w:val="00A81E45"/>
    <w:rsid w:val="00A82C06"/>
    <w:rsid w:val="00A833A9"/>
    <w:rsid w:val="00A83D1A"/>
    <w:rsid w:val="00A840E8"/>
    <w:rsid w:val="00A85668"/>
    <w:rsid w:val="00A86E20"/>
    <w:rsid w:val="00A90DA4"/>
    <w:rsid w:val="00A91916"/>
    <w:rsid w:val="00A91BDF"/>
    <w:rsid w:val="00A926D9"/>
    <w:rsid w:val="00A92F50"/>
    <w:rsid w:val="00A933B7"/>
    <w:rsid w:val="00A936F8"/>
    <w:rsid w:val="00A93D45"/>
    <w:rsid w:val="00A94B4B"/>
    <w:rsid w:val="00A95E7D"/>
    <w:rsid w:val="00AA15C9"/>
    <w:rsid w:val="00AA17EE"/>
    <w:rsid w:val="00AA1B05"/>
    <w:rsid w:val="00AA1BCF"/>
    <w:rsid w:val="00AA2816"/>
    <w:rsid w:val="00AA4410"/>
    <w:rsid w:val="00AA5239"/>
    <w:rsid w:val="00AA6357"/>
    <w:rsid w:val="00AA65AC"/>
    <w:rsid w:val="00AA67C0"/>
    <w:rsid w:val="00AA6AB4"/>
    <w:rsid w:val="00AA6B7E"/>
    <w:rsid w:val="00AA6BE5"/>
    <w:rsid w:val="00AB20C4"/>
    <w:rsid w:val="00AB33C1"/>
    <w:rsid w:val="00AB4A98"/>
    <w:rsid w:val="00AB5AD9"/>
    <w:rsid w:val="00AB5AF6"/>
    <w:rsid w:val="00AB7C4C"/>
    <w:rsid w:val="00AC109F"/>
    <w:rsid w:val="00AC2232"/>
    <w:rsid w:val="00AC275D"/>
    <w:rsid w:val="00AC4A4E"/>
    <w:rsid w:val="00AC4CE3"/>
    <w:rsid w:val="00AC4E1F"/>
    <w:rsid w:val="00AC4F1A"/>
    <w:rsid w:val="00AC7A38"/>
    <w:rsid w:val="00AC7A5F"/>
    <w:rsid w:val="00AD06F8"/>
    <w:rsid w:val="00AD0999"/>
    <w:rsid w:val="00AD0D6F"/>
    <w:rsid w:val="00AD1CEE"/>
    <w:rsid w:val="00AD3046"/>
    <w:rsid w:val="00AD46E2"/>
    <w:rsid w:val="00AD4832"/>
    <w:rsid w:val="00AD6F2C"/>
    <w:rsid w:val="00AD7491"/>
    <w:rsid w:val="00AD7C88"/>
    <w:rsid w:val="00AE14DE"/>
    <w:rsid w:val="00AE2B6B"/>
    <w:rsid w:val="00AE2C50"/>
    <w:rsid w:val="00AE2F2D"/>
    <w:rsid w:val="00AE42EE"/>
    <w:rsid w:val="00AE56AB"/>
    <w:rsid w:val="00AE688B"/>
    <w:rsid w:val="00AE74C1"/>
    <w:rsid w:val="00AE7C5A"/>
    <w:rsid w:val="00AF008D"/>
    <w:rsid w:val="00AF06B2"/>
    <w:rsid w:val="00AF0884"/>
    <w:rsid w:val="00AF1212"/>
    <w:rsid w:val="00AF1C6A"/>
    <w:rsid w:val="00AF26F8"/>
    <w:rsid w:val="00AF3162"/>
    <w:rsid w:val="00AF4896"/>
    <w:rsid w:val="00AF52E7"/>
    <w:rsid w:val="00AF5AAB"/>
    <w:rsid w:val="00B01949"/>
    <w:rsid w:val="00B0326A"/>
    <w:rsid w:val="00B04184"/>
    <w:rsid w:val="00B07309"/>
    <w:rsid w:val="00B07987"/>
    <w:rsid w:val="00B10001"/>
    <w:rsid w:val="00B10AE2"/>
    <w:rsid w:val="00B113F9"/>
    <w:rsid w:val="00B13C17"/>
    <w:rsid w:val="00B14462"/>
    <w:rsid w:val="00B14A73"/>
    <w:rsid w:val="00B1684A"/>
    <w:rsid w:val="00B16EE2"/>
    <w:rsid w:val="00B173AA"/>
    <w:rsid w:val="00B176D0"/>
    <w:rsid w:val="00B17B6F"/>
    <w:rsid w:val="00B2036E"/>
    <w:rsid w:val="00B20F37"/>
    <w:rsid w:val="00B21D6D"/>
    <w:rsid w:val="00B226A0"/>
    <w:rsid w:val="00B23089"/>
    <w:rsid w:val="00B23BBA"/>
    <w:rsid w:val="00B26179"/>
    <w:rsid w:val="00B267B0"/>
    <w:rsid w:val="00B2703C"/>
    <w:rsid w:val="00B30887"/>
    <w:rsid w:val="00B325ED"/>
    <w:rsid w:val="00B32F33"/>
    <w:rsid w:val="00B33DC3"/>
    <w:rsid w:val="00B3475F"/>
    <w:rsid w:val="00B35046"/>
    <w:rsid w:val="00B36EF5"/>
    <w:rsid w:val="00B37E53"/>
    <w:rsid w:val="00B4088C"/>
    <w:rsid w:val="00B408C2"/>
    <w:rsid w:val="00B41253"/>
    <w:rsid w:val="00B44E3B"/>
    <w:rsid w:val="00B4534F"/>
    <w:rsid w:val="00B46862"/>
    <w:rsid w:val="00B46FEF"/>
    <w:rsid w:val="00B50C6B"/>
    <w:rsid w:val="00B5218E"/>
    <w:rsid w:val="00B53245"/>
    <w:rsid w:val="00B532F2"/>
    <w:rsid w:val="00B53DDE"/>
    <w:rsid w:val="00B55896"/>
    <w:rsid w:val="00B621BC"/>
    <w:rsid w:val="00B64602"/>
    <w:rsid w:val="00B6478A"/>
    <w:rsid w:val="00B65900"/>
    <w:rsid w:val="00B71294"/>
    <w:rsid w:val="00B71AD8"/>
    <w:rsid w:val="00B73CFE"/>
    <w:rsid w:val="00B7549A"/>
    <w:rsid w:val="00B75A83"/>
    <w:rsid w:val="00B75DF2"/>
    <w:rsid w:val="00B762AA"/>
    <w:rsid w:val="00B76979"/>
    <w:rsid w:val="00B76D93"/>
    <w:rsid w:val="00B80391"/>
    <w:rsid w:val="00B8058A"/>
    <w:rsid w:val="00B81E02"/>
    <w:rsid w:val="00B82945"/>
    <w:rsid w:val="00B84AED"/>
    <w:rsid w:val="00B85933"/>
    <w:rsid w:val="00B862C7"/>
    <w:rsid w:val="00B863C6"/>
    <w:rsid w:val="00B90485"/>
    <w:rsid w:val="00B91435"/>
    <w:rsid w:val="00B91BB1"/>
    <w:rsid w:val="00B92F48"/>
    <w:rsid w:val="00B94249"/>
    <w:rsid w:val="00B953E1"/>
    <w:rsid w:val="00B9596F"/>
    <w:rsid w:val="00B95A09"/>
    <w:rsid w:val="00B95B08"/>
    <w:rsid w:val="00B97321"/>
    <w:rsid w:val="00B97924"/>
    <w:rsid w:val="00B97B0E"/>
    <w:rsid w:val="00B97E09"/>
    <w:rsid w:val="00B97EA0"/>
    <w:rsid w:val="00BA0142"/>
    <w:rsid w:val="00BA0A21"/>
    <w:rsid w:val="00BA1D03"/>
    <w:rsid w:val="00BA2652"/>
    <w:rsid w:val="00BA445A"/>
    <w:rsid w:val="00BA4F22"/>
    <w:rsid w:val="00BA55F5"/>
    <w:rsid w:val="00BA59AF"/>
    <w:rsid w:val="00BA676E"/>
    <w:rsid w:val="00BA6AC0"/>
    <w:rsid w:val="00BA6B90"/>
    <w:rsid w:val="00BA7930"/>
    <w:rsid w:val="00BB1BD3"/>
    <w:rsid w:val="00BB22AF"/>
    <w:rsid w:val="00BB2472"/>
    <w:rsid w:val="00BB350D"/>
    <w:rsid w:val="00BB3D8B"/>
    <w:rsid w:val="00BC1248"/>
    <w:rsid w:val="00BC288D"/>
    <w:rsid w:val="00BC2AA2"/>
    <w:rsid w:val="00BC38F8"/>
    <w:rsid w:val="00BC3C2F"/>
    <w:rsid w:val="00BC5525"/>
    <w:rsid w:val="00BC7303"/>
    <w:rsid w:val="00BC77D0"/>
    <w:rsid w:val="00BD3E62"/>
    <w:rsid w:val="00BD4C71"/>
    <w:rsid w:val="00BD5E44"/>
    <w:rsid w:val="00BD62E2"/>
    <w:rsid w:val="00BD65E0"/>
    <w:rsid w:val="00BD6FD1"/>
    <w:rsid w:val="00BD7137"/>
    <w:rsid w:val="00BE0FDB"/>
    <w:rsid w:val="00BE5646"/>
    <w:rsid w:val="00BE5B2A"/>
    <w:rsid w:val="00BE68A5"/>
    <w:rsid w:val="00BF044B"/>
    <w:rsid w:val="00BF1894"/>
    <w:rsid w:val="00BF33CC"/>
    <w:rsid w:val="00BF3C9D"/>
    <w:rsid w:val="00BF3D00"/>
    <w:rsid w:val="00BF5C17"/>
    <w:rsid w:val="00BF606C"/>
    <w:rsid w:val="00BF79AB"/>
    <w:rsid w:val="00C0065D"/>
    <w:rsid w:val="00C00EB5"/>
    <w:rsid w:val="00C014E0"/>
    <w:rsid w:val="00C01E4B"/>
    <w:rsid w:val="00C02350"/>
    <w:rsid w:val="00C0305B"/>
    <w:rsid w:val="00C0698A"/>
    <w:rsid w:val="00C07763"/>
    <w:rsid w:val="00C07DAE"/>
    <w:rsid w:val="00C1007A"/>
    <w:rsid w:val="00C10AA4"/>
    <w:rsid w:val="00C13127"/>
    <w:rsid w:val="00C134D0"/>
    <w:rsid w:val="00C14D1D"/>
    <w:rsid w:val="00C14E44"/>
    <w:rsid w:val="00C15453"/>
    <w:rsid w:val="00C1594D"/>
    <w:rsid w:val="00C16316"/>
    <w:rsid w:val="00C16ABA"/>
    <w:rsid w:val="00C16E32"/>
    <w:rsid w:val="00C2047C"/>
    <w:rsid w:val="00C20627"/>
    <w:rsid w:val="00C2134B"/>
    <w:rsid w:val="00C217CD"/>
    <w:rsid w:val="00C2267D"/>
    <w:rsid w:val="00C22760"/>
    <w:rsid w:val="00C22AD8"/>
    <w:rsid w:val="00C25A97"/>
    <w:rsid w:val="00C276A8"/>
    <w:rsid w:val="00C30C57"/>
    <w:rsid w:val="00C316AD"/>
    <w:rsid w:val="00C31CD0"/>
    <w:rsid w:val="00C320E7"/>
    <w:rsid w:val="00C33A30"/>
    <w:rsid w:val="00C36719"/>
    <w:rsid w:val="00C3745D"/>
    <w:rsid w:val="00C41073"/>
    <w:rsid w:val="00C41D4A"/>
    <w:rsid w:val="00C42587"/>
    <w:rsid w:val="00C42867"/>
    <w:rsid w:val="00C45353"/>
    <w:rsid w:val="00C4681E"/>
    <w:rsid w:val="00C46AB2"/>
    <w:rsid w:val="00C51AFB"/>
    <w:rsid w:val="00C51FCE"/>
    <w:rsid w:val="00C52246"/>
    <w:rsid w:val="00C5236F"/>
    <w:rsid w:val="00C5393C"/>
    <w:rsid w:val="00C5566A"/>
    <w:rsid w:val="00C57725"/>
    <w:rsid w:val="00C60798"/>
    <w:rsid w:val="00C60B7E"/>
    <w:rsid w:val="00C6186A"/>
    <w:rsid w:val="00C61A94"/>
    <w:rsid w:val="00C634B1"/>
    <w:rsid w:val="00C63F7D"/>
    <w:rsid w:val="00C65018"/>
    <w:rsid w:val="00C6623B"/>
    <w:rsid w:val="00C6656D"/>
    <w:rsid w:val="00C679B2"/>
    <w:rsid w:val="00C67BD2"/>
    <w:rsid w:val="00C70113"/>
    <w:rsid w:val="00C70A28"/>
    <w:rsid w:val="00C70E13"/>
    <w:rsid w:val="00C71DD6"/>
    <w:rsid w:val="00C7295F"/>
    <w:rsid w:val="00C74598"/>
    <w:rsid w:val="00C745EB"/>
    <w:rsid w:val="00C75CBC"/>
    <w:rsid w:val="00C76028"/>
    <w:rsid w:val="00C76396"/>
    <w:rsid w:val="00C7741E"/>
    <w:rsid w:val="00C77454"/>
    <w:rsid w:val="00C81356"/>
    <w:rsid w:val="00C82ADA"/>
    <w:rsid w:val="00C834AA"/>
    <w:rsid w:val="00C84292"/>
    <w:rsid w:val="00C90663"/>
    <w:rsid w:val="00C91A7E"/>
    <w:rsid w:val="00C92E1B"/>
    <w:rsid w:val="00C93291"/>
    <w:rsid w:val="00C932F9"/>
    <w:rsid w:val="00C932FF"/>
    <w:rsid w:val="00C9330C"/>
    <w:rsid w:val="00C93512"/>
    <w:rsid w:val="00C93724"/>
    <w:rsid w:val="00C95CD5"/>
    <w:rsid w:val="00C9630F"/>
    <w:rsid w:val="00C96832"/>
    <w:rsid w:val="00C96D3F"/>
    <w:rsid w:val="00C971B9"/>
    <w:rsid w:val="00C97D7F"/>
    <w:rsid w:val="00CA08BA"/>
    <w:rsid w:val="00CA1C77"/>
    <w:rsid w:val="00CA1CB5"/>
    <w:rsid w:val="00CA2EE4"/>
    <w:rsid w:val="00CA319A"/>
    <w:rsid w:val="00CA377F"/>
    <w:rsid w:val="00CA40A0"/>
    <w:rsid w:val="00CA57D9"/>
    <w:rsid w:val="00CA6AB5"/>
    <w:rsid w:val="00CA6FEA"/>
    <w:rsid w:val="00CA76F5"/>
    <w:rsid w:val="00CB05CC"/>
    <w:rsid w:val="00CB07BF"/>
    <w:rsid w:val="00CB1167"/>
    <w:rsid w:val="00CB24AF"/>
    <w:rsid w:val="00CB2E4C"/>
    <w:rsid w:val="00CB369D"/>
    <w:rsid w:val="00CB47FF"/>
    <w:rsid w:val="00CB5740"/>
    <w:rsid w:val="00CB6E8C"/>
    <w:rsid w:val="00CB7378"/>
    <w:rsid w:val="00CC138C"/>
    <w:rsid w:val="00CC34EB"/>
    <w:rsid w:val="00CC35B6"/>
    <w:rsid w:val="00CC4528"/>
    <w:rsid w:val="00CC452B"/>
    <w:rsid w:val="00CC4D90"/>
    <w:rsid w:val="00CC51B0"/>
    <w:rsid w:val="00CC55B0"/>
    <w:rsid w:val="00CC61B3"/>
    <w:rsid w:val="00CC7CBE"/>
    <w:rsid w:val="00CD0119"/>
    <w:rsid w:val="00CD1441"/>
    <w:rsid w:val="00CD1AEA"/>
    <w:rsid w:val="00CD1D2F"/>
    <w:rsid w:val="00CD2638"/>
    <w:rsid w:val="00CD299C"/>
    <w:rsid w:val="00CD2B0F"/>
    <w:rsid w:val="00CD376A"/>
    <w:rsid w:val="00CD3D12"/>
    <w:rsid w:val="00CD46E7"/>
    <w:rsid w:val="00CD4763"/>
    <w:rsid w:val="00CD5DA9"/>
    <w:rsid w:val="00CD6C49"/>
    <w:rsid w:val="00CD7870"/>
    <w:rsid w:val="00CE042E"/>
    <w:rsid w:val="00CE0CC5"/>
    <w:rsid w:val="00CE1FBE"/>
    <w:rsid w:val="00CE3204"/>
    <w:rsid w:val="00CE63D7"/>
    <w:rsid w:val="00CF0DCE"/>
    <w:rsid w:val="00CF1AFA"/>
    <w:rsid w:val="00CF298E"/>
    <w:rsid w:val="00CF3098"/>
    <w:rsid w:val="00CF56C9"/>
    <w:rsid w:val="00D00560"/>
    <w:rsid w:val="00D00A53"/>
    <w:rsid w:val="00D01787"/>
    <w:rsid w:val="00D019E1"/>
    <w:rsid w:val="00D028BF"/>
    <w:rsid w:val="00D02A79"/>
    <w:rsid w:val="00D04292"/>
    <w:rsid w:val="00D05AEC"/>
    <w:rsid w:val="00D0687C"/>
    <w:rsid w:val="00D1062F"/>
    <w:rsid w:val="00D10F31"/>
    <w:rsid w:val="00D11142"/>
    <w:rsid w:val="00D11DFB"/>
    <w:rsid w:val="00D1312D"/>
    <w:rsid w:val="00D14F2C"/>
    <w:rsid w:val="00D155DB"/>
    <w:rsid w:val="00D1720F"/>
    <w:rsid w:val="00D223AA"/>
    <w:rsid w:val="00D225D6"/>
    <w:rsid w:val="00D2499F"/>
    <w:rsid w:val="00D250B9"/>
    <w:rsid w:val="00D25362"/>
    <w:rsid w:val="00D25A66"/>
    <w:rsid w:val="00D26110"/>
    <w:rsid w:val="00D26C9E"/>
    <w:rsid w:val="00D315AC"/>
    <w:rsid w:val="00D31A95"/>
    <w:rsid w:val="00D339CC"/>
    <w:rsid w:val="00D33C29"/>
    <w:rsid w:val="00D34614"/>
    <w:rsid w:val="00D35A3E"/>
    <w:rsid w:val="00D360B8"/>
    <w:rsid w:val="00D37E3A"/>
    <w:rsid w:val="00D40E73"/>
    <w:rsid w:val="00D410A3"/>
    <w:rsid w:val="00D443FF"/>
    <w:rsid w:val="00D44893"/>
    <w:rsid w:val="00D45307"/>
    <w:rsid w:val="00D47352"/>
    <w:rsid w:val="00D50122"/>
    <w:rsid w:val="00D50165"/>
    <w:rsid w:val="00D50A99"/>
    <w:rsid w:val="00D51B5B"/>
    <w:rsid w:val="00D52504"/>
    <w:rsid w:val="00D53043"/>
    <w:rsid w:val="00D53B3E"/>
    <w:rsid w:val="00D53D03"/>
    <w:rsid w:val="00D53E84"/>
    <w:rsid w:val="00D55CB8"/>
    <w:rsid w:val="00D55CE5"/>
    <w:rsid w:val="00D55D35"/>
    <w:rsid w:val="00D56BC6"/>
    <w:rsid w:val="00D57ABA"/>
    <w:rsid w:val="00D6073C"/>
    <w:rsid w:val="00D60DF0"/>
    <w:rsid w:val="00D631AC"/>
    <w:rsid w:val="00D65537"/>
    <w:rsid w:val="00D656F3"/>
    <w:rsid w:val="00D65CEA"/>
    <w:rsid w:val="00D666F0"/>
    <w:rsid w:val="00D70353"/>
    <w:rsid w:val="00D712F9"/>
    <w:rsid w:val="00D7160F"/>
    <w:rsid w:val="00D71661"/>
    <w:rsid w:val="00D71D83"/>
    <w:rsid w:val="00D72C8A"/>
    <w:rsid w:val="00D72CB0"/>
    <w:rsid w:val="00D731FC"/>
    <w:rsid w:val="00D73410"/>
    <w:rsid w:val="00D73910"/>
    <w:rsid w:val="00D75E7E"/>
    <w:rsid w:val="00D75FF3"/>
    <w:rsid w:val="00D76904"/>
    <w:rsid w:val="00D8083A"/>
    <w:rsid w:val="00D80C87"/>
    <w:rsid w:val="00D8217F"/>
    <w:rsid w:val="00D825B2"/>
    <w:rsid w:val="00D82E0B"/>
    <w:rsid w:val="00D8405A"/>
    <w:rsid w:val="00D85288"/>
    <w:rsid w:val="00D85DA9"/>
    <w:rsid w:val="00D85EA3"/>
    <w:rsid w:val="00D866E0"/>
    <w:rsid w:val="00D90B3B"/>
    <w:rsid w:val="00D91C8B"/>
    <w:rsid w:val="00D9664E"/>
    <w:rsid w:val="00D96C4B"/>
    <w:rsid w:val="00DA27DC"/>
    <w:rsid w:val="00DA79B7"/>
    <w:rsid w:val="00DA7A47"/>
    <w:rsid w:val="00DB0099"/>
    <w:rsid w:val="00DB00E0"/>
    <w:rsid w:val="00DB0321"/>
    <w:rsid w:val="00DB56E2"/>
    <w:rsid w:val="00DB5D16"/>
    <w:rsid w:val="00DB5E03"/>
    <w:rsid w:val="00DB5EDC"/>
    <w:rsid w:val="00DC0D95"/>
    <w:rsid w:val="00DC1DE3"/>
    <w:rsid w:val="00DC212E"/>
    <w:rsid w:val="00DC34FB"/>
    <w:rsid w:val="00DC5150"/>
    <w:rsid w:val="00DC5156"/>
    <w:rsid w:val="00DD1659"/>
    <w:rsid w:val="00DD1CEE"/>
    <w:rsid w:val="00DD28EC"/>
    <w:rsid w:val="00DD44F5"/>
    <w:rsid w:val="00DD5463"/>
    <w:rsid w:val="00DD6BCC"/>
    <w:rsid w:val="00DD722E"/>
    <w:rsid w:val="00DE0035"/>
    <w:rsid w:val="00DE0704"/>
    <w:rsid w:val="00DE3880"/>
    <w:rsid w:val="00DE3EE6"/>
    <w:rsid w:val="00DE3F25"/>
    <w:rsid w:val="00DE46BA"/>
    <w:rsid w:val="00DE47C0"/>
    <w:rsid w:val="00DE6A76"/>
    <w:rsid w:val="00DF004D"/>
    <w:rsid w:val="00DF17A4"/>
    <w:rsid w:val="00DF19A3"/>
    <w:rsid w:val="00DF2FAD"/>
    <w:rsid w:val="00DF3C42"/>
    <w:rsid w:val="00DF41A6"/>
    <w:rsid w:val="00E007A1"/>
    <w:rsid w:val="00E00C84"/>
    <w:rsid w:val="00E00CEF"/>
    <w:rsid w:val="00E01585"/>
    <w:rsid w:val="00E01D05"/>
    <w:rsid w:val="00E04187"/>
    <w:rsid w:val="00E041F4"/>
    <w:rsid w:val="00E0604E"/>
    <w:rsid w:val="00E110F3"/>
    <w:rsid w:val="00E116D3"/>
    <w:rsid w:val="00E118A6"/>
    <w:rsid w:val="00E11BA5"/>
    <w:rsid w:val="00E13174"/>
    <w:rsid w:val="00E14330"/>
    <w:rsid w:val="00E16EC9"/>
    <w:rsid w:val="00E20A43"/>
    <w:rsid w:val="00E22686"/>
    <w:rsid w:val="00E22A79"/>
    <w:rsid w:val="00E238EC"/>
    <w:rsid w:val="00E243B6"/>
    <w:rsid w:val="00E259AA"/>
    <w:rsid w:val="00E27DFE"/>
    <w:rsid w:val="00E322DC"/>
    <w:rsid w:val="00E3255E"/>
    <w:rsid w:val="00E331A0"/>
    <w:rsid w:val="00E34031"/>
    <w:rsid w:val="00E349DB"/>
    <w:rsid w:val="00E3596C"/>
    <w:rsid w:val="00E375DD"/>
    <w:rsid w:val="00E40760"/>
    <w:rsid w:val="00E41480"/>
    <w:rsid w:val="00E41D2F"/>
    <w:rsid w:val="00E41E3F"/>
    <w:rsid w:val="00E41FAE"/>
    <w:rsid w:val="00E422AB"/>
    <w:rsid w:val="00E44255"/>
    <w:rsid w:val="00E4561F"/>
    <w:rsid w:val="00E460DA"/>
    <w:rsid w:val="00E478BC"/>
    <w:rsid w:val="00E508C8"/>
    <w:rsid w:val="00E532FD"/>
    <w:rsid w:val="00E53447"/>
    <w:rsid w:val="00E53C72"/>
    <w:rsid w:val="00E5411E"/>
    <w:rsid w:val="00E54D10"/>
    <w:rsid w:val="00E54F15"/>
    <w:rsid w:val="00E5509F"/>
    <w:rsid w:val="00E554FC"/>
    <w:rsid w:val="00E56053"/>
    <w:rsid w:val="00E56BAD"/>
    <w:rsid w:val="00E56CCD"/>
    <w:rsid w:val="00E57C7D"/>
    <w:rsid w:val="00E60268"/>
    <w:rsid w:val="00E60EF3"/>
    <w:rsid w:val="00E62B5D"/>
    <w:rsid w:val="00E639A6"/>
    <w:rsid w:val="00E64377"/>
    <w:rsid w:val="00E65A4C"/>
    <w:rsid w:val="00E65ACC"/>
    <w:rsid w:val="00E65C38"/>
    <w:rsid w:val="00E6600F"/>
    <w:rsid w:val="00E66B2F"/>
    <w:rsid w:val="00E66FB6"/>
    <w:rsid w:val="00E67A3A"/>
    <w:rsid w:val="00E67B75"/>
    <w:rsid w:val="00E70BB0"/>
    <w:rsid w:val="00E71327"/>
    <w:rsid w:val="00E715EA"/>
    <w:rsid w:val="00E7195F"/>
    <w:rsid w:val="00E72DE3"/>
    <w:rsid w:val="00E73F0A"/>
    <w:rsid w:val="00E75F25"/>
    <w:rsid w:val="00E7695C"/>
    <w:rsid w:val="00E80B0E"/>
    <w:rsid w:val="00E80C13"/>
    <w:rsid w:val="00E80FC5"/>
    <w:rsid w:val="00E8136F"/>
    <w:rsid w:val="00E81914"/>
    <w:rsid w:val="00E84007"/>
    <w:rsid w:val="00E85869"/>
    <w:rsid w:val="00E87656"/>
    <w:rsid w:val="00E90503"/>
    <w:rsid w:val="00E90DBD"/>
    <w:rsid w:val="00E91371"/>
    <w:rsid w:val="00E929F4"/>
    <w:rsid w:val="00E931E7"/>
    <w:rsid w:val="00E953CE"/>
    <w:rsid w:val="00E95C93"/>
    <w:rsid w:val="00E95EE1"/>
    <w:rsid w:val="00E95FE7"/>
    <w:rsid w:val="00EA2E30"/>
    <w:rsid w:val="00EA354D"/>
    <w:rsid w:val="00EA390C"/>
    <w:rsid w:val="00EA3B46"/>
    <w:rsid w:val="00EA477D"/>
    <w:rsid w:val="00EA512A"/>
    <w:rsid w:val="00EA69B1"/>
    <w:rsid w:val="00EA7BF9"/>
    <w:rsid w:val="00EB0599"/>
    <w:rsid w:val="00EB08DF"/>
    <w:rsid w:val="00EB08E3"/>
    <w:rsid w:val="00EB0D91"/>
    <w:rsid w:val="00EB1E50"/>
    <w:rsid w:val="00EB29EC"/>
    <w:rsid w:val="00EB3CAF"/>
    <w:rsid w:val="00EB4A8B"/>
    <w:rsid w:val="00EB7845"/>
    <w:rsid w:val="00EC0902"/>
    <w:rsid w:val="00EC0C71"/>
    <w:rsid w:val="00EC2860"/>
    <w:rsid w:val="00EC364B"/>
    <w:rsid w:val="00EC4531"/>
    <w:rsid w:val="00EC5061"/>
    <w:rsid w:val="00EC7521"/>
    <w:rsid w:val="00ED03FD"/>
    <w:rsid w:val="00ED2362"/>
    <w:rsid w:val="00ED26B7"/>
    <w:rsid w:val="00ED297C"/>
    <w:rsid w:val="00ED3586"/>
    <w:rsid w:val="00EE05C0"/>
    <w:rsid w:val="00EE1A4A"/>
    <w:rsid w:val="00EE2F9B"/>
    <w:rsid w:val="00EE4D58"/>
    <w:rsid w:val="00EE562C"/>
    <w:rsid w:val="00EE6543"/>
    <w:rsid w:val="00EF0778"/>
    <w:rsid w:val="00EF12E8"/>
    <w:rsid w:val="00EF276C"/>
    <w:rsid w:val="00EF5019"/>
    <w:rsid w:val="00EF5145"/>
    <w:rsid w:val="00EF567C"/>
    <w:rsid w:val="00F0248F"/>
    <w:rsid w:val="00F02A5D"/>
    <w:rsid w:val="00F02B5F"/>
    <w:rsid w:val="00F05D77"/>
    <w:rsid w:val="00F06BE9"/>
    <w:rsid w:val="00F115F6"/>
    <w:rsid w:val="00F11B4F"/>
    <w:rsid w:val="00F148E3"/>
    <w:rsid w:val="00F15FBF"/>
    <w:rsid w:val="00F17A67"/>
    <w:rsid w:val="00F17BCC"/>
    <w:rsid w:val="00F222A0"/>
    <w:rsid w:val="00F2296C"/>
    <w:rsid w:val="00F23E45"/>
    <w:rsid w:val="00F23EDE"/>
    <w:rsid w:val="00F2633B"/>
    <w:rsid w:val="00F263A4"/>
    <w:rsid w:val="00F26BD3"/>
    <w:rsid w:val="00F27307"/>
    <w:rsid w:val="00F305C9"/>
    <w:rsid w:val="00F30CD6"/>
    <w:rsid w:val="00F325ED"/>
    <w:rsid w:val="00F32930"/>
    <w:rsid w:val="00F338CA"/>
    <w:rsid w:val="00F339F0"/>
    <w:rsid w:val="00F35C35"/>
    <w:rsid w:val="00F36DA5"/>
    <w:rsid w:val="00F370DC"/>
    <w:rsid w:val="00F37B38"/>
    <w:rsid w:val="00F415F4"/>
    <w:rsid w:val="00F421D1"/>
    <w:rsid w:val="00F42AA1"/>
    <w:rsid w:val="00F442D6"/>
    <w:rsid w:val="00F4576E"/>
    <w:rsid w:val="00F47184"/>
    <w:rsid w:val="00F503B7"/>
    <w:rsid w:val="00F5043B"/>
    <w:rsid w:val="00F5115E"/>
    <w:rsid w:val="00F5416A"/>
    <w:rsid w:val="00F54AB6"/>
    <w:rsid w:val="00F55E38"/>
    <w:rsid w:val="00F57102"/>
    <w:rsid w:val="00F57392"/>
    <w:rsid w:val="00F57479"/>
    <w:rsid w:val="00F57857"/>
    <w:rsid w:val="00F578C9"/>
    <w:rsid w:val="00F6048D"/>
    <w:rsid w:val="00F604DE"/>
    <w:rsid w:val="00F6180B"/>
    <w:rsid w:val="00F6215A"/>
    <w:rsid w:val="00F62B7E"/>
    <w:rsid w:val="00F6303D"/>
    <w:rsid w:val="00F6522B"/>
    <w:rsid w:val="00F672E4"/>
    <w:rsid w:val="00F6785D"/>
    <w:rsid w:val="00F70C07"/>
    <w:rsid w:val="00F720FC"/>
    <w:rsid w:val="00F7214B"/>
    <w:rsid w:val="00F72E48"/>
    <w:rsid w:val="00F73B4B"/>
    <w:rsid w:val="00F75BFF"/>
    <w:rsid w:val="00F7642A"/>
    <w:rsid w:val="00F76F49"/>
    <w:rsid w:val="00F777F8"/>
    <w:rsid w:val="00F8000F"/>
    <w:rsid w:val="00F82F53"/>
    <w:rsid w:val="00F844C5"/>
    <w:rsid w:val="00F877D2"/>
    <w:rsid w:val="00F90574"/>
    <w:rsid w:val="00F90D0A"/>
    <w:rsid w:val="00F90F41"/>
    <w:rsid w:val="00F924DE"/>
    <w:rsid w:val="00F928B3"/>
    <w:rsid w:val="00F92B3F"/>
    <w:rsid w:val="00FA0E6D"/>
    <w:rsid w:val="00FA10A8"/>
    <w:rsid w:val="00FA20A4"/>
    <w:rsid w:val="00FA2AE1"/>
    <w:rsid w:val="00FA323F"/>
    <w:rsid w:val="00FA358C"/>
    <w:rsid w:val="00FA398A"/>
    <w:rsid w:val="00FA70F1"/>
    <w:rsid w:val="00FB0342"/>
    <w:rsid w:val="00FB133C"/>
    <w:rsid w:val="00FB22AC"/>
    <w:rsid w:val="00FB2C82"/>
    <w:rsid w:val="00FB35DE"/>
    <w:rsid w:val="00FB40B5"/>
    <w:rsid w:val="00FB45D4"/>
    <w:rsid w:val="00FB63A6"/>
    <w:rsid w:val="00FB681D"/>
    <w:rsid w:val="00FB6A3B"/>
    <w:rsid w:val="00FB6F24"/>
    <w:rsid w:val="00FB78BA"/>
    <w:rsid w:val="00FC1AAA"/>
    <w:rsid w:val="00FC45AC"/>
    <w:rsid w:val="00FC4777"/>
    <w:rsid w:val="00FC4E1F"/>
    <w:rsid w:val="00FC5728"/>
    <w:rsid w:val="00FC574D"/>
    <w:rsid w:val="00FC5CE2"/>
    <w:rsid w:val="00FD0114"/>
    <w:rsid w:val="00FD19F5"/>
    <w:rsid w:val="00FD476A"/>
    <w:rsid w:val="00FD5CF8"/>
    <w:rsid w:val="00FD617C"/>
    <w:rsid w:val="00FE0482"/>
    <w:rsid w:val="00FE0B8F"/>
    <w:rsid w:val="00FE2733"/>
    <w:rsid w:val="00FE35D4"/>
    <w:rsid w:val="00FE4717"/>
    <w:rsid w:val="00FE53A9"/>
    <w:rsid w:val="00FE5BA6"/>
    <w:rsid w:val="00FE5CE6"/>
    <w:rsid w:val="00FE6E7A"/>
    <w:rsid w:val="00FE72E1"/>
    <w:rsid w:val="00FE76B0"/>
    <w:rsid w:val="00FF4433"/>
    <w:rsid w:val="00FF4716"/>
    <w:rsid w:val="00FF5B62"/>
    <w:rsid w:val="00FF6226"/>
    <w:rsid w:val="2F17AACD"/>
    <w:rsid w:val="517EC2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C0A1"/>
  <w15:chartTrackingRefBased/>
  <w15:docId w15:val="{EB165EAD-62E7-47F7-B92D-14EE25AE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D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F27307"/>
    <w:pPr>
      <w:keepNext/>
      <w:spacing w:after="160" w:line="259" w:lineRule="auto"/>
      <w:ind w:left="964" w:hanging="964"/>
      <w:outlineLvl w:val="3"/>
    </w:pPr>
    <w:rPr>
      <w:rFonts w:ascii="Calibri" w:eastAsia="Times New Roman" w:hAnsi="Calibri"/>
      <w:b/>
      <w:bCs/>
      <w:sz w:val="24"/>
      <w:szCs w:val="24"/>
    </w:rPr>
  </w:style>
  <w:style w:type="paragraph" w:styleId="Heading5">
    <w:name w:val="heading 5"/>
    <w:basedOn w:val="Normal"/>
    <w:next w:val="Normal"/>
    <w:link w:val="Heading5Char"/>
    <w:uiPriority w:val="6"/>
    <w:rsid w:val="00AC7A5F"/>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kern w:val="2"/>
      <w:sz w:val="36"/>
      <w:szCs w:val="28"/>
      <w:lang w:eastAsia="ja-JP"/>
      <w14:ligatures w14:val="standardContextual"/>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F27307"/>
    <w:rPr>
      <w:rFonts w:ascii="Calibri" w:eastAsia="Times New Roman" w:hAnsi="Calibri"/>
      <w:b/>
      <w:bCs/>
      <w:sz w:val="24"/>
      <w:szCs w:val="24"/>
    </w:rPr>
  </w:style>
  <w:style w:type="character" w:customStyle="1" w:styleId="Heading5Char">
    <w:name w:val="Heading 5 Char"/>
    <w:basedOn w:val="DefaultParagraphFont"/>
    <w:link w:val="Heading5"/>
    <w:uiPriority w:val="6"/>
    <w:rsid w:val="00AC7A5F"/>
    <w:rPr>
      <w:rFonts w:ascii="Calibri" w:eastAsiaTheme="minorHAnsi" w:hAnsi="Calibri" w:cstheme="minorBidi"/>
      <w:b/>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AC7A5F"/>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AC7A5F"/>
    <w:rPr>
      <w:rFonts w:ascii="Calibri" w:eastAsiaTheme="minorHAnsi" w:hAnsi="Calibri" w:cstheme="minorBidi"/>
      <w:szCs w:val="22"/>
      <w:lang w:eastAsia="en-US"/>
    </w:rPr>
  </w:style>
  <w:style w:type="paragraph" w:styleId="Footer">
    <w:name w:val="footer"/>
    <w:basedOn w:val="Normal"/>
    <w:link w:val="FooterChar"/>
    <w:uiPriority w:val="99"/>
    <w:rsid w:val="00AC7A5F"/>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sid w:val="00AC7A5F"/>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14"/>
      </w:numPr>
      <w:spacing w:before="120" w:after="120"/>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14"/>
      </w:numPr>
      <w:spacing w:before="120" w:after="120"/>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customStyle="1" w:styleId="TableBullet">
    <w:name w:val="Table Bullet"/>
    <w:basedOn w:val="TableText"/>
    <w:uiPriority w:val="15"/>
    <w:qFormat/>
    <w:rsid w:val="00AC7A5F"/>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0"/>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rsid w:val="002E461F"/>
    <w:pPr>
      <w:numPr>
        <w:ilvl w:val="2"/>
        <w:numId w:val="14"/>
      </w:numPr>
      <w:contextualSpacing/>
    </w:pPr>
  </w:style>
  <w:style w:type="paragraph" w:styleId="ListParagraph">
    <w:name w:val="List Paragraph"/>
    <w:basedOn w:val="Normal"/>
    <w:uiPriority w:val="34"/>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1">
    <w:name w:val="Table Bullet 1"/>
    <w:basedOn w:val="TableText"/>
    <w:uiPriority w:val="15"/>
    <w:qFormat/>
    <w:rsid w:val="00BD3E62"/>
    <w:pPr>
      <w:numPr>
        <w:numId w:val="7"/>
      </w:numPr>
      <w:ind w:left="357" w:hanging="357"/>
    </w:pPr>
  </w:style>
  <w:style w:type="paragraph" w:customStyle="1" w:styleId="TableBullet2">
    <w:name w:val="Table Bullet 2"/>
    <w:basedOn w:val="TableBullet1"/>
    <w:qFormat/>
    <w:rsid w:val="00BD3E62"/>
    <w:pPr>
      <w:numPr>
        <w:numId w:val="8"/>
      </w:numPr>
      <w:tabs>
        <w:tab w:val="num" w:pos="426"/>
      </w:tabs>
      <w:ind w:left="0" w:firstLine="159"/>
    </w:pPr>
  </w:style>
  <w:style w:type="numbering" w:customStyle="1" w:styleId="TableBulletlist">
    <w:name w:val="Table Bullet list"/>
    <w:uiPriority w:val="99"/>
    <w:rsid w:val="00AC7A5F"/>
    <w:pPr>
      <w:numPr>
        <w:numId w:val="9"/>
      </w:numPr>
    </w:pPr>
  </w:style>
  <w:style w:type="paragraph" w:customStyle="1" w:styleId="Tablenumberedlist">
    <w:name w:val="Table numbered list"/>
    <w:uiPriority w:val="99"/>
    <w:qFormat/>
    <w:rsid w:val="00836D0C"/>
    <w:pPr>
      <w:numPr>
        <w:numId w:val="12"/>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numberedlist2">
    <w:name w:val="Table numbered list 2"/>
    <w:basedOn w:val="TableText"/>
    <w:qFormat/>
    <w:rsid w:val="00836D0C"/>
    <w:pPr>
      <w:numPr>
        <w:ilvl w:val="1"/>
        <w:numId w:val="12"/>
      </w:numPr>
    </w:pPr>
  </w:style>
  <w:style w:type="paragraph" w:customStyle="1" w:styleId="Tablenumberedlist3">
    <w:name w:val="Table numbered list 3"/>
    <w:basedOn w:val="TableText"/>
    <w:qFormat/>
    <w:rsid w:val="00836D0C"/>
    <w:pPr>
      <w:numPr>
        <w:ilvl w:val="2"/>
        <w:numId w:val="12"/>
      </w:numPr>
    </w:pPr>
  </w:style>
  <w:style w:type="numbering" w:customStyle="1" w:styleId="Tablenumberedlists">
    <w:name w:val="Table numbered lists"/>
    <w:uiPriority w:val="99"/>
    <w:rsid w:val="00836D0C"/>
    <w:pPr>
      <w:numPr>
        <w:numId w:val="11"/>
      </w:numPr>
    </w:pPr>
  </w:style>
  <w:style w:type="character" w:customStyle="1" w:styleId="wacimagecontainer">
    <w:name w:val="wacimagecontainer"/>
    <w:basedOn w:val="DefaultParagraphFont"/>
    <w:rsid w:val="000C2EDD"/>
  </w:style>
  <w:style w:type="paragraph" w:styleId="Revision">
    <w:name w:val="Revision"/>
    <w:hidden/>
    <w:uiPriority w:val="99"/>
    <w:semiHidden/>
    <w:rsid w:val="009573C9"/>
    <w:rPr>
      <w:rFonts w:asciiTheme="minorHAnsi" w:eastAsiaTheme="minorHAnsi" w:hAnsiTheme="minorHAnsi" w:cstheme="minorBidi"/>
      <w:kern w:val="2"/>
      <w:sz w:val="22"/>
      <w:szCs w:val="22"/>
      <w:lang w:eastAsia="en-US"/>
      <w14:ligatures w14:val="standardContextual"/>
    </w:rPr>
  </w:style>
  <w:style w:type="paragraph" w:customStyle="1" w:styleId="Series">
    <w:name w:val="Series"/>
    <w:basedOn w:val="Normal"/>
    <w:qFormat/>
    <w:rsid w:val="00B81E02"/>
    <w:pPr>
      <w:spacing w:before="120" w:after="120" w:line="240" w:lineRule="auto"/>
    </w:pPr>
    <w:rPr>
      <w:rFonts w:ascii="Calibri" w:eastAsia="Calibri" w:hAnsi="Calibri" w:cs="Times New Roman"/>
      <w:b/>
      <w:i/>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96973">
      <w:bodyDiv w:val="1"/>
      <w:marLeft w:val="0"/>
      <w:marRight w:val="0"/>
      <w:marTop w:val="0"/>
      <w:marBottom w:val="0"/>
      <w:divBdr>
        <w:top w:val="none" w:sz="0" w:space="0" w:color="auto"/>
        <w:left w:val="none" w:sz="0" w:space="0" w:color="auto"/>
        <w:bottom w:val="none" w:sz="0" w:space="0" w:color="auto"/>
        <w:right w:val="none" w:sz="0" w:space="0" w:color="auto"/>
      </w:divBdr>
    </w:div>
    <w:div w:id="32501854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34345299">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005064">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6402788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3540">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F2024L00150/asmade/downloads" TargetMode="External"/><Relationship Id="rId18" Type="http://schemas.openxmlformats.org/officeDocument/2006/relationships/hyperlink" Target="https://www.agriculture.gov.au/agriculture-land/farm-food-drought/drought/future-drought-fund/me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griculture.gov.au/agriculture-land/farm-food-drought/drought/drought-policy/national-drought-agreement" TargetMode="External"/><Relationship Id="rId7" Type="http://schemas.openxmlformats.org/officeDocument/2006/relationships/styles" Target="styles.xml"/><Relationship Id="rId12" Type="http://schemas.openxmlformats.org/officeDocument/2006/relationships/hyperlink" Target="https://www.legislation.gov.au/F2024L00150/asmade/downloads" TargetMode="External"/><Relationship Id="rId17" Type="http://schemas.openxmlformats.org/officeDocument/2006/relationships/hyperlink" Target="https://www.legislation.gov.au/F2024L00150/asmade/downloa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F2024L00150/asmade/downloads" TargetMode="External"/><Relationship Id="rId20" Type="http://schemas.openxmlformats.org/officeDocument/2006/relationships/hyperlink" Target="https://www.legislation.gov.au/F2024L00150/asmade/downloa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haveyoursay.agriculture.gov.au/future-drought-fund" TargetMode="External"/><Relationship Id="rId23" Type="http://schemas.openxmlformats.org/officeDocument/2006/relationships/hyperlink" Target="https://creativecommons.org/licenses/by/4.0/legalcod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au/F2020L00117/latest/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C2019A00055/latest/downloads" TargetMode="External"/><Relationship Id="rId22" Type="http://schemas.openxmlformats.org/officeDocument/2006/relationships/hyperlink" Target="https://www.agriculture.gov.au/agriculture-land/farm-food-drought/drought/drought-policy"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2.xml><?xml version="1.0" encoding="utf-8"?>
<ds:datastoreItem xmlns:ds="http://schemas.openxmlformats.org/officeDocument/2006/customXml" ds:itemID="{C37878A9-77DA-42FE-B276-5C3910FF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29</TotalTime>
  <Pages>7</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FDF Funding Plan – guidance note for delivery partners</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FDF Funding Plan – guidance note for delivery partners</dc:title>
  <dc:subject/>
  <dc:creator>Department of Agriculture, Fisheries and Forestry</dc:creator>
  <cp:keywords/>
  <dc:description/>
  <cp:revision>13</cp:revision>
  <cp:lastPrinted>2026-05-01T01:05:00Z</cp:lastPrinted>
  <dcterms:created xsi:type="dcterms:W3CDTF">2026-03-30T06:05:00Z</dcterms:created>
  <dcterms:modified xsi:type="dcterms:W3CDTF">2026-05-04T02:22:00Z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0x0101008991DB94C8E2E14F9D69CDF9B52A3286</vt:lpwstr>
  </property>
  <property fmtid="{D5CDD505-2E9C-101B-9397-08002B2CF9AE}" pid="12" name="ClassificationContentMarkingHeaderShapeIds">
    <vt:lpwstr>5937e7e,7d16ff71,aa19e82</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197af8b8,646366f4,5ea9aeb8</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2024-02-26T23:58:46Z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b26d1408-6dd5-4381-9205-7fa41ba4993e</vt:lpwstr>
  </property>
  <property fmtid="{D5CDD505-2E9C-101B-9397-08002B2CF9AE}" pid="24" name="MSIP_Label_933d8be6-3c40-4052-87a2-9c2adcba8759_ContentBits">
    <vt:lpwstr>3</vt:lpwstr>
  </property>
  <property fmtid="{D5CDD505-2E9C-101B-9397-08002B2CF9AE}" pid="25" name="MediaServiceImageTags">
    <vt:lpwstr/>
  </property>
  <property fmtid="{D5CDD505-2E9C-101B-9397-08002B2CF9AE}" pid="26" name="docLang">
    <vt:lpwstr>en</vt:lpwstr>
  </property>
</Properties>
</file>