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2B315" w14:textId="77777777" w:rsidR="008874CA" w:rsidRPr="00A8755C" w:rsidRDefault="008874CA" w:rsidP="00A8755C"/>
    <w:p w14:paraId="31A2F2E5" w14:textId="77777777" w:rsidR="000F4347" w:rsidRPr="00955E85" w:rsidRDefault="000F4347" w:rsidP="000F4347">
      <w:pPr>
        <w:spacing w:before="1200" w:line="360" w:lineRule="auto"/>
        <w:rPr>
          <w:rFonts w:ascii="Calibri" w:eastAsia="Calibri" w:hAnsi="Calibri" w:cs="Times New Roman"/>
        </w:rPr>
      </w:pPr>
      <w:r>
        <w:rPr>
          <w:rFonts w:ascii="Calibri" w:eastAsia="Calibri" w:hAnsi="Calibri" w:cs="Times New Roman"/>
        </w:rPr>
        <w:t>March</w:t>
      </w:r>
      <w:r w:rsidRPr="00955E85">
        <w:rPr>
          <w:rFonts w:ascii="Calibri" w:eastAsia="Calibri" w:hAnsi="Calibri" w:cs="Times New Roman"/>
        </w:rPr>
        <w:t xml:space="preserve"> 202</w:t>
      </w:r>
      <w:r>
        <w:rPr>
          <w:rFonts w:ascii="Calibri" w:eastAsia="Calibri" w:hAnsi="Calibri" w:cs="Times New Roman"/>
        </w:rPr>
        <w:t>6</w:t>
      </w:r>
      <w:r w:rsidRPr="00955E85">
        <w:rPr>
          <w:rFonts w:ascii="Calibri" w:eastAsia="Calibri" w:hAnsi="Calibri" w:cs="Times New Roman"/>
        </w:rPr>
        <w:t xml:space="preserve"> – Version 1.0</w:t>
      </w:r>
    </w:p>
    <w:p w14:paraId="3F69C7F4" w14:textId="53508A45" w:rsidR="00A8755C" w:rsidRPr="00822F9F" w:rsidRDefault="00A8755C" w:rsidP="00A8755C">
      <w:pPr>
        <w:pStyle w:val="Series"/>
        <w:rPr>
          <w:sz w:val="28"/>
          <w:szCs w:val="28"/>
        </w:rPr>
      </w:pPr>
      <w:r w:rsidRPr="00822F9F">
        <w:rPr>
          <w:sz w:val="28"/>
          <w:szCs w:val="28"/>
        </w:rPr>
        <w:t xml:space="preserve">Future Drought Fund </w:t>
      </w:r>
      <w:r w:rsidR="006E2823">
        <w:rPr>
          <w:sz w:val="28"/>
          <w:szCs w:val="28"/>
        </w:rPr>
        <w:t>p</w:t>
      </w:r>
      <w:r w:rsidRPr="00822F9F">
        <w:rPr>
          <w:sz w:val="28"/>
          <w:szCs w:val="28"/>
        </w:rPr>
        <w:t>olicy instructions</w:t>
      </w:r>
    </w:p>
    <w:p w14:paraId="42E98167" w14:textId="1019E18A" w:rsidR="00B33E2E" w:rsidRPr="005068A6" w:rsidRDefault="002B753C" w:rsidP="005068A6">
      <w:pPr>
        <w:pStyle w:val="Heading1"/>
        <w:rPr>
          <w:szCs w:val="40"/>
        </w:rPr>
      </w:pPr>
      <w:bookmarkStart w:id="0" w:name="_Hlk213948431"/>
      <w:r>
        <w:rPr>
          <w:szCs w:val="40"/>
        </w:rPr>
        <w:t>International</w:t>
      </w:r>
      <w:r w:rsidR="002139FC" w:rsidRPr="00822F9F">
        <w:rPr>
          <w:szCs w:val="40"/>
        </w:rPr>
        <w:t xml:space="preserve"> expenditur</w:t>
      </w:r>
      <w:bookmarkEnd w:id="0"/>
      <w:r w:rsidR="00E33D87">
        <w:rPr>
          <w:szCs w:val="40"/>
        </w:rPr>
        <w:t>e</w:t>
      </w:r>
    </w:p>
    <w:p w14:paraId="43BED90A" w14:textId="77777777" w:rsidR="0093548E" w:rsidRDefault="0093548E" w:rsidP="0093548E">
      <w:pPr>
        <w:pStyle w:val="BoxHeading"/>
      </w:pPr>
      <w:r>
        <w:t>Important</w:t>
      </w:r>
    </w:p>
    <w:p w14:paraId="0B992F73" w14:textId="2B2D804B" w:rsidR="0093548E" w:rsidRDefault="0093548E" w:rsidP="0093548E">
      <w:pPr>
        <w:pStyle w:val="BoxText"/>
      </w:pPr>
      <w:r>
        <w:t>Future Drought Fund (FDF) funds should be used within Australia wherever possible. In some cases, delivery partners or project leads may need to spend FDF funding internationally to access goods and services. All FDF funds spent internationally must be a direct cost of the project and be incurred for project activities. FDF funding cannot be spent on international travel, unless explicitly agreed to as part of the project.</w:t>
      </w:r>
    </w:p>
    <w:p w14:paraId="30BEE764" w14:textId="0EBE07F3" w:rsidR="0093548E" w:rsidRDefault="0093548E" w:rsidP="0093548E">
      <w:pPr>
        <w:pStyle w:val="BoxText"/>
      </w:pPr>
      <w:r>
        <w:t>This document does not provide advice on requirements outside of international expenditure of FDF funds. Delivery partners and project leads must consider all other Australian requirements and laws regarding spending funding internationally and importing goods into Australia, for example the Customs Act 1901 and the Biosecurity Act 2015.</w:t>
      </w:r>
    </w:p>
    <w:p w14:paraId="75A693DB" w14:textId="7AE98C49" w:rsidR="00C82856" w:rsidRPr="00822F9F" w:rsidRDefault="00086891" w:rsidP="00AD2C29">
      <w:pPr>
        <w:pStyle w:val="Heading2"/>
        <w:spacing w:before="360"/>
      </w:pPr>
      <w:r>
        <w:t>Accessing international</w:t>
      </w:r>
      <w:r w:rsidR="00C82856" w:rsidRPr="00822F9F">
        <w:t xml:space="preserve"> </w:t>
      </w:r>
      <w:r>
        <w:t>goods and services</w:t>
      </w:r>
    </w:p>
    <w:p w14:paraId="19F353A9" w14:textId="79CE52E5" w:rsidR="00AD2C29" w:rsidRDefault="0093548E" w:rsidP="00AD2C29">
      <w:pPr>
        <w:tabs>
          <w:tab w:val="left" w:pos="6135"/>
        </w:tabs>
      </w:pPr>
      <w:r>
        <w:t>FDF</w:t>
      </w:r>
      <w:r w:rsidR="00C82856">
        <w:t xml:space="preserve"> d</w:t>
      </w:r>
      <w:r w:rsidR="00C82856" w:rsidRPr="00C82856">
        <w:t xml:space="preserve">elivery partners may access </w:t>
      </w:r>
      <w:r w:rsidR="001F162A">
        <w:t>goods</w:t>
      </w:r>
      <w:r w:rsidR="00086891">
        <w:t xml:space="preserve"> and</w:t>
      </w:r>
      <w:r w:rsidR="00C82856" w:rsidRPr="00C82856">
        <w:t xml:space="preserve"> services internationally</w:t>
      </w:r>
      <w:r w:rsidR="00C82856">
        <w:t xml:space="preserve"> </w:t>
      </w:r>
      <w:r w:rsidR="00C82856" w:rsidRPr="00C82856">
        <w:t>to achieve project outcomes</w:t>
      </w:r>
      <w:r w:rsidR="00C82856">
        <w:t>, where appropriate.</w:t>
      </w:r>
      <w:r w:rsidR="00E01862">
        <w:t xml:space="preserve"> </w:t>
      </w:r>
      <w:r w:rsidR="00E01862" w:rsidRPr="00682212">
        <w:t>Some examples include</w:t>
      </w:r>
      <w:r w:rsidR="00C82856" w:rsidRPr="00682212">
        <w:t xml:space="preserve"> equipment or products, access to international research and facilities such as specialist archives, collections, databases, and expertise.</w:t>
      </w:r>
    </w:p>
    <w:p w14:paraId="343FCC00" w14:textId="52543BFB" w:rsidR="00C82856" w:rsidRDefault="00AD2C29" w:rsidP="00E01862">
      <w:pPr>
        <w:tabs>
          <w:tab w:val="left" w:pos="6135"/>
        </w:tabs>
        <w:spacing w:after="360"/>
      </w:pPr>
      <w:r>
        <w:t>(see</w:t>
      </w:r>
      <w:r w:rsidR="007F42E6">
        <w:t xml:space="preserve"> also</w:t>
      </w:r>
      <w:r>
        <w:t xml:space="preserve"> </w:t>
      </w:r>
      <w:r w:rsidR="007F42E6">
        <w:fldChar w:fldCharType="begin"/>
      </w:r>
      <w:r w:rsidR="007F42E6">
        <w:instrText xml:space="preserve"> REF _Ref219388538 \h </w:instrText>
      </w:r>
      <w:r w:rsidR="007F42E6">
        <w:fldChar w:fldCharType="separate"/>
      </w:r>
      <w:r w:rsidR="00CA3CF5">
        <w:t xml:space="preserve">Appendix A: International </w:t>
      </w:r>
      <w:r w:rsidR="00CA3CF5" w:rsidRPr="00FE632F">
        <w:t xml:space="preserve">expenditure </w:t>
      </w:r>
      <w:r w:rsidR="00CA3CF5">
        <w:t>examples</w:t>
      </w:r>
      <w:r w:rsidR="007F42E6">
        <w:fldChar w:fldCharType="end"/>
      </w:r>
      <w:r>
        <w:t>)</w:t>
      </w:r>
    </w:p>
    <w:p w14:paraId="29C6F608" w14:textId="3A200EEE" w:rsidR="00C82856" w:rsidRPr="00C82856" w:rsidRDefault="002B753C" w:rsidP="00295041">
      <w:pPr>
        <w:pStyle w:val="Heading2"/>
      </w:pPr>
      <w:r>
        <w:t>International</w:t>
      </w:r>
      <w:r w:rsidR="00C82856" w:rsidRPr="00C82856">
        <w:t xml:space="preserve"> expenditure</w:t>
      </w:r>
    </w:p>
    <w:p w14:paraId="48E2BB25" w14:textId="7B4F0AD5" w:rsidR="006E5E86" w:rsidRPr="00411260" w:rsidRDefault="006E5E86" w:rsidP="0011062D">
      <w:pPr>
        <w:tabs>
          <w:tab w:val="left" w:pos="6135"/>
        </w:tabs>
        <w:spacing w:before="240"/>
      </w:pPr>
      <w:r w:rsidRPr="006E5E86">
        <w:t xml:space="preserve">When </w:t>
      </w:r>
      <w:r w:rsidR="000B1B5A">
        <w:t>expending</w:t>
      </w:r>
      <w:r w:rsidRPr="006E5E86">
        <w:t xml:space="preserve"> funds on </w:t>
      </w:r>
      <w:r w:rsidR="002B753C">
        <w:t>international</w:t>
      </w:r>
      <w:r w:rsidRPr="006E5E86">
        <w:t xml:space="preserve"> </w:t>
      </w:r>
      <w:r w:rsidR="00086891">
        <w:t>goods and services</w:t>
      </w:r>
      <w:r w:rsidRPr="006E5E86">
        <w:t xml:space="preserve"> for the delivery of FDF</w:t>
      </w:r>
      <w:r>
        <w:t xml:space="preserve"> </w:t>
      </w:r>
      <w:r w:rsidRPr="006E5E86">
        <w:t xml:space="preserve">activities, delivery partners must consider the following principles. </w:t>
      </w:r>
      <w:bookmarkStart w:id="1" w:name="_Hlk214283169"/>
      <w:r w:rsidRPr="006E5E86">
        <w:t xml:space="preserve">These principles also serve as a helpful guide when accessing international </w:t>
      </w:r>
      <w:r w:rsidR="00086891">
        <w:t>goods and services</w:t>
      </w:r>
      <w:r w:rsidRPr="006E5E86">
        <w:t xml:space="preserve"> </w:t>
      </w:r>
      <w:r>
        <w:t>for FDF activities where no</w:t>
      </w:r>
      <w:r w:rsidRPr="006E5E86">
        <w:t xml:space="preserve"> fund</w:t>
      </w:r>
      <w:r>
        <w:t>s are being used, for example unpaid expert advice</w:t>
      </w:r>
      <w:bookmarkEnd w:id="1"/>
      <w:r>
        <w:t>.</w:t>
      </w:r>
    </w:p>
    <w:p w14:paraId="6F8CFC0A" w14:textId="0798F5F4" w:rsidR="00002113" w:rsidRPr="003367A3" w:rsidRDefault="00002113" w:rsidP="00002113">
      <w:pPr>
        <w:pStyle w:val="ListNumber"/>
        <w:rPr>
          <w:b/>
          <w:bCs/>
        </w:rPr>
      </w:pPr>
      <w:r w:rsidRPr="003367A3">
        <w:rPr>
          <w:b/>
          <w:bCs/>
        </w:rPr>
        <w:t>Compliance with program guidelines and legislative requirements</w:t>
      </w:r>
    </w:p>
    <w:p w14:paraId="0EADFC67" w14:textId="0F8C43AB" w:rsidR="00002113" w:rsidRDefault="00002113" w:rsidP="00002113">
      <w:pPr>
        <w:pStyle w:val="ListNumber2"/>
      </w:pPr>
      <w:r>
        <w:t>All expenditure must comply with the FDF program guidelines</w:t>
      </w:r>
      <w:r w:rsidR="001A425D">
        <w:t xml:space="preserve"> such as </w:t>
      </w:r>
      <w:r w:rsidR="001A425D" w:rsidRPr="001A425D">
        <w:t>Grant Opportunity Guidelines</w:t>
      </w:r>
      <w:r w:rsidR="001A425D">
        <w:t>,</w:t>
      </w:r>
      <w:r w:rsidR="00BD426B">
        <w:t xml:space="preserve"> and</w:t>
      </w:r>
      <w:r w:rsidR="00A754B2">
        <w:t xml:space="preserve"> </w:t>
      </w:r>
      <w:r>
        <w:t>the conditions of the grant agreement or</w:t>
      </w:r>
      <w:r w:rsidR="00A754B2">
        <w:t xml:space="preserve"> </w:t>
      </w:r>
      <w:r>
        <w:t>arrangement</w:t>
      </w:r>
      <w:r w:rsidR="00A754B2">
        <w:t>.</w:t>
      </w:r>
      <w:r w:rsidR="00BD426B">
        <w:t xml:space="preserve"> This includes ensuring that </w:t>
      </w:r>
      <w:r w:rsidR="000B1B5A">
        <w:t>expenditure</w:t>
      </w:r>
      <w:r w:rsidR="00BD426B">
        <w:t xml:space="preserve"> is classed as </w:t>
      </w:r>
      <w:r w:rsidR="006E5E86">
        <w:t>‘</w:t>
      </w:r>
      <w:r w:rsidR="00BD426B">
        <w:t>eligible expenditure</w:t>
      </w:r>
      <w:r w:rsidR="006E5E86">
        <w:t>’</w:t>
      </w:r>
      <w:r w:rsidR="00634376">
        <w:t xml:space="preserve"> and/or is not listed as ‘ineligible expenditure’</w:t>
      </w:r>
      <w:r w:rsidR="00BD426B">
        <w:t xml:space="preserve"> as outline</w:t>
      </w:r>
      <w:r w:rsidR="00CB60F4">
        <w:t>d</w:t>
      </w:r>
      <w:r w:rsidR="00BD426B">
        <w:t xml:space="preserve"> in the </w:t>
      </w:r>
      <w:r w:rsidR="001A425D">
        <w:t>G</w:t>
      </w:r>
      <w:r w:rsidR="00BD426B">
        <w:t xml:space="preserve">rant </w:t>
      </w:r>
      <w:r w:rsidR="001A425D">
        <w:t>O</w:t>
      </w:r>
      <w:r w:rsidR="00BD426B">
        <w:t xml:space="preserve">pportunity </w:t>
      </w:r>
      <w:r w:rsidR="001A425D">
        <w:t>G</w:t>
      </w:r>
      <w:r w:rsidR="00BD426B">
        <w:t>uidelines</w:t>
      </w:r>
      <w:r w:rsidR="00D002CF">
        <w:t>, A</w:t>
      </w:r>
      <w:r w:rsidR="006E5E86">
        <w:t>greement</w:t>
      </w:r>
      <w:r w:rsidR="00BD426B">
        <w:t xml:space="preserve"> or </w:t>
      </w:r>
      <w:r w:rsidR="00D002CF">
        <w:t>A</w:t>
      </w:r>
      <w:r w:rsidR="00BD426B">
        <w:t>rrangement</w:t>
      </w:r>
      <w:r w:rsidR="00D002CF">
        <w:t>.</w:t>
      </w:r>
    </w:p>
    <w:p w14:paraId="6153127A" w14:textId="51B5D650" w:rsidR="00A754B2" w:rsidRDefault="000B1B5A" w:rsidP="00002113">
      <w:pPr>
        <w:pStyle w:val="ListNumber2"/>
      </w:pPr>
      <w:r>
        <w:t>Expenditure</w:t>
      </w:r>
      <w:r w:rsidR="00A754B2">
        <w:t xml:space="preserve"> decisions </w:t>
      </w:r>
      <w:r w:rsidR="00D002CF">
        <w:t xml:space="preserve">made by delivery partners </w:t>
      </w:r>
      <w:r w:rsidR="00A754B2">
        <w:t>must be consistent with project documentation provided to the FDF</w:t>
      </w:r>
      <w:r w:rsidR="0043187C">
        <w:t>,</w:t>
      </w:r>
      <w:r w:rsidR="00634376" w:rsidRPr="00634376">
        <w:rPr>
          <w:rFonts w:eastAsiaTheme="minorHAnsi" w:cstheme="minorBidi"/>
          <w:szCs w:val="22"/>
        </w:rPr>
        <w:t xml:space="preserve"> </w:t>
      </w:r>
      <w:r w:rsidR="00634376" w:rsidRPr="00634376">
        <w:t>including the Project Implementation Plan and Activity Work Plan</w:t>
      </w:r>
      <w:r w:rsidR="003553D9">
        <w:t>.</w:t>
      </w:r>
    </w:p>
    <w:p w14:paraId="4CD932F1" w14:textId="309E5507" w:rsidR="003553D9" w:rsidRDefault="000B1B5A" w:rsidP="003553D9">
      <w:pPr>
        <w:pStyle w:val="ListNumber2"/>
      </w:pPr>
      <w:r>
        <w:t xml:space="preserve">Expenditure </w:t>
      </w:r>
      <w:r w:rsidR="00002113">
        <w:t>decisions must be co</w:t>
      </w:r>
      <w:r w:rsidR="00125EE7">
        <w:t>mpliant</w:t>
      </w:r>
      <w:r w:rsidR="00002113">
        <w:t xml:space="preserve"> with the </w:t>
      </w:r>
      <w:hyperlink r:id="rId11" w:history="1">
        <w:r w:rsidR="00002113" w:rsidRPr="007238CE">
          <w:rPr>
            <w:rStyle w:val="Hyperlink"/>
          </w:rPr>
          <w:t>Future Drought Fund Act 2019</w:t>
        </w:r>
      </w:hyperlink>
      <w:r w:rsidR="00002113" w:rsidRPr="000F1077">
        <w:rPr>
          <w:i/>
          <w:iCs/>
        </w:rPr>
        <w:t>,</w:t>
      </w:r>
      <w:r w:rsidR="00002113">
        <w:t xml:space="preserve"> and the </w:t>
      </w:r>
      <w:hyperlink r:id="rId12" w:history="1">
        <w:r w:rsidR="00002113">
          <w:rPr>
            <w:rStyle w:val="Hyperlink"/>
          </w:rPr>
          <w:t>Future Drought Fund (Drought Resilience Funding Plan 2024-2028) Determination 2024</w:t>
        </w:r>
      </w:hyperlink>
      <w:r w:rsidR="00002113">
        <w:t>.</w:t>
      </w:r>
    </w:p>
    <w:p w14:paraId="51A8F495" w14:textId="4FACAAC8" w:rsidR="00125EE7" w:rsidRPr="00125EE7" w:rsidRDefault="00125EE7" w:rsidP="00125EE7">
      <w:pPr>
        <w:pStyle w:val="ListNumber2"/>
      </w:pPr>
      <w:r>
        <w:lastRenderedPageBreak/>
        <w:t>A</w:t>
      </w:r>
      <w:r w:rsidRPr="00125EE7">
        <w:t>ctivities</w:t>
      </w:r>
      <w:r>
        <w:t xml:space="preserve"> and </w:t>
      </w:r>
      <w:r w:rsidR="000B1B5A">
        <w:t>expenditure</w:t>
      </w:r>
      <w:r w:rsidRPr="00125EE7">
        <w:t xml:space="preserve"> must align with the </w:t>
      </w:r>
      <w:r w:rsidR="00DB1537">
        <w:t>p</w:t>
      </w:r>
      <w:r>
        <w:t>rinciples relating to decisions about arrangements and grants (s 6(3)) set out in the Drought Resilience Funding Plan.</w:t>
      </w:r>
    </w:p>
    <w:p w14:paraId="1CEB1B5F" w14:textId="1EF4E8ED" w:rsidR="00CB60F4" w:rsidRDefault="00A754B2" w:rsidP="0093548E">
      <w:r>
        <w:t>(</w:t>
      </w:r>
      <w:r w:rsidR="00A13CC2">
        <w:t>S</w:t>
      </w:r>
      <w:r>
        <w:t>ee also</w:t>
      </w:r>
      <w:r w:rsidR="007F42E6">
        <w:t xml:space="preserve"> </w:t>
      </w:r>
      <w:r w:rsidR="007F42E6">
        <w:fldChar w:fldCharType="begin"/>
      </w:r>
      <w:r w:rsidR="007F42E6">
        <w:instrText xml:space="preserve"> REF _Ref219388463 \h </w:instrText>
      </w:r>
      <w:r w:rsidR="007F42E6">
        <w:fldChar w:fldCharType="separate"/>
      </w:r>
      <w:r w:rsidR="00CA3CF5">
        <w:t>Funding Principles relating to decisions about arrangements and grants</w:t>
      </w:r>
      <w:r w:rsidR="007F42E6">
        <w:fldChar w:fldCharType="end"/>
      </w:r>
      <w:r>
        <w:t>)</w:t>
      </w:r>
    </w:p>
    <w:p w14:paraId="213C804B" w14:textId="0CCC13F6" w:rsidR="00002113" w:rsidRPr="003367A3" w:rsidRDefault="00002113" w:rsidP="00002113">
      <w:pPr>
        <w:pStyle w:val="ListNumber"/>
        <w:rPr>
          <w:b/>
          <w:bCs/>
        </w:rPr>
      </w:pPr>
      <w:r w:rsidRPr="003367A3">
        <w:rPr>
          <w:b/>
          <w:bCs/>
        </w:rPr>
        <w:t>Alignment with public benefit and resilience objectives</w:t>
      </w:r>
      <w:r w:rsidR="00A754B2" w:rsidRPr="003367A3">
        <w:rPr>
          <w:b/>
          <w:bCs/>
        </w:rPr>
        <w:t xml:space="preserve"> of the FDF</w:t>
      </w:r>
    </w:p>
    <w:p w14:paraId="291286E7" w14:textId="3A53FE8E" w:rsidR="00002113" w:rsidRDefault="007F42E6" w:rsidP="00002113">
      <w:pPr>
        <w:pStyle w:val="ListNumber2"/>
      </w:pPr>
      <w:r w:rsidRPr="007F42E6">
        <w:t xml:space="preserve">International expenditure </w:t>
      </w:r>
      <w:r>
        <w:t>must</w:t>
      </w:r>
      <w:r w:rsidRPr="007F42E6">
        <w:t xml:space="preserve"> support the program, project, or initiative’s contribution to public good outcomes. Where an individual expense is minor or incidental, it must still demonstrate a clear link to the broader project objectives and not solely deliver private or commercial benefit.</w:t>
      </w:r>
    </w:p>
    <w:p w14:paraId="67668786" w14:textId="77BD8E77" w:rsidR="00634376" w:rsidRPr="00A13CC2" w:rsidRDefault="00634376" w:rsidP="00634376">
      <w:pPr>
        <w:pStyle w:val="ListNumber2"/>
      </w:pPr>
      <w:r>
        <w:t>If collaborating with international entities, the output must primarily benefit the Australian delivery partner’s activities.</w:t>
      </w:r>
    </w:p>
    <w:p w14:paraId="46CE1499" w14:textId="77777777" w:rsidR="00002113" w:rsidRPr="003367A3" w:rsidRDefault="00002113" w:rsidP="00002113">
      <w:pPr>
        <w:pStyle w:val="ListNumber"/>
        <w:rPr>
          <w:b/>
          <w:bCs/>
        </w:rPr>
      </w:pPr>
      <w:r w:rsidRPr="003367A3">
        <w:rPr>
          <w:b/>
          <w:bCs/>
        </w:rPr>
        <w:t>Ethical and transparent use of public money</w:t>
      </w:r>
    </w:p>
    <w:p w14:paraId="40364D45" w14:textId="52F496FE" w:rsidR="003278B2" w:rsidRDefault="002B753C" w:rsidP="003278B2">
      <w:pPr>
        <w:pStyle w:val="ListNumber2"/>
      </w:pPr>
      <w:r>
        <w:t>International</w:t>
      </w:r>
      <w:r w:rsidR="003278B2">
        <w:t xml:space="preserve"> expenditure must uphold high standards of integrity, transparency, and accountability expected when using Australian Government funding, including:</w:t>
      </w:r>
    </w:p>
    <w:p w14:paraId="7E3F1812" w14:textId="65746DFB" w:rsidR="003278B2" w:rsidRDefault="003278B2" w:rsidP="003278B2">
      <w:pPr>
        <w:pStyle w:val="ListNumber3"/>
      </w:pPr>
      <w:r>
        <w:t>acting honestly and fairly in financial decisions.</w:t>
      </w:r>
    </w:p>
    <w:p w14:paraId="558B59BB" w14:textId="2E36D5BE" w:rsidR="003278B2" w:rsidRDefault="003278B2" w:rsidP="003278B2">
      <w:pPr>
        <w:pStyle w:val="ListNumber3"/>
      </w:pPr>
      <w:r>
        <w:t>avoiding conflicts of interest and any arrangements that could lead to fraud, corruption, or misuse of funds.</w:t>
      </w:r>
    </w:p>
    <w:p w14:paraId="5DFE4A0D" w14:textId="2030F7E5" w:rsidR="003278B2" w:rsidRDefault="003278B2" w:rsidP="003278B2">
      <w:pPr>
        <w:pStyle w:val="ListNumber3"/>
      </w:pPr>
      <w:r>
        <w:t xml:space="preserve">applying appropriate due diligence when engaging </w:t>
      </w:r>
      <w:r w:rsidR="002B753C">
        <w:t>international</w:t>
      </w:r>
      <w:r>
        <w:t xml:space="preserve"> suppliers or consultants, including verifying credentials and ensuring compliance with relevant laws.</w:t>
      </w:r>
    </w:p>
    <w:p w14:paraId="7051B33B" w14:textId="1EA65D71" w:rsidR="00002113" w:rsidRDefault="003278B2" w:rsidP="00134952">
      <w:pPr>
        <w:pStyle w:val="ListNumber3"/>
      </w:pPr>
      <w:r>
        <w:t xml:space="preserve">maintaining clear records to demonstrate that </w:t>
      </w:r>
      <w:r w:rsidR="000B1B5A">
        <w:t xml:space="preserve">expenditure </w:t>
      </w:r>
      <w:r>
        <w:t>decisions are justified, reasonable, and in line with the program objectives.</w:t>
      </w:r>
    </w:p>
    <w:p w14:paraId="7390CA6A" w14:textId="3DC74900" w:rsidR="00002113" w:rsidRPr="003367A3" w:rsidRDefault="00A754B2" w:rsidP="00002113">
      <w:pPr>
        <w:pStyle w:val="ListNumber"/>
        <w:rPr>
          <w:b/>
          <w:bCs/>
        </w:rPr>
      </w:pPr>
      <w:bookmarkStart w:id="2" w:name="_Hlk213948621"/>
      <w:r w:rsidRPr="003367A3">
        <w:rPr>
          <w:b/>
          <w:bCs/>
        </w:rPr>
        <w:t>V</w:t>
      </w:r>
      <w:r w:rsidR="00002113" w:rsidRPr="003367A3">
        <w:rPr>
          <w:b/>
          <w:bCs/>
        </w:rPr>
        <w:t>alue for money and cost-benefit consideration</w:t>
      </w:r>
    </w:p>
    <w:bookmarkEnd w:id="2"/>
    <w:p w14:paraId="14B24C35" w14:textId="22DF78B5" w:rsidR="00002113" w:rsidRDefault="002B753C" w:rsidP="00002113">
      <w:pPr>
        <w:pStyle w:val="ListNumber2"/>
      </w:pPr>
      <w:r>
        <w:t>International</w:t>
      </w:r>
      <w:r w:rsidR="00002113">
        <w:t xml:space="preserve"> </w:t>
      </w:r>
      <w:r w:rsidR="000B1B5A">
        <w:t xml:space="preserve">expenditure </w:t>
      </w:r>
      <w:r w:rsidR="00CB60F4">
        <w:t>can</w:t>
      </w:r>
      <w:r w:rsidR="00002113">
        <w:t xml:space="preserve"> only occur if it represents value for money, </w:t>
      </w:r>
      <w:r w:rsidR="00A754B2">
        <w:t>including</w:t>
      </w:r>
      <w:r w:rsidR="00002113">
        <w:t xml:space="preserve"> </w:t>
      </w:r>
      <w:r w:rsidR="00002113" w:rsidRPr="008F1362">
        <w:t>efficient, effective, economical and ethical use of public resources</w:t>
      </w:r>
      <w:r w:rsidR="00002113">
        <w:t>.</w:t>
      </w:r>
    </w:p>
    <w:p w14:paraId="17D51AB6" w14:textId="4B1C4F81" w:rsidR="00002113" w:rsidRDefault="00002113" w:rsidP="00A754B2">
      <w:pPr>
        <w:pStyle w:val="ListNumber2"/>
      </w:pPr>
      <w:r>
        <w:t>If similar goods or services are available in Australia, even at a slightly higher cost, preference should be given to domestic suppliers to support local capability and resilience.</w:t>
      </w:r>
    </w:p>
    <w:p w14:paraId="5B641262" w14:textId="37E67A6E" w:rsidR="00002113" w:rsidRDefault="00002113" w:rsidP="00125EE7">
      <w:pPr>
        <w:pStyle w:val="ListNumber2"/>
      </w:pPr>
      <w:r>
        <w:t xml:space="preserve">Delivery partners </w:t>
      </w:r>
      <w:r w:rsidR="00315D50">
        <w:t>must</w:t>
      </w:r>
      <w:r>
        <w:t xml:space="preserve"> consider the relevant financial and non-financial costs and benefits of activities and </w:t>
      </w:r>
      <w:r w:rsidR="001A425D">
        <w:t>goods</w:t>
      </w:r>
      <w:r>
        <w:t>,</w:t>
      </w:r>
      <w:r w:rsidR="00315D50">
        <w:t xml:space="preserve"> including</w:t>
      </w:r>
      <w:r>
        <w:t xml:space="preserve"> </w:t>
      </w:r>
      <w:r w:rsidR="005623FA">
        <w:t>factors such as</w:t>
      </w:r>
      <w:r>
        <w:t>:</w:t>
      </w:r>
    </w:p>
    <w:p w14:paraId="29223383" w14:textId="1571C7BA" w:rsidR="00002113" w:rsidRDefault="005623FA" w:rsidP="00315D50">
      <w:pPr>
        <w:pStyle w:val="ListNumber3"/>
      </w:pPr>
      <w:r>
        <w:t xml:space="preserve">the </w:t>
      </w:r>
      <w:r w:rsidR="00002113">
        <w:t xml:space="preserve">quality of the </w:t>
      </w:r>
      <w:r w:rsidR="00086891">
        <w:t>goods or service</w:t>
      </w:r>
      <w:r w:rsidR="00125EE7">
        <w:t xml:space="preserve"> </w:t>
      </w:r>
      <w:r w:rsidR="00315D50">
        <w:t>and</w:t>
      </w:r>
      <w:r w:rsidR="00125EE7">
        <w:t xml:space="preserve"> the</w:t>
      </w:r>
      <w:r w:rsidR="00315D50">
        <w:t xml:space="preserve"> value</w:t>
      </w:r>
      <w:r>
        <w:t xml:space="preserve"> </w:t>
      </w:r>
      <w:r w:rsidR="00315D50">
        <w:t xml:space="preserve">it </w:t>
      </w:r>
      <w:r>
        <w:t>adds</w:t>
      </w:r>
    </w:p>
    <w:p w14:paraId="201EF060" w14:textId="2CC05169" w:rsidR="00002113" w:rsidRDefault="005623FA" w:rsidP="00315D50">
      <w:pPr>
        <w:pStyle w:val="ListNumber3"/>
      </w:pPr>
      <w:r>
        <w:t xml:space="preserve">whether it is </w:t>
      </w:r>
      <w:r w:rsidR="00002113">
        <w:t xml:space="preserve">fit for purpose in contributing to </w:t>
      </w:r>
      <w:r w:rsidR="00125EE7">
        <w:t>project</w:t>
      </w:r>
      <w:r>
        <w:t xml:space="preserve"> outcomes</w:t>
      </w:r>
      <w:r w:rsidR="00125EE7">
        <w:t xml:space="preserve"> and the FDF’s </w:t>
      </w:r>
      <w:r w:rsidR="00002113">
        <w:t>objectives</w:t>
      </w:r>
    </w:p>
    <w:p w14:paraId="18C0FB98" w14:textId="2617FF10" w:rsidR="00002113" w:rsidRDefault="00295041" w:rsidP="00315D50">
      <w:pPr>
        <w:pStyle w:val="ListNumber3"/>
      </w:pPr>
      <w:r>
        <w:t xml:space="preserve">(for expertise) </w:t>
      </w:r>
      <w:r w:rsidR="00125EE7">
        <w:t xml:space="preserve">the </w:t>
      </w:r>
      <w:r w:rsidR="00634376">
        <w:t>entitie</w:t>
      </w:r>
      <w:r w:rsidR="00315D50">
        <w:t>s</w:t>
      </w:r>
      <w:r w:rsidR="00634376">
        <w:t>’</w:t>
      </w:r>
      <w:r w:rsidR="00315D50">
        <w:t xml:space="preserve"> </w:t>
      </w:r>
      <w:r w:rsidR="00002113">
        <w:t>relevant experience and performance history.</w:t>
      </w:r>
    </w:p>
    <w:p w14:paraId="04E7EC78" w14:textId="77777777" w:rsidR="00002113" w:rsidRPr="003367A3" w:rsidRDefault="00002113" w:rsidP="00002113">
      <w:pPr>
        <w:pStyle w:val="ListNumber"/>
        <w:rPr>
          <w:b/>
          <w:bCs/>
        </w:rPr>
      </w:pPr>
      <w:r w:rsidRPr="003367A3">
        <w:rPr>
          <w:b/>
          <w:bCs/>
        </w:rPr>
        <w:t>Risk management</w:t>
      </w:r>
    </w:p>
    <w:p w14:paraId="50676620" w14:textId="4811BAEA" w:rsidR="00002113" w:rsidRDefault="00002113" w:rsidP="00002113">
      <w:pPr>
        <w:pStyle w:val="ListNumber2"/>
      </w:pPr>
      <w:r>
        <w:t xml:space="preserve">Assess risks associated with </w:t>
      </w:r>
      <w:r w:rsidR="002B753C">
        <w:t>international</w:t>
      </w:r>
      <w:r>
        <w:t xml:space="preserve"> </w:t>
      </w:r>
      <w:r w:rsidR="000B1B5A">
        <w:t>expenditure</w:t>
      </w:r>
      <w:r>
        <w:t>, including delivery risks, currency fluctuations, and supply chain vulnerabilities.</w:t>
      </w:r>
    </w:p>
    <w:p w14:paraId="4B941E06" w14:textId="1FB7073B" w:rsidR="00733508" w:rsidRPr="00EF4695" w:rsidRDefault="00002113" w:rsidP="00EF4695">
      <w:pPr>
        <w:pStyle w:val="ListNumber2"/>
      </w:pPr>
      <w:r>
        <w:t>Document decisions and maintain audit trails to demonstrate compliance with FDF requirements.</w:t>
      </w:r>
      <w:bookmarkStart w:id="3" w:name="_Ref213929990"/>
      <w:bookmarkStart w:id="4" w:name="_Hlk213947905"/>
    </w:p>
    <w:p w14:paraId="7DBAA242" w14:textId="43596EC5" w:rsidR="009B2B90" w:rsidRDefault="009B2B90" w:rsidP="009B2B90">
      <w:pPr>
        <w:pStyle w:val="ListNumber"/>
        <w:rPr>
          <w:b/>
          <w:bCs/>
        </w:rPr>
      </w:pPr>
      <w:r w:rsidRPr="009B2B90">
        <w:rPr>
          <w:b/>
          <w:bCs/>
        </w:rPr>
        <w:t>Intellectual property</w:t>
      </w:r>
    </w:p>
    <w:p w14:paraId="134E6B3A" w14:textId="49887137" w:rsidR="002A0896" w:rsidRPr="002A0896" w:rsidRDefault="002A0896" w:rsidP="002A0896">
      <w:pPr>
        <w:pStyle w:val="ListNumber2"/>
      </w:pPr>
      <w:r>
        <w:t>G</w:t>
      </w:r>
      <w:r w:rsidRPr="002A0896">
        <w:t>oods</w:t>
      </w:r>
      <w:r>
        <w:t xml:space="preserve"> and services </w:t>
      </w:r>
      <w:r w:rsidRPr="002A0896">
        <w:t>accessed u</w:t>
      </w:r>
      <w:r>
        <w:t>sing</w:t>
      </w:r>
      <w:r w:rsidRPr="002A0896">
        <w:t xml:space="preserve"> FDF funding </w:t>
      </w:r>
      <w:r>
        <w:t xml:space="preserve">must </w:t>
      </w:r>
      <w:r w:rsidRPr="002A0896">
        <w:t>respect intellectual property rights.</w:t>
      </w:r>
    </w:p>
    <w:p w14:paraId="00A68B2A" w14:textId="559BAB12" w:rsidR="002A0896" w:rsidRPr="002A0896" w:rsidRDefault="002A0896" w:rsidP="002A0896">
      <w:pPr>
        <w:pStyle w:val="ListNumber2"/>
      </w:pPr>
      <w:r>
        <w:t>Where appropriate o</w:t>
      </w:r>
      <w:r w:rsidRPr="002A0896">
        <w:t xml:space="preserve">utputs </w:t>
      </w:r>
      <w:r>
        <w:t>of overseas services such as expertise must be able to be</w:t>
      </w:r>
      <w:r w:rsidRPr="002A0896">
        <w:t xml:space="preserve"> shared publicly</w:t>
      </w:r>
      <w:r>
        <w:t>,</w:t>
      </w:r>
      <w:r w:rsidRPr="002A0896">
        <w:t xml:space="preserve"> in line with FDF’s commitment to public good and open access.</w:t>
      </w:r>
    </w:p>
    <w:p w14:paraId="40C2A14B" w14:textId="3EE4E8D4" w:rsidR="002A0896" w:rsidRPr="002A0896" w:rsidRDefault="002A0896" w:rsidP="002A0896">
      <w:pPr>
        <w:pStyle w:val="ListNumber2"/>
      </w:pPr>
      <w:r>
        <w:lastRenderedPageBreak/>
        <w:t>International goods and services must not</w:t>
      </w:r>
      <w:r w:rsidRPr="002A0896">
        <w:t xml:space="preserve"> restrict Australia’s ability to use or adapt project outputs for future drought resilience activities.</w:t>
      </w:r>
    </w:p>
    <w:p w14:paraId="35491483" w14:textId="7471FF6E" w:rsidR="009B2B90" w:rsidRPr="009B2B90" w:rsidRDefault="009B2B90" w:rsidP="009B2B90">
      <w:pPr>
        <w:pStyle w:val="Heading2"/>
      </w:pPr>
      <w:r w:rsidRPr="009B2B90">
        <w:t>Engagement of an international entity in a</w:t>
      </w:r>
      <w:r w:rsidR="002A0896">
        <w:t>n</w:t>
      </w:r>
      <w:r w:rsidRPr="009B2B90">
        <w:t xml:space="preserve"> FDF project</w:t>
      </w:r>
    </w:p>
    <w:p w14:paraId="7F30E68B" w14:textId="11F7E687" w:rsidR="009B2B90" w:rsidRDefault="002A0896" w:rsidP="009B2B90">
      <w:r w:rsidRPr="002A0896">
        <w:t>Any international entity collaborating on a proposal must provide a letter of support as part of the mandatory application documentation. This letter should outline their proposed contributions, including any cash or in-kind co-contributions.</w:t>
      </w:r>
    </w:p>
    <w:p w14:paraId="706005F7" w14:textId="515B2BC2" w:rsidR="00A92CA1" w:rsidRPr="00A92CA1" w:rsidRDefault="00A92CA1" w:rsidP="00A92CA1">
      <w:r w:rsidRPr="00A92CA1">
        <w:t>The application or letter of support must clearly describe</w:t>
      </w:r>
      <w:r>
        <w:t>:</w:t>
      </w:r>
    </w:p>
    <w:p w14:paraId="464C44F6" w14:textId="0C7B6CD7" w:rsidR="002A0896" w:rsidRDefault="00A92CA1" w:rsidP="0093548E">
      <w:pPr>
        <w:pStyle w:val="ListBullet"/>
      </w:pPr>
      <w:r>
        <w:t>t</w:t>
      </w:r>
      <w:r w:rsidR="002A0896">
        <w:t>he goods and services to be provided</w:t>
      </w:r>
    </w:p>
    <w:p w14:paraId="76FE68CE" w14:textId="4EC591E9" w:rsidR="002A0896" w:rsidRDefault="00A92CA1" w:rsidP="0093548E">
      <w:pPr>
        <w:pStyle w:val="ListBullet"/>
      </w:pPr>
      <w:r>
        <w:t>t</w:t>
      </w:r>
      <w:r w:rsidR="002A0896">
        <w:t>he role of the international entity</w:t>
      </w:r>
    </w:p>
    <w:p w14:paraId="76236467" w14:textId="0934EF1B" w:rsidR="002A0896" w:rsidRDefault="00A92CA1" w:rsidP="0093548E">
      <w:pPr>
        <w:pStyle w:val="ListBullet"/>
      </w:pPr>
      <w:r>
        <w:t>h</w:t>
      </w:r>
      <w:r w:rsidR="002A0896">
        <w:t>ow their involvement contributes to the public good by building drought and climate resilience for Australian farmers, landscapes, and communities, rather than delivering private or commercial benefit.</w:t>
      </w:r>
    </w:p>
    <w:p w14:paraId="0ADD58A5" w14:textId="16F15253" w:rsidR="009B2B90" w:rsidRDefault="009B2B90" w:rsidP="009B2B90">
      <w:r>
        <w:t>If any grant funding is to be paid to the international entity it must be clearly listed in the mandatory budget template and justification of the purpose provided.</w:t>
      </w:r>
    </w:p>
    <w:p w14:paraId="1DA8C270" w14:textId="77777777" w:rsidR="009B2B90" w:rsidRDefault="009B2B90" w:rsidP="009B2B90">
      <w:pPr>
        <w:pStyle w:val="Heading2"/>
        <w:spacing w:before="240"/>
      </w:pPr>
      <w:r>
        <w:t>FDF selection processes</w:t>
      </w:r>
    </w:p>
    <w:p w14:paraId="612AAE14" w14:textId="7D60B32B" w:rsidR="009B2B90" w:rsidRDefault="009B2B90" w:rsidP="00D34023">
      <w:r>
        <w:t xml:space="preserve">International entities cannot be engaged for </w:t>
      </w:r>
      <w:r w:rsidR="00D34023">
        <w:t>g</w:t>
      </w:r>
      <w:r>
        <w:t xml:space="preserve">rant </w:t>
      </w:r>
      <w:r w:rsidR="00D34023">
        <w:t>o</w:t>
      </w:r>
      <w:r>
        <w:t>pportunity selection purposes, as an assessor or a Selection Advisory Panel member</w:t>
      </w:r>
      <w:r w:rsidR="00D34023">
        <w:t>.</w:t>
      </w:r>
    </w:p>
    <w:p w14:paraId="654C174D" w14:textId="1E453C65" w:rsidR="00002113" w:rsidRDefault="00002113" w:rsidP="00C82856">
      <w:pPr>
        <w:pStyle w:val="Heading2"/>
        <w:spacing w:before="240"/>
      </w:pPr>
      <w:bookmarkStart w:id="5" w:name="_Ref219388463"/>
      <w:r>
        <w:t>Funding Principles relating to decisions about arrangements and grants</w:t>
      </w:r>
      <w:bookmarkEnd w:id="3"/>
      <w:bookmarkEnd w:id="5"/>
    </w:p>
    <w:bookmarkEnd w:id="4"/>
    <w:p w14:paraId="71533925" w14:textId="0ABC6070" w:rsidR="00002113" w:rsidRDefault="00002113" w:rsidP="00002113">
      <w:r>
        <w:t xml:space="preserve">Principles relating to decisions about arrangements and grants (s 6(3)) set out in the FDF Drought Resilience Funding Plan are mandatory requirements which all arrangements and grants must meet, including devolved arrangements and grants. All partners that deliver FDF activities must ensure that their activities, including </w:t>
      </w:r>
      <w:r w:rsidR="000B1B5A">
        <w:t>expenditure</w:t>
      </w:r>
      <w:r>
        <w:t>, align with these principles.</w:t>
      </w:r>
      <w:bookmarkStart w:id="6" w:name="_Hlk213947886"/>
      <w:r w:rsidR="00733508">
        <w:t xml:space="preserve"> </w:t>
      </w:r>
      <w:r w:rsidR="00733508" w:rsidRPr="00733508">
        <w:t>Arrangements and grants are to:</w:t>
      </w:r>
    </w:p>
    <w:p w14:paraId="20C431A9" w14:textId="5410EF87" w:rsidR="00002113" w:rsidRPr="00002113" w:rsidRDefault="00002113" w:rsidP="00A754B2">
      <w:pPr>
        <w:pStyle w:val="ListNumber2"/>
        <w:numPr>
          <w:ilvl w:val="1"/>
          <w:numId w:val="11"/>
        </w:numPr>
      </w:pPr>
      <w:r w:rsidRPr="00002113">
        <w:t>be consistent with the vision, aim and strategic objectives (to build economic, environmental and social resilience) outlined in this Plan</w:t>
      </w:r>
    </w:p>
    <w:p w14:paraId="21B1E58E" w14:textId="780B4D5F" w:rsidR="00002113" w:rsidRPr="00002113" w:rsidRDefault="00002113" w:rsidP="00002113">
      <w:pPr>
        <w:pStyle w:val="ListNumber2"/>
      </w:pPr>
      <w:r w:rsidRPr="00002113">
        <w:t>ensure activities deliver a public good</w:t>
      </w:r>
    </w:p>
    <w:p w14:paraId="40C0452A" w14:textId="663CEDDA" w:rsidR="00002113" w:rsidRPr="00002113" w:rsidRDefault="00002113" w:rsidP="00002113">
      <w:pPr>
        <w:pStyle w:val="ListNumber2"/>
      </w:pPr>
      <w:r w:rsidRPr="00002113">
        <w:t>not provide in-drought assistance to directly address hardship</w:t>
      </w:r>
    </w:p>
    <w:p w14:paraId="2B2A2829" w14:textId="72F8EE1B" w:rsidR="00002113" w:rsidRPr="00002113" w:rsidRDefault="00002113" w:rsidP="00002113">
      <w:pPr>
        <w:pStyle w:val="ListNumber2"/>
      </w:pPr>
      <w:r w:rsidRPr="00002113">
        <w:t>actively encourage participation of a diverse range of people, businesses and landscapes involved in the agricultural sector and rural, regional and remote communities, including First Nations people</w:t>
      </w:r>
    </w:p>
    <w:p w14:paraId="0C7641D6" w14:textId="77777777" w:rsidR="00002113" w:rsidRPr="00002113" w:rsidRDefault="00002113" w:rsidP="00002113">
      <w:pPr>
        <w:pStyle w:val="ListNumber2"/>
      </w:pPr>
      <w:r w:rsidRPr="00002113">
        <w:t>foster collaboration to improve integration, coordination, communication, planning and implementation of drought resilience activities, and avoid unnecessary duplication</w:t>
      </w:r>
    </w:p>
    <w:p w14:paraId="1E678BD7" w14:textId="56A17E47" w:rsidR="00002113" w:rsidRPr="00002113" w:rsidRDefault="00002113" w:rsidP="00002113">
      <w:pPr>
        <w:pStyle w:val="ListNumber2"/>
        <w:tabs>
          <w:tab w:val="clear" w:pos="567"/>
        </w:tabs>
      </w:pPr>
      <w:r w:rsidRPr="00002113">
        <w:t>be designed to deliver efficient and effective outcomes for stakeholders</w:t>
      </w:r>
    </w:p>
    <w:p w14:paraId="056C8C61" w14:textId="5081AA9B" w:rsidR="00002113" w:rsidRPr="00002113" w:rsidRDefault="00002113" w:rsidP="00002113">
      <w:pPr>
        <w:pStyle w:val="ListNumber2"/>
      </w:pPr>
      <w:r w:rsidRPr="00002113">
        <w:t>ensure data and knowledge obtained from activities under the fund is shared and freely made available in the public domain</w:t>
      </w:r>
    </w:p>
    <w:p w14:paraId="3C61A549" w14:textId="106088C7" w:rsidR="00002113" w:rsidRDefault="00002113" w:rsidP="00002113">
      <w:pPr>
        <w:pStyle w:val="ListNumber2"/>
      </w:pPr>
      <w:r w:rsidRPr="00002113">
        <w:t>ensure planned monitoring, evaluation, and learning activities are efficient, robust and in alignment with fund level monitoring, evaluation and learning (MEL) expectations</w:t>
      </w:r>
      <w:r>
        <w:t>.</w:t>
      </w:r>
    </w:p>
    <w:p w14:paraId="4090ECA7" w14:textId="6E538FEC" w:rsidR="00E60EAB" w:rsidRDefault="00E60EAB" w:rsidP="007B0D57">
      <w:pPr>
        <w:pStyle w:val="Heading2"/>
        <w:ind w:left="0" w:firstLine="0"/>
      </w:pPr>
      <w:r w:rsidRPr="00E60EAB">
        <w:lastRenderedPageBreak/>
        <w:t xml:space="preserve">Questions </w:t>
      </w:r>
      <w:r>
        <w:t>t</w:t>
      </w:r>
      <w:r w:rsidR="007B0D57">
        <w:t>o ask</w:t>
      </w:r>
      <w:r>
        <w:t xml:space="preserve"> </w:t>
      </w:r>
      <w:r w:rsidR="007B0D57">
        <w:t>delivery partner</w:t>
      </w:r>
      <w:r w:rsidR="00A92CA1">
        <w:t>s</w:t>
      </w:r>
      <w:r>
        <w:t xml:space="preserve"> about any </w:t>
      </w:r>
      <w:r w:rsidR="002B753C">
        <w:t>international</w:t>
      </w:r>
      <w:r w:rsidR="007B0D57">
        <w:t xml:space="preserve"> </w:t>
      </w:r>
      <w:r>
        <w:t>e</w:t>
      </w:r>
      <w:r w:rsidRPr="00E60EAB">
        <w:t>xpenditure</w:t>
      </w:r>
    </w:p>
    <w:p w14:paraId="177E7F7F" w14:textId="57D033C7" w:rsidR="00E60EAB" w:rsidRPr="00740C02" w:rsidRDefault="00E60EAB" w:rsidP="00740C02">
      <w:pPr>
        <w:spacing w:before="240"/>
        <w:rPr>
          <w:rFonts w:ascii="Calibri" w:hAnsi="Calibri" w:cs="Calibri"/>
        </w:rPr>
      </w:pPr>
      <w:r>
        <w:rPr>
          <w:lang w:eastAsia="ja-JP"/>
        </w:rPr>
        <w:t xml:space="preserve">The </w:t>
      </w:r>
      <w:r w:rsidR="00740C02">
        <w:rPr>
          <w:lang w:eastAsia="ja-JP"/>
        </w:rPr>
        <w:t xml:space="preserve">following questions provide </w:t>
      </w:r>
      <w:r>
        <w:rPr>
          <w:lang w:eastAsia="ja-JP"/>
        </w:rPr>
        <w:t xml:space="preserve">an indication of the type of information the FDF may request regarding any </w:t>
      </w:r>
      <w:r w:rsidR="002B753C">
        <w:rPr>
          <w:lang w:eastAsia="ja-JP"/>
        </w:rPr>
        <w:t>international</w:t>
      </w:r>
      <w:r>
        <w:rPr>
          <w:lang w:eastAsia="ja-JP"/>
        </w:rPr>
        <w:t xml:space="preserve"> expenditure. These have been developed to guide decision</w:t>
      </w:r>
      <w:r w:rsidR="007B0D57">
        <w:rPr>
          <w:lang w:eastAsia="ja-JP"/>
        </w:rPr>
        <w:t xml:space="preserve"> </w:t>
      </w:r>
      <w:r>
        <w:rPr>
          <w:lang w:eastAsia="ja-JP"/>
        </w:rPr>
        <w:t xml:space="preserve">making and documentation. </w:t>
      </w:r>
    </w:p>
    <w:p w14:paraId="5C952DBB" w14:textId="3419DFF3" w:rsidR="00740C02" w:rsidRDefault="00B563AF" w:rsidP="00B34D56">
      <w:pPr>
        <w:pStyle w:val="ListBullet"/>
      </w:pPr>
      <w:r>
        <w:t xml:space="preserve">What </w:t>
      </w:r>
      <w:r w:rsidR="000230C6">
        <w:t>are</w:t>
      </w:r>
      <w:r>
        <w:t xml:space="preserve"> the </w:t>
      </w:r>
      <w:r w:rsidR="000F436F">
        <w:t>goods or service</w:t>
      </w:r>
      <w:r w:rsidR="000230C6">
        <w:t>s</w:t>
      </w:r>
      <w:r w:rsidR="000F436F">
        <w:t xml:space="preserve"> that the </w:t>
      </w:r>
      <w:r w:rsidR="002B753C">
        <w:t>international</w:t>
      </w:r>
      <w:r>
        <w:t xml:space="preserve"> </w:t>
      </w:r>
      <w:r w:rsidR="000B1B5A">
        <w:t xml:space="preserve">expenditure </w:t>
      </w:r>
      <w:r w:rsidR="000F436F">
        <w:t>relates to</w:t>
      </w:r>
      <w:r w:rsidR="00740C02">
        <w:t>?</w:t>
      </w:r>
      <w:r>
        <w:t xml:space="preserve"> (Provide a description.)</w:t>
      </w:r>
    </w:p>
    <w:p w14:paraId="161A2D54" w14:textId="3A38521D" w:rsidR="00B563AF" w:rsidRDefault="00B563AF" w:rsidP="00B34D56">
      <w:pPr>
        <w:pStyle w:val="ListBullet"/>
      </w:pPr>
      <w:r>
        <w:t xml:space="preserve">What is the reason for </w:t>
      </w:r>
      <w:r w:rsidR="000F436F">
        <w:t>sourcing</w:t>
      </w:r>
      <w:r>
        <w:t xml:space="preserve"> </w:t>
      </w:r>
      <w:r w:rsidR="002B753C">
        <w:t>international</w:t>
      </w:r>
      <w:r>
        <w:t xml:space="preserve"> instead of in Australia?</w:t>
      </w:r>
    </w:p>
    <w:p w14:paraId="561BE8D4" w14:textId="6C7C5DCF" w:rsidR="001628F4" w:rsidRDefault="001628F4" w:rsidP="00B34D56">
      <w:pPr>
        <w:pStyle w:val="ListBullet"/>
      </w:pPr>
      <w:r>
        <w:t>What is the name of the provider?</w:t>
      </w:r>
    </w:p>
    <w:p w14:paraId="3082102A" w14:textId="13D5238F" w:rsidR="00B563AF" w:rsidRDefault="00B563AF" w:rsidP="007B0D57">
      <w:pPr>
        <w:pStyle w:val="ListBullet"/>
      </w:pPr>
      <w:r>
        <w:t>Is the provider</w:t>
      </w:r>
      <w:r w:rsidR="001628F4">
        <w:t xml:space="preserve"> </w:t>
      </w:r>
      <w:r>
        <w:t xml:space="preserve">a </w:t>
      </w:r>
      <w:r w:rsidR="001628F4">
        <w:t>wholly international entity, or do they have an Australian subsidiary?</w:t>
      </w:r>
      <w:r>
        <w:t xml:space="preserve"> </w:t>
      </w:r>
      <w:r w:rsidR="001628F4">
        <w:t>(</w:t>
      </w:r>
      <w:r w:rsidR="007B0D57">
        <w:t>P</w:t>
      </w:r>
      <w:r w:rsidR="001628F4">
        <w:t>rovide names and specifics if possible.)</w:t>
      </w:r>
    </w:p>
    <w:p w14:paraId="4779EDF5" w14:textId="43FAD968" w:rsidR="001628F4" w:rsidRDefault="001628F4" w:rsidP="00B34D56">
      <w:pPr>
        <w:pStyle w:val="ListBullet"/>
      </w:pPr>
      <w:r>
        <w:t>Will the provider be paid for</w:t>
      </w:r>
      <w:r w:rsidR="00B563AF">
        <w:t xml:space="preserve"> the </w:t>
      </w:r>
      <w:r w:rsidR="000230C6">
        <w:t>goods or services</w:t>
      </w:r>
      <w:r>
        <w:t>?</w:t>
      </w:r>
      <w:r w:rsidR="00E60EAB">
        <w:t xml:space="preserve"> </w:t>
      </w:r>
      <w:r>
        <w:t>If yes, specify whether payment will be in AUD or another currency.</w:t>
      </w:r>
    </w:p>
    <w:p w14:paraId="2ED30CC1" w14:textId="594BBC5E" w:rsidR="001628F4" w:rsidRPr="00B563AF" w:rsidRDefault="001628F4" w:rsidP="00B34D56">
      <w:pPr>
        <w:pStyle w:val="ListBullet"/>
        <w:rPr>
          <w:rStyle w:val="Strong"/>
          <w:b w:val="0"/>
          <w:bCs w:val="0"/>
        </w:rPr>
      </w:pPr>
      <w:r>
        <w:t xml:space="preserve">Will the provider </w:t>
      </w:r>
      <w:r w:rsidR="000230C6">
        <w:t xml:space="preserve">of the </w:t>
      </w:r>
      <w:r w:rsidR="002B753C">
        <w:t>international</w:t>
      </w:r>
      <w:r w:rsidR="000230C6">
        <w:t xml:space="preserve"> goods or services </w:t>
      </w:r>
      <w:r w:rsidR="00B563AF">
        <w:t>supply</w:t>
      </w:r>
      <w:r>
        <w:t xml:space="preserve"> any co-contribution</w:t>
      </w:r>
      <w:r w:rsidR="00B563AF">
        <w:t>s</w:t>
      </w:r>
      <w:r>
        <w:t xml:space="preserve"> (cash or in-kind)</w:t>
      </w:r>
      <w:r w:rsidR="00B563AF">
        <w:t xml:space="preserve">? </w:t>
      </w:r>
      <w:r>
        <w:t>(</w:t>
      </w:r>
      <w:r w:rsidR="007B0D57">
        <w:t>Provide d</w:t>
      </w:r>
      <w:r>
        <w:t>etail</w:t>
      </w:r>
      <w:r w:rsidR="007B0D57">
        <w:t xml:space="preserve"> on</w:t>
      </w:r>
      <w:r>
        <w:t xml:space="preserve"> the nature and estimated value of these contributions.)</w:t>
      </w:r>
    </w:p>
    <w:p w14:paraId="04EDF150" w14:textId="42DD4CEF" w:rsidR="001628F4" w:rsidRDefault="001628F4" w:rsidP="007B0D57">
      <w:pPr>
        <w:pStyle w:val="ListBullet"/>
      </w:pPr>
      <w:r>
        <w:t>Does this arrangement involve any international travel?</w:t>
      </w:r>
      <w:r w:rsidR="00E60EAB">
        <w:t xml:space="preserve"> </w:t>
      </w:r>
      <w:r>
        <w:t>(</w:t>
      </w:r>
      <w:r w:rsidR="007B0D57">
        <w:t xml:space="preserve">Note: </w:t>
      </w:r>
      <w:r w:rsidR="00EF4695">
        <w:t xml:space="preserve">FDF funding can only be used for </w:t>
      </w:r>
      <w:r w:rsidR="002B753C">
        <w:t>international</w:t>
      </w:r>
      <w:r w:rsidR="00EF4695">
        <w:t xml:space="preserve"> travel where it has been</w:t>
      </w:r>
      <w:r w:rsidR="00EF4695" w:rsidRPr="00E01862">
        <w:t xml:space="preserve"> explicitly agreed to </w:t>
      </w:r>
      <w:r w:rsidR="00EF4695">
        <w:t xml:space="preserve">by the FDF </w:t>
      </w:r>
      <w:r w:rsidR="00EF4695" w:rsidRPr="00E01862">
        <w:t>as part of the</w:t>
      </w:r>
      <w:r w:rsidR="00EF4695">
        <w:t xml:space="preserve"> original</w:t>
      </w:r>
      <w:r w:rsidR="00EF4695" w:rsidRPr="00E01862">
        <w:t xml:space="preserve"> project</w:t>
      </w:r>
      <w:r w:rsidR="00EF4695">
        <w:t xml:space="preserve"> proposal/design</w:t>
      </w:r>
      <w:r w:rsidR="000230C6">
        <w:t xml:space="preserve"> and specified in the contract between the delivery partner and DAFF</w:t>
      </w:r>
      <w:r>
        <w:t>.)</w:t>
      </w:r>
    </w:p>
    <w:p w14:paraId="62C42957" w14:textId="00E1607B" w:rsidR="00D35C2C" w:rsidRDefault="00E3376C" w:rsidP="00664BDC">
      <w:pPr>
        <w:pStyle w:val="ListBullet"/>
      </w:pPr>
      <w:r>
        <w:t xml:space="preserve">If defined in program documentation (e.g., </w:t>
      </w:r>
      <w:r w:rsidR="00A92CA1">
        <w:t>G</w:t>
      </w:r>
      <w:r>
        <w:t xml:space="preserve">rant </w:t>
      </w:r>
      <w:r w:rsidR="00A92CA1">
        <w:t>O</w:t>
      </w:r>
      <w:r>
        <w:t xml:space="preserve">pportunity </w:t>
      </w:r>
      <w:r w:rsidR="00A92CA1">
        <w:t>G</w:t>
      </w:r>
      <w:r>
        <w:t>uidelines, grant agreement, or arrangement), do</w:t>
      </w:r>
      <w:r w:rsidR="001628F4">
        <w:t xml:space="preserve"> the </w:t>
      </w:r>
      <w:r w:rsidR="002B753C">
        <w:t>international</w:t>
      </w:r>
      <w:r w:rsidR="000230C6">
        <w:t xml:space="preserve"> </w:t>
      </w:r>
      <w:r w:rsidR="001628F4">
        <w:t>goods or services being provided fall within the description of eligible expenditure</w:t>
      </w:r>
      <w:r>
        <w:t>?</w:t>
      </w:r>
    </w:p>
    <w:p w14:paraId="331C7954" w14:textId="77777777" w:rsidR="00664BDC" w:rsidRDefault="00664BDC" w:rsidP="00C24CF8">
      <w:pPr>
        <w:pStyle w:val="Heading2"/>
        <w:sectPr w:rsidR="00664BDC" w:rsidSect="00AD4D8F">
          <w:headerReference w:type="even" r:id="rId13"/>
          <w:headerReference w:type="default" r:id="rId14"/>
          <w:footerReference w:type="even" r:id="rId15"/>
          <w:footerReference w:type="default" r:id="rId16"/>
          <w:headerReference w:type="first" r:id="rId17"/>
          <w:footerReference w:type="first" r:id="rId18"/>
          <w:pgSz w:w="11906" w:h="16838" w:code="9"/>
          <w:pgMar w:top="1276" w:right="1247" w:bottom="851" w:left="1247" w:header="567" w:footer="284" w:gutter="0"/>
          <w:pgNumType w:start="1"/>
          <w:cols w:space="708"/>
          <w:titlePg/>
          <w:docGrid w:linePitch="360"/>
        </w:sectPr>
      </w:pPr>
    </w:p>
    <w:p w14:paraId="6908FFD8" w14:textId="2F565476" w:rsidR="00C24CF8" w:rsidRDefault="00C24CF8" w:rsidP="00C24CF8">
      <w:pPr>
        <w:pStyle w:val="Heading2"/>
      </w:pPr>
      <w:bookmarkStart w:id="7" w:name="_Ref219388538"/>
      <w:r>
        <w:lastRenderedPageBreak/>
        <w:t>Appendix A</w:t>
      </w:r>
      <w:r w:rsidR="00B970DA">
        <w:t>:</w:t>
      </w:r>
      <w:r>
        <w:t xml:space="preserve"> International </w:t>
      </w:r>
      <w:r w:rsidR="00FE632F" w:rsidRPr="00FE632F">
        <w:t xml:space="preserve">expenditure </w:t>
      </w:r>
      <w:r>
        <w:t>examples</w:t>
      </w:r>
      <w:bookmarkEnd w:id="7"/>
    </w:p>
    <w:p w14:paraId="02D69BCD" w14:textId="44D7439A" w:rsidR="000B1B5A" w:rsidRDefault="000B1B5A" w:rsidP="000B1B5A">
      <w:pPr>
        <w:rPr>
          <w:lang w:eastAsia="ja-JP"/>
        </w:rPr>
      </w:pPr>
      <w:r w:rsidRPr="000B1B5A">
        <w:rPr>
          <w:lang w:eastAsia="ja-JP"/>
        </w:rPr>
        <w:t xml:space="preserve">The following examples are provided to help understand what constitutes eligible and </w:t>
      </w:r>
      <w:r w:rsidR="00314A23">
        <w:rPr>
          <w:lang w:eastAsia="ja-JP"/>
        </w:rPr>
        <w:t>in</w:t>
      </w:r>
      <w:r w:rsidRPr="000B1B5A">
        <w:rPr>
          <w:lang w:eastAsia="ja-JP"/>
        </w:rPr>
        <w:t xml:space="preserve">eligible overseas </w:t>
      </w:r>
      <w:r w:rsidR="00FE632F">
        <w:t>expenditure</w:t>
      </w:r>
      <w:r>
        <w:rPr>
          <w:lang w:eastAsia="ja-JP"/>
        </w:rPr>
        <w:t xml:space="preserve">. These are examples only, the principles set out in this document should be used to guide </w:t>
      </w:r>
      <w:r w:rsidR="00314A23">
        <w:rPr>
          <w:lang w:eastAsia="ja-JP"/>
        </w:rPr>
        <w:t xml:space="preserve">international </w:t>
      </w:r>
      <w:r w:rsidR="00FE632F">
        <w:t xml:space="preserve">expenditure </w:t>
      </w:r>
      <w:r>
        <w:rPr>
          <w:lang w:eastAsia="ja-JP"/>
        </w:rPr>
        <w:t>decisions</w:t>
      </w:r>
      <w:r w:rsidR="00314A23">
        <w:rPr>
          <w:lang w:eastAsia="ja-JP"/>
        </w:rPr>
        <w:t xml:space="preserve"> and advice</w:t>
      </w:r>
      <w:r>
        <w:rPr>
          <w:lang w:eastAsia="ja-JP"/>
        </w:rPr>
        <w:t>.</w:t>
      </w:r>
    </w:p>
    <w:p w14:paraId="6FB5C091" w14:textId="74027BD1" w:rsidR="00C24CF8" w:rsidRDefault="00C24CF8" w:rsidP="00C24CF8">
      <w:pPr>
        <w:pStyle w:val="Heading3"/>
        <w:rPr>
          <w:lang w:eastAsia="ja-JP"/>
        </w:rPr>
      </w:pPr>
      <w:r w:rsidRPr="00C24CF8">
        <w:rPr>
          <w:lang w:eastAsia="ja-JP"/>
        </w:rPr>
        <w:t xml:space="preserve">Eligible </w:t>
      </w:r>
      <w:r w:rsidR="00FE632F">
        <w:t>expenditure</w:t>
      </w:r>
      <w:r w:rsidR="00314A23">
        <w:t xml:space="preserve"> examples</w:t>
      </w:r>
    </w:p>
    <w:p w14:paraId="185E2740" w14:textId="213DD7DB" w:rsidR="00C24CF8" w:rsidRDefault="00C24CF8" w:rsidP="00C24CF8">
      <w:pPr>
        <w:pStyle w:val="ListBullet"/>
        <w:rPr>
          <w:lang w:eastAsia="ja-JP"/>
        </w:rPr>
      </w:pPr>
      <w:r w:rsidRPr="00C24CF8">
        <w:rPr>
          <w:lang w:eastAsia="ja-JP"/>
        </w:rPr>
        <w:t xml:space="preserve">A </w:t>
      </w:r>
      <w:r w:rsidR="00910580">
        <w:rPr>
          <w:lang w:eastAsia="ja-JP"/>
        </w:rPr>
        <w:t>delivery partner</w:t>
      </w:r>
      <w:r w:rsidRPr="00C24CF8">
        <w:rPr>
          <w:lang w:eastAsia="ja-JP"/>
        </w:rPr>
        <w:t xml:space="preserve"> purchases soil moisture sensors from a manufacturer in Germany because equivalent sensors are not available in Australia. The sensors are essential for delivering measurable outcomes under the project’s monitoring plan.</w:t>
      </w:r>
    </w:p>
    <w:p w14:paraId="626D6960" w14:textId="48677E78" w:rsidR="00C24CF8" w:rsidRDefault="00C24CF8" w:rsidP="00C24CF8">
      <w:pPr>
        <w:pStyle w:val="ListBullet"/>
        <w:rPr>
          <w:lang w:eastAsia="ja-JP"/>
        </w:rPr>
      </w:pPr>
      <w:r w:rsidRPr="00C24CF8">
        <w:rPr>
          <w:lang w:eastAsia="ja-JP"/>
        </w:rPr>
        <w:t>A drought resilience expert based in Canada provide</w:t>
      </w:r>
      <w:r w:rsidR="00314A23">
        <w:rPr>
          <w:lang w:eastAsia="ja-JP"/>
        </w:rPr>
        <w:t>s</w:t>
      </w:r>
      <w:r w:rsidRPr="00C24CF8">
        <w:rPr>
          <w:lang w:eastAsia="ja-JP"/>
        </w:rPr>
        <w:t xml:space="preserve"> technical advice on climate modelling. The advice directly supports Australian project activities and outcomes.</w:t>
      </w:r>
    </w:p>
    <w:p w14:paraId="69215772" w14:textId="23664E23" w:rsidR="00B34D56" w:rsidRDefault="00B34D56" w:rsidP="00C24CF8">
      <w:pPr>
        <w:pStyle w:val="ListBullet"/>
        <w:rPr>
          <w:lang w:eastAsia="ja-JP"/>
        </w:rPr>
      </w:pPr>
      <w:r w:rsidRPr="00B34D56">
        <w:rPr>
          <w:lang w:eastAsia="ja-JP"/>
        </w:rPr>
        <w:t xml:space="preserve">A </w:t>
      </w:r>
      <w:r w:rsidR="00910580">
        <w:rPr>
          <w:lang w:eastAsia="ja-JP"/>
        </w:rPr>
        <w:t>delivery partner</w:t>
      </w:r>
      <w:r w:rsidRPr="00B34D56">
        <w:rPr>
          <w:lang w:eastAsia="ja-JP"/>
        </w:rPr>
        <w:t xml:space="preserve"> imports drought-tolerant crop seeds from an international research facility for trials in Australia, as these seeds are not commercially available domestically.</w:t>
      </w:r>
    </w:p>
    <w:p w14:paraId="4DDD4FFC" w14:textId="4D7946B5" w:rsidR="00314A23" w:rsidRPr="00C24CF8" w:rsidRDefault="00314A23" w:rsidP="00C24CF8">
      <w:pPr>
        <w:pStyle w:val="ListBullet"/>
        <w:rPr>
          <w:lang w:eastAsia="ja-JP"/>
        </w:rPr>
      </w:pPr>
      <w:r>
        <w:rPr>
          <w:lang w:eastAsia="ja-JP"/>
        </w:rPr>
        <w:t xml:space="preserve">An </w:t>
      </w:r>
      <w:r w:rsidRPr="00314A23">
        <w:rPr>
          <w:lang w:eastAsia="ja-JP"/>
        </w:rPr>
        <w:t>international laboratory</w:t>
      </w:r>
      <w:r>
        <w:rPr>
          <w:lang w:eastAsia="ja-JP"/>
        </w:rPr>
        <w:t xml:space="preserve"> is engaged</w:t>
      </w:r>
      <w:r w:rsidRPr="00314A23">
        <w:rPr>
          <w:lang w:eastAsia="ja-JP"/>
        </w:rPr>
        <w:t xml:space="preserve"> to conduct soil or plant genetic testing that cannot be performed domestically</w:t>
      </w:r>
      <w:r>
        <w:rPr>
          <w:lang w:eastAsia="ja-JP"/>
        </w:rPr>
        <w:t>.</w:t>
      </w:r>
    </w:p>
    <w:p w14:paraId="133B8CCA" w14:textId="226BE402" w:rsidR="00C24CF8" w:rsidRDefault="00314A23" w:rsidP="00C24CF8">
      <w:pPr>
        <w:pStyle w:val="Heading3"/>
        <w:rPr>
          <w:lang w:eastAsia="ja-JP"/>
        </w:rPr>
      </w:pPr>
      <w:r>
        <w:rPr>
          <w:lang w:eastAsia="ja-JP"/>
        </w:rPr>
        <w:t>In</w:t>
      </w:r>
      <w:r w:rsidR="00C24CF8">
        <w:rPr>
          <w:lang w:eastAsia="ja-JP"/>
        </w:rPr>
        <w:t xml:space="preserve">eligible </w:t>
      </w:r>
      <w:r w:rsidR="00FE632F">
        <w:t>expenditure</w:t>
      </w:r>
      <w:r>
        <w:t xml:space="preserve"> examples</w:t>
      </w:r>
    </w:p>
    <w:p w14:paraId="26C5931B" w14:textId="73D316FF" w:rsidR="00C24CF8" w:rsidRDefault="00C24CF8" w:rsidP="00C24CF8">
      <w:pPr>
        <w:pStyle w:val="ListBullet"/>
        <w:rPr>
          <w:lang w:eastAsia="ja-JP"/>
        </w:rPr>
      </w:pPr>
      <w:r>
        <w:rPr>
          <w:lang w:eastAsia="ja-JP"/>
        </w:rPr>
        <w:t>A delivery partner uses FDF funds for flights to attend a conference overseas without prior department approval.</w:t>
      </w:r>
    </w:p>
    <w:p w14:paraId="2D1670D8" w14:textId="63882F00" w:rsidR="00C24CF8" w:rsidRDefault="00C24CF8" w:rsidP="00C24CF8">
      <w:pPr>
        <w:pStyle w:val="ListBullet"/>
        <w:rPr>
          <w:lang w:eastAsia="ja-JP"/>
        </w:rPr>
      </w:pPr>
      <w:r>
        <w:rPr>
          <w:lang w:eastAsia="ja-JP"/>
        </w:rPr>
        <w:t xml:space="preserve">A </w:t>
      </w:r>
      <w:r w:rsidR="00910580">
        <w:rPr>
          <w:lang w:eastAsia="ja-JP"/>
        </w:rPr>
        <w:t>delivery partner</w:t>
      </w:r>
      <w:r>
        <w:rPr>
          <w:lang w:eastAsia="ja-JP"/>
        </w:rPr>
        <w:t xml:space="preserve"> purchases irrigation equipment from an overseas supplier even though similar equipment is available in Australia</w:t>
      </w:r>
      <w:r w:rsidR="00314A23">
        <w:rPr>
          <w:lang w:eastAsia="ja-JP"/>
        </w:rPr>
        <w:t xml:space="preserve"> at the same price</w:t>
      </w:r>
      <w:r>
        <w:rPr>
          <w:lang w:eastAsia="ja-JP"/>
        </w:rPr>
        <w:t>.</w:t>
      </w:r>
    </w:p>
    <w:p w14:paraId="1A319A8F" w14:textId="44FE6EE4" w:rsidR="00B34D56" w:rsidRDefault="00B34D56" w:rsidP="00C24CF8">
      <w:pPr>
        <w:pStyle w:val="ListBullet"/>
        <w:rPr>
          <w:lang w:eastAsia="ja-JP"/>
        </w:rPr>
      </w:pPr>
      <w:r w:rsidRPr="00B34D56">
        <w:rPr>
          <w:lang w:eastAsia="ja-JP"/>
        </w:rPr>
        <w:t xml:space="preserve">A </w:t>
      </w:r>
      <w:r w:rsidR="00910580">
        <w:rPr>
          <w:lang w:eastAsia="ja-JP"/>
        </w:rPr>
        <w:t xml:space="preserve">delivery partner </w:t>
      </w:r>
      <w:r w:rsidRPr="00B34D56">
        <w:rPr>
          <w:lang w:eastAsia="ja-JP"/>
        </w:rPr>
        <w:t>engages an overseas consultant for general project management support when similar expertise is readily available in Australia.</w:t>
      </w:r>
    </w:p>
    <w:p w14:paraId="6FF98B81" w14:textId="3666EEC2" w:rsidR="00B34D56" w:rsidRDefault="00B34D56" w:rsidP="00B34D56">
      <w:pPr>
        <w:pStyle w:val="ListBullet"/>
        <w:rPr>
          <w:lang w:eastAsia="en-AU"/>
        </w:rPr>
      </w:pPr>
      <w:r w:rsidRPr="00B34D56">
        <w:rPr>
          <w:lang w:eastAsia="en-AU"/>
        </w:rPr>
        <w:t xml:space="preserve">A </w:t>
      </w:r>
      <w:r w:rsidR="00910580">
        <w:rPr>
          <w:lang w:eastAsia="en-AU"/>
        </w:rPr>
        <w:t>delivery partner</w:t>
      </w:r>
      <w:r w:rsidRPr="00B34D56">
        <w:rPr>
          <w:lang w:eastAsia="en-AU"/>
        </w:rPr>
        <w:t xml:space="preserve"> funds advertising in overseas markets to promote Australian drought resilience products. This does not deliver a public good for Australian</w:t>
      </w:r>
      <w:r>
        <w:rPr>
          <w:lang w:eastAsia="en-AU"/>
        </w:rPr>
        <w:t xml:space="preserve"> farmers and</w:t>
      </w:r>
      <w:r w:rsidRPr="00B34D56">
        <w:rPr>
          <w:lang w:eastAsia="en-AU"/>
        </w:rPr>
        <w:t xml:space="preserve"> communities.</w:t>
      </w:r>
    </w:p>
    <w:p w14:paraId="06466F38" w14:textId="77777777" w:rsidR="00B970DA" w:rsidRDefault="00B970DA">
      <w:pPr>
        <w:spacing w:after="0" w:line="240" w:lineRule="auto"/>
        <w:rPr>
          <w:rFonts w:ascii="Calibri" w:eastAsiaTheme="minorEastAsia" w:hAnsi="Calibri"/>
          <w:b/>
          <w:bCs/>
          <w:sz w:val="28"/>
          <w:szCs w:val="28"/>
          <w:lang w:eastAsia="ja-JP"/>
        </w:rPr>
      </w:pPr>
      <w:r>
        <w:br w:type="page"/>
      </w:r>
    </w:p>
    <w:p w14:paraId="1131C8DB" w14:textId="064AFFDD" w:rsidR="00D35C2C" w:rsidRDefault="00D35C2C" w:rsidP="00D35C2C">
      <w:pPr>
        <w:pStyle w:val="Heading2"/>
      </w:pPr>
      <w:r>
        <w:lastRenderedPageBreak/>
        <w:t>Glossary</w:t>
      </w:r>
    </w:p>
    <w:tbl>
      <w:tblPr>
        <w:tblW w:w="5000" w:type="pct"/>
        <w:tblBorders>
          <w:top w:val="single" w:sz="6" w:space="0" w:color="auto"/>
          <w:bottom w:val="single" w:sz="4" w:space="0" w:color="auto"/>
          <w:insideH w:val="single" w:sz="4" w:space="0" w:color="auto"/>
        </w:tblBorders>
        <w:tblLook w:val="0000" w:firstRow="0" w:lastRow="0" w:firstColumn="0" w:lastColumn="0" w:noHBand="0" w:noVBand="0"/>
      </w:tblPr>
      <w:tblGrid>
        <w:gridCol w:w="2353"/>
        <w:gridCol w:w="7059"/>
      </w:tblGrid>
      <w:tr w:rsidR="00D35C2C" w:rsidRPr="00FE64BC" w14:paraId="4E322EC6" w14:textId="77777777" w:rsidTr="00135980">
        <w:trPr>
          <w:tblHeader/>
        </w:trPr>
        <w:tc>
          <w:tcPr>
            <w:tcW w:w="1250" w:type="pct"/>
            <w:tcMar>
              <w:left w:w="108" w:type="dxa"/>
              <w:right w:w="108" w:type="dxa"/>
            </w:tcMar>
          </w:tcPr>
          <w:p w14:paraId="58F9D058" w14:textId="77777777" w:rsidR="00D35C2C" w:rsidRPr="00664BDC" w:rsidRDefault="00D35C2C" w:rsidP="00664BDC">
            <w:pPr>
              <w:pStyle w:val="TableHeading"/>
            </w:pPr>
            <w:r w:rsidRPr="00664BDC">
              <w:t>Term</w:t>
            </w:r>
          </w:p>
        </w:tc>
        <w:tc>
          <w:tcPr>
            <w:tcW w:w="3750" w:type="pct"/>
            <w:tcMar>
              <w:left w:w="108" w:type="dxa"/>
              <w:right w:w="108" w:type="dxa"/>
            </w:tcMar>
          </w:tcPr>
          <w:p w14:paraId="02BAAAAC" w14:textId="77777777" w:rsidR="00D35C2C" w:rsidRPr="00664BDC" w:rsidRDefault="00D35C2C" w:rsidP="00664BDC">
            <w:pPr>
              <w:pStyle w:val="TableHeading"/>
            </w:pPr>
            <w:r w:rsidRPr="00664BDC">
              <w:t>Definition</w:t>
            </w:r>
          </w:p>
        </w:tc>
      </w:tr>
      <w:tr w:rsidR="00664BDC" w:rsidRPr="00FE64BC" w14:paraId="4EBDEC04" w14:textId="77777777" w:rsidTr="00135980">
        <w:tc>
          <w:tcPr>
            <w:tcW w:w="1250" w:type="pct"/>
            <w:tcMar>
              <w:left w:w="108" w:type="dxa"/>
              <w:right w:w="108" w:type="dxa"/>
            </w:tcMar>
          </w:tcPr>
          <w:p w14:paraId="763934CD" w14:textId="1A27EEFC" w:rsidR="00664BDC" w:rsidRPr="00FE64BC" w:rsidRDefault="00664BDC" w:rsidP="00664BDC">
            <w:pPr>
              <w:pStyle w:val="TableText"/>
            </w:pPr>
            <w:r w:rsidRPr="00A15461">
              <w:t xml:space="preserve">Delivery </w:t>
            </w:r>
            <w:r w:rsidR="00B970DA">
              <w:t>p</w:t>
            </w:r>
            <w:r w:rsidRPr="00A15461">
              <w:t>artner</w:t>
            </w:r>
          </w:p>
        </w:tc>
        <w:tc>
          <w:tcPr>
            <w:tcW w:w="3750" w:type="pct"/>
            <w:tcMar>
              <w:left w:w="108" w:type="dxa"/>
              <w:right w:w="108" w:type="dxa"/>
            </w:tcMar>
          </w:tcPr>
          <w:p w14:paraId="0BAB8946" w14:textId="3CF6FDD0" w:rsidR="00910580" w:rsidRPr="00FE64BC" w:rsidRDefault="00910580" w:rsidP="00664BDC">
            <w:pPr>
              <w:pStyle w:val="TableText"/>
            </w:pPr>
            <w:r>
              <w:rPr>
                <w:sz w:val="20"/>
                <w:szCs w:val="20"/>
              </w:rPr>
              <w:t>The l</w:t>
            </w:r>
            <w:r w:rsidRPr="00EF1FE7">
              <w:rPr>
                <w:sz w:val="20"/>
                <w:szCs w:val="20"/>
              </w:rPr>
              <w:t>egal entity other than the Commonwealth specified in the Agreement</w:t>
            </w:r>
            <w:r w:rsidR="00D002CF">
              <w:rPr>
                <w:sz w:val="20"/>
                <w:szCs w:val="20"/>
              </w:rPr>
              <w:t xml:space="preserve"> or Arrangement</w:t>
            </w:r>
            <w:r w:rsidRPr="00EF1FE7">
              <w:rPr>
                <w:sz w:val="20"/>
                <w:szCs w:val="20"/>
              </w:rPr>
              <w:t xml:space="preserve"> and includes, where relevant, its officers, employees, contractors and agents.</w:t>
            </w:r>
            <w:r>
              <w:rPr>
                <w:sz w:val="20"/>
                <w:szCs w:val="20"/>
              </w:rPr>
              <w:t xml:space="preserve"> The delivery partner is </w:t>
            </w:r>
            <w:r w:rsidRPr="00CE621B">
              <w:rPr>
                <w:sz w:val="20"/>
                <w:szCs w:val="20"/>
              </w:rPr>
              <w:t>responsible for managing</w:t>
            </w:r>
            <w:r>
              <w:rPr>
                <w:sz w:val="20"/>
                <w:szCs w:val="20"/>
              </w:rPr>
              <w:t>,</w:t>
            </w:r>
            <w:r w:rsidRPr="00CE621B">
              <w:rPr>
                <w:sz w:val="20"/>
                <w:szCs w:val="20"/>
              </w:rPr>
              <w:t xml:space="preserve"> overseeing </w:t>
            </w:r>
            <w:r>
              <w:rPr>
                <w:sz w:val="20"/>
                <w:szCs w:val="20"/>
              </w:rPr>
              <w:t xml:space="preserve">and reporting on </w:t>
            </w:r>
            <w:r w:rsidRPr="00CE621B">
              <w:rPr>
                <w:sz w:val="20"/>
                <w:szCs w:val="20"/>
              </w:rPr>
              <w:t>the delivery of an FDF-funded project.</w:t>
            </w:r>
          </w:p>
        </w:tc>
      </w:tr>
      <w:tr w:rsidR="005C4D80" w:rsidRPr="00FE64BC" w14:paraId="011E8A2F" w14:textId="77777777" w:rsidTr="00135980">
        <w:tc>
          <w:tcPr>
            <w:tcW w:w="1250" w:type="pct"/>
            <w:tcMar>
              <w:left w:w="108" w:type="dxa"/>
              <w:right w:w="108" w:type="dxa"/>
            </w:tcMar>
          </w:tcPr>
          <w:p w14:paraId="6A4BAD4E" w14:textId="0EFB4086" w:rsidR="005C4D80" w:rsidRPr="00A15461" w:rsidRDefault="005C4D80" w:rsidP="00664BDC">
            <w:pPr>
              <w:pStyle w:val="TableText"/>
            </w:pPr>
            <w:r>
              <w:t xml:space="preserve">Economical </w:t>
            </w:r>
            <w:r w:rsidRPr="00520EF9">
              <w:t xml:space="preserve">(in relation to the proper use of </w:t>
            </w:r>
            <w:r>
              <w:t>FDF funds</w:t>
            </w:r>
            <w:r w:rsidRPr="00520EF9">
              <w:t>)</w:t>
            </w:r>
          </w:p>
        </w:tc>
        <w:tc>
          <w:tcPr>
            <w:tcW w:w="3750" w:type="pct"/>
            <w:tcMar>
              <w:left w:w="108" w:type="dxa"/>
              <w:right w:w="108" w:type="dxa"/>
            </w:tcMar>
          </w:tcPr>
          <w:p w14:paraId="744473E2" w14:textId="097CB7E9" w:rsidR="005C4D80" w:rsidRPr="00A15461" w:rsidRDefault="005C4D80" w:rsidP="00664BDC">
            <w:pPr>
              <w:pStyle w:val="TableText"/>
            </w:pPr>
            <w:r w:rsidRPr="005C4D80">
              <w:t xml:space="preserve">The extent to which the proposed use avoids waste and sharpens the focus on the level of resources that the Commonwealth applies to deliver results. This generally relates to approving the best cost option to deliver the expected results. </w:t>
            </w:r>
            <w:proofErr w:type="spellStart"/>
            <w:r w:rsidRPr="005C4D80">
              <w:t>Economical</w:t>
            </w:r>
            <w:proofErr w:type="spellEnd"/>
            <w:r w:rsidRPr="005C4D80">
              <w:t xml:space="preserve"> considerations must be balanced with whether the use will also be efficient, effective and ethical.</w:t>
            </w:r>
          </w:p>
        </w:tc>
      </w:tr>
      <w:tr w:rsidR="00520EF9" w:rsidRPr="00FE64BC" w14:paraId="453398D4" w14:textId="77777777" w:rsidTr="00135980">
        <w:tc>
          <w:tcPr>
            <w:tcW w:w="1250" w:type="pct"/>
            <w:tcMar>
              <w:left w:w="108" w:type="dxa"/>
              <w:right w:w="108" w:type="dxa"/>
            </w:tcMar>
          </w:tcPr>
          <w:p w14:paraId="1AC757D8" w14:textId="2300868F" w:rsidR="00520EF9" w:rsidRPr="00A15461" w:rsidRDefault="00520EF9" w:rsidP="00664BDC">
            <w:pPr>
              <w:pStyle w:val="TableText"/>
            </w:pPr>
            <w:r>
              <w:t xml:space="preserve">Effective </w:t>
            </w:r>
            <w:r w:rsidRPr="00520EF9">
              <w:t xml:space="preserve">(in relation to the proper use of </w:t>
            </w:r>
            <w:r>
              <w:t>FDF funds</w:t>
            </w:r>
            <w:r w:rsidRPr="00520EF9">
              <w:t>)</w:t>
            </w:r>
          </w:p>
        </w:tc>
        <w:tc>
          <w:tcPr>
            <w:tcW w:w="3750" w:type="pct"/>
            <w:tcMar>
              <w:left w:w="108" w:type="dxa"/>
              <w:right w:w="108" w:type="dxa"/>
            </w:tcMar>
          </w:tcPr>
          <w:p w14:paraId="6C81A8BF" w14:textId="6636E633" w:rsidR="00520EF9" w:rsidRPr="00A15461" w:rsidRDefault="00520EF9" w:rsidP="00664BDC">
            <w:pPr>
              <w:pStyle w:val="TableText"/>
            </w:pPr>
            <w:r w:rsidRPr="00520EF9">
              <w:t>The extent to which an intervention has attained its major relevant objectives. Effectiveness considerations must be balanced with whether the use will also be efficient, economical and ethical</w:t>
            </w:r>
            <w:r>
              <w:t>.</w:t>
            </w:r>
          </w:p>
        </w:tc>
      </w:tr>
      <w:tr w:rsidR="005C4D80" w:rsidRPr="00FE64BC" w14:paraId="27891815" w14:textId="77777777" w:rsidTr="00135980">
        <w:tc>
          <w:tcPr>
            <w:tcW w:w="1250" w:type="pct"/>
            <w:tcMar>
              <w:left w:w="108" w:type="dxa"/>
              <w:right w:w="108" w:type="dxa"/>
            </w:tcMar>
          </w:tcPr>
          <w:p w14:paraId="7D9AD035" w14:textId="21567316" w:rsidR="005C4D80" w:rsidRDefault="005C4D80" w:rsidP="00664BDC">
            <w:pPr>
              <w:pStyle w:val="TableText"/>
            </w:pPr>
            <w:r>
              <w:t xml:space="preserve">Efficient </w:t>
            </w:r>
            <w:r w:rsidRPr="00520EF9">
              <w:t xml:space="preserve">(in relation to the proper use of </w:t>
            </w:r>
            <w:r>
              <w:t>FDF funds</w:t>
            </w:r>
            <w:r w:rsidRPr="00520EF9">
              <w:t>)</w:t>
            </w:r>
          </w:p>
        </w:tc>
        <w:tc>
          <w:tcPr>
            <w:tcW w:w="3750" w:type="pct"/>
            <w:tcMar>
              <w:left w:w="108" w:type="dxa"/>
              <w:right w:w="108" w:type="dxa"/>
            </w:tcMar>
          </w:tcPr>
          <w:p w14:paraId="373280EF" w14:textId="6DBDDA6E" w:rsidR="005C4D80" w:rsidRPr="00520EF9" w:rsidRDefault="005C4D80" w:rsidP="00664BDC">
            <w:pPr>
              <w:pStyle w:val="TableText"/>
            </w:pPr>
            <w:r>
              <w:t xml:space="preserve">The </w:t>
            </w:r>
            <w:r w:rsidRPr="005C4D80">
              <w:t>extent to which an activity's inputs are minimised for a given level of activity outputs, or the extent to which outputs are maximised for a given level of inputs. Efficiency considerations must be balanced with whether the use will also be effective, economical and ethical.</w:t>
            </w:r>
          </w:p>
        </w:tc>
      </w:tr>
      <w:tr w:rsidR="00B970DA" w:rsidRPr="00FE64BC" w14:paraId="5B1C0629" w14:textId="77777777" w:rsidTr="00135980">
        <w:tc>
          <w:tcPr>
            <w:tcW w:w="1250" w:type="pct"/>
            <w:tcMar>
              <w:left w:w="108" w:type="dxa"/>
              <w:right w:w="108" w:type="dxa"/>
            </w:tcMar>
          </w:tcPr>
          <w:p w14:paraId="7C395779" w14:textId="090805C1" w:rsidR="00B970DA" w:rsidRPr="00A15461" w:rsidRDefault="00B970DA" w:rsidP="00B970DA">
            <w:pPr>
              <w:pStyle w:val="TableText"/>
            </w:pPr>
            <w:r w:rsidRPr="00A15461">
              <w:t>Eligible</w:t>
            </w:r>
            <w:r>
              <w:t xml:space="preserve"> e</w:t>
            </w:r>
            <w:r w:rsidRPr="00A15461">
              <w:t>xpenditure</w:t>
            </w:r>
          </w:p>
        </w:tc>
        <w:tc>
          <w:tcPr>
            <w:tcW w:w="3750" w:type="pct"/>
            <w:tcMar>
              <w:left w:w="108" w:type="dxa"/>
              <w:right w:w="108" w:type="dxa"/>
            </w:tcMar>
          </w:tcPr>
          <w:p w14:paraId="3EDDB957" w14:textId="186140B5" w:rsidR="00B970DA" w:rsidRPr="00A15461" w:rsidRDefault="00B970DA" w:rsidP="00B970DA">
            <w:pPr>
              <w:pStyle w:val="TableText"/>
            </w:pPr>
            <w:r w:rsidRPr="00A15461">
              <w:t>Costs that meet the requirements outlined in the grant agreement or arrangement and comply with FDF guidelines.</w:t>
            </w:r>
          </w:p>
        </w:tc>
      </w:tr>
      <w:tr w:rsidR="005C4D80" w:rsidRPr="00FE64BC" w14:paraId="66EE0D39" w14:textId="77777777" w:rsidTr="00135980">
        <w:tc>
          <w:tcPr>
            <w:tcW w:w="1250" w:type="pct"/>
            <w:tcMar>
              <w:left w:w="108" w:type="dxa"/>
              <w:right w:w="108" w:type="dxa"/>
            </w:tcMar>
          </w:tcPr>
          <w:p w14:paraId="526896A6" w14:textId="45CA5E7F" w:rsidR="005C4D80" w:rsidRPr="00A15461" w:rsidRDefault="005C4D80" w:rsidP="00B970DA">
            <w:pPr>
              <w:pStyle w:val="TableText"/>
            </w:pPr>
            <w:r>
              <w:t xml:space="preserve">Ethical </w:t>
            </w:r>
            <w:r w:rsidRPr="00520EF9">
              <w:t xml:space="preserve">(in relation to the proper use of </w:t>
            </w:r>
            <w:r>
              <w:t>FDF funds</w:t>
            </w:r>
            <w:r w:rsidRPr="00520EF9">
              <w:t>)</w:t>
            </w:r>
          </w:p>
        </w:tc>
        <w:tc>
          <w:tcPr>
            <w:tcW w:w="3750" w:type="pct"/>
            <w:tcMar>
              <w:left w:w="108" w:type="dxa"/>
              <w:right w:w="108" w:type="dxa"/>
            </w:tcMar>
          </w:tcPr>
          <w:p w14:paraId="11683CB8" w14:textId="008FB600" w:rsidR="005C4D80" w:rsidRPr="00A15461" w:rsidRDefault="005C4D80" w:rsidP="00B970DA">
            <w:pPr>
              <w:pStyle w:val="TableText"/>
            </w:pPr>
            <w:r w:rsidRPr="005C4D80">
              <w:t>The extent to which the proposed use is consistent with the core beliefs and values of society. Where a person behaves in an ethical manner it could be expected that a person in a similar situation would undertake a similar course of action. For the approval of proposed commitments of relevant money, an ethical use of resources involves managing conflicts of interests, and approving the commitment based on the facts without being influenced by personal bias. Ethical considerations must be balanced with whether the use will also be efficient, effective and economical.</w:t>
            </w:r>
          </w:p>
        </w:tc>
      </w:tr>
      <w:tr w:rsidR="005C4D80" w:rsidRPr="00FE64BC" w14:paraId="063F316A" w14:textId="77777777" w:rsidTr="00135980">
        <w:tc>
          <w:tcPr>
            <w:tcW w:w="1250" w:type="pct"/>
            <w:tcMar>
              <w:left w:w="108" w:type="dxa"/>
              <w:right w:w="108" w:type="dxa"/>
            </w:tcMar>
          </w:tcPr>
          <w:p w14:paraId="6A298C09" w14:textId="3F442AA7" w:rsidR="005C4D80" w:rsidRDefault="005C4D80" w:rsidP="00B970DA">
            <w:pPr>
              <w:pStyle w:val="TableText"/>
            </w:pPr>
            <w:r>
              <w:t>Expenditure</w:t>
            </w:r>
          </w:p>
        </w:tc>
        <w:tc>
          <w:tcPr>
            <w:tcW w:w="3750" w:type="pct"/>
            <w:tcMar>
              <w:left w:w="108" w:type="dxa"/>
              <w:right w:w="108" w:type="dxa"/>
            </w:tcMar>
          </w:tcPr>
          <w:p w14:paraId="56EE1241" w14:textId="19636A8F" w:rsidR="005C4D80" w:rsidRPr="005C4D80" w:rsidRDefault="005C4D80" w:rsidP="00B970DA">
            <w:pPr>
              <w:pStyle w:val="TableText"/>
            </w:pPr>
            <w:r w:rsidRPr="005C4D80">
              <w:t>Payments for expenses, acquiring assets</w:t>
            </w:r>
            <w:r>
              <w:t xml:space="preserve"> </w:t>
            </w:r>
            <w:r w:rsidRPr="005C4D80">
              <w:t>or paying liabilities.</w:t>
            </w:r>
          </w:p>
        </w:tc>
      </w:tr>
      <w:tr w:rsidR="00664BDC" w:rsidRPr="00FE64BC" w14:paraId="02CA2219" w14:textId="77777777" w:rsidTr="00135980">
        <w:tc>
          <w:tcPr>
            <w:tcW w:w="1250" w:type="pct"/>
            <w:tcMar>
              <w:left w:w="108" w:type="dxa"/>
              <w:right w:w="108" w:type="dxa"/>
            </w:tcMar>
          </w:tcPr>
          <w:p w14:paraId="5652C7A9" w14:textId="63499480" w:rsidR="00664BDC" w:rsidRPr="00FE64BC" w:rsidRDefault="00664BDC" w:rsidP="00664BDC">
            <w:pPr>
              <w:pStyle w:val="TableText"/>
            </w:pPr>
            <w:r w:rsidRPr="00A15461">
              <w:t xml:space="preserve">International </w:t>
            </w:r>
            <w:r w:rsidR="00B970DA">
              <w:t>e</w:t>
            </w:r>
            <w:r w:rsidRPr="00A15461">
              <w:t xml:space="preserve">xpenditure </w:t>
            </w:r>
          </w:p>
        </w:tc>
        <w:tc>
          <w:tcPr>
            <w:tcW w:w="3750" w:type="pct"/>
            <w:tcMar>
              <w:left w:w="108" w:type="dxa"/>
              <w:right w:w="108" w:type="dxa"/>
            </w:tcMar>
          </w:tcPr>
          <w:p w14:paraId="40C28DE3" w14:textId="599067B8" w:rsidR="00664BDC" w:rsidRPr="00FE64BC" w:rsidRDefault="00664BDC" w:rsidP="00664BDC">
            <w:pPr>
              <w:pStyle w:val="TableText"/>
            </w:pPr>
            <w:r w:rsidRPr="00A15461">
              <w:t>Spending on goods, services, or expertise sourced from outside Australia to support FDF project outcomes.</w:t>
            </w:r>
          </w:p>
        </w:tc>
      </w:tr>
      <w:tr w:rsidR="00664BDC" w:rsidRPr="00FE64BC" w14:paraId="7E8BD452" w14:textId="77777777" w:rsidTr="00135980">
        <w:tc>
          <w:tcPr>
            <w:tcW w:w="1250" w:type="pct"/>
            <w:tcMar>
              <w:left w:w="108" w:type="dxa"/>
              <w:right w:w="108" w:type="dxa"/>
            </w:tcMar>
          </w:tcPr>
          <w:p w14:paraId="1F8ACA63" w14:textId="6F3FDA5D" w:rsidR="00664BDC" w:rsidRPr="00FE64BC" w:rsidRDefault="00664BDC" w:rsidP="00664BDC">
            <w:pPr>
              <w:pStyle w:val="TableText"/>
            </w:pPr>
            <w:r w:rsidRPr="00A15461">
              <w:t xml:space="preserve">Public </w:t>
            </w:r>
            <w:r w:rsidR="00B970DA">
              <w:t>g</w:t>
            </w:r>
            <w:r w:rsidRPr="00A15461">
              <w:t>ood</w:t>
            </w:r>
          </w:p>
        </w:tc>
        <w:tc>
          <w:tcPr>
            <w:tcW w:w="3750" w:type="pct"/>
            <w:tcMar>
              <w:left w:w="108" w:type="dxa"/>
              <w:right w:w="108" w:type="dxa"/>
            </w:tcMar>
          </w:tcPr>
          <w:p w14:paraId="2A82FF60" w14:textId="15FBB5EF" w:rsidR="00C55E7C" w:rsidRPr="00FE64BC" w:rsidRDefault="00C55E7C" w:rsidP="00C55E7C">
            <w:pPr>
              <w:pStyle w:val="TableText"/>
            </w:pPr>
            <w:r>
              <w:t xml:space="preserve">The benefits generated from the funding under the FDF should be able to be accessed and or shared by many rather than be captured solely by individual businesses or industries for private commercial gain. The benefits achievable from the funding should also outweigh the costs. Public good may be established where there </w:t>
            </w:r>
            <w:proofErr w:type="gramStart"/>
            <w:r>
              <w:t>are</w:t>
            </w:r>
            <w:proofErr w:type="gramEnd"/>
            <w:r>
              <w:t xml:space="preserve"> significant spill over benefits for society and the economy, well beyond those derived by private beneficiaries</w:t>
            </w:r>
          </w:p>
        </w:tc>
      </w:tr>
      <w:tr w:rsidR="00664BDC" w:rsidRPr="00FE64BC" w14:paraId="183AB319" w14:textId="77777777" w:rsidTr="00135980">
        <w:tc>
          <w:tcPr>
            <w:tcW w:w="1250" w:type="pct"/>
            <w:tcMar>
              <w:left w:w="108" w:type="dxa"/>
              <w:right w:w="108" w:type="dxa"/>
            </w:tcMar>
          </w:tcPr>
          <w:p w14:paraId="555D54CF" w14:textId="54DCFE5A" w:rsidR="00664BDC" w:rsidRPr="00FE64BC" w:rsidRDefault="00664BDC" w:rsidP="00664BDC">
            <w:pPr>
              <w:pStyle w:val="TableText"/>
            </w:pPr>
            <w:r w:rsidRPr="00A15461">
              <w:t xml:space="preserve">Value for </w:t>
            </w:r>
            <w:r w:rsidR="00B970DA">
              <w:t>m</w:t>
            </w:r>
            <w:r w:rsidRPr="00A15461">
              <w:t>oney</w:t>
            </w:r>
          </w:p>
        </w:tc>
        <w:tc>
          <w:tcPr>
            <w:tcW w:w="3750" w:type="pct"/>
            <w:tcMar>
              <w:left w:w="108" w:type="dxa"/>
              <w:right w:w="108" w:type="dxa"/>
            </w:tcMar>
          </w:tcPr>
          <w:p w14:paraId="788B6F53" w14:textId="7DDB4764" w:rsidR="00664BDC" w:rsidRPr="00FE64BC" w:rsidRDefault="00664BDC" w:rsidP="00664BDC">
            <w:pPr>
              <w:pStyle w:val="TableText"/>
            </w:pPr>
            <w:r w:rsidRPr="00A15461">
              <w:t>Efficient, effective, economical and ethical use of public resources, considering both financial and non-financial factors</w:t>
            </w:r>
          </w:p>
        </w:tc>
      </w:tr>
    </w:tbl>
    <w:p w14:paraId="65CDF5BB" w14:textId="60790F07" w:rsidR="005068A6" w:rsidRDefault="005068A6">
      <w:pPr>
        <w:spacing w:after="0" w:line="240" w:lineRule="auto"/>
        <w:rPr>
          <w:rFonts w:ascii="Calibri" w:eastAsia="Times New Roman" w:hAnsi="Calibri" w:cs="Times New Roman"/>
          <w:b/>
          <w:bCs/>
          <w:sz w:val="24"/>
          <w:szCs w:val="24"/>
        </w:rPr>
      </w:pPr>
      <w:bookmarkStart w:id="8" w:name="_Hlk219388045"/>
      <w:bookmarkStart w:id="9" w:name="_Hlk216860324"/>
      <w:bookmarkEnd w:id="6"/>
      <w:r>
        <w:br w:type="page"/>
      </w:r>
    </w:p>
    <w:bookmarkEnd w:id="8"/>
    <w:bookmarkEnd w:id="9"/>
    <w:p w14:paraId="0926A3D5" w14:textId="60790F07" w:rsidR="00517F82" w:rsidRDefault="00517F82" w:rsidP="00517F82">
      <w:pPr>
        <w:pStyle w:val="Normalsmall"/>
        <w:spacing w:before="480" w:after="0"/>
      </w:pPr>
      <w:r>
        <w:rPr>
          <w:rStyle w:val="Strong"/>
        </w:rPr>
        <w:lastRenderedPageBreak/>
        <w:t>Acknowledgement of Country</w:t>
      </w:r>
    </w:p>
    <w:p w14:paraId="2A67DE8C" w14:textId="77777777" w:rsidR="00517F82" w:rsidRDefault="00517F82" w:rsidP="00517F82">
      <w:pPr>
        <w:pStyle w:val="Normalsmall"/>
      </w:pPr>
      <w:r w:rsidRPr="00093CD3">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DD1753A" w14:textId="77777777" w:rsidR="00517F82" w:rsidRDefault="00517F82" w:rsidP="00517F82">
      <w:pPr>
        <w:pStyle w:val="Normalsmall"/>
        <w:spacing w:before="360"/>
      </w:pPr>
      <w:r>
        <w:t>© Commonwealth of Australia 2026</w:t>
      </w:r>
    </w:p>
    <w:p w14:paraId="178B2025" w14:textId="77777777" w:rsidR="00517F82" w:rsidRDefault="00517F82" w:rsidP="00517F82">
      <w:pPr>
        <w:pStyle w:val="Normalsmall"/>
      </w:pPr>
      <w:r>
        <w:t>Unless otherwise noted, copyright (and any other intellectual property rights) in this publication is owned by the Commonwealth of Australia (referred to as the Commonwealth).</w:t>
      </w:r>
    </w:p>
    <w:p w14:paraId="4F5CD879" w14:textId="77777777" w:rsidR="00517F82" w:rsidRDefault="00517F82" w:rsidP="00517F82">
      <w:pPr>
        <w:pStyle w:val="Normalsmall"/>
      </w:pPr>
      <w:r>
        <w:t xml:space="preserve">All material in this publication is licensed under a </w:t>
      </w:r>
      <w:hyperlink r:id="rId19" w:history="1">
        <w:r>
          <w:rPr>
            <w:rStyle w:val="Hyperlink"/>
          </w:rPr>
          <w:t>Creative Commons Attribution 4.0 International Licence</w:t>
        </w:r>
      </w:hyperlink>
      <w:r>
        <w:t xml:space="preserve"> except content supplied by third parties, logos and the Commonwealth Coat of Arms.</w:t>
      </w:r>
    </w:p>
    <w:p w14:paraId="4FE79FCF" w14:textId="26546E0D" w:rsidR="005B656B" w:rsidRDefault="00517F82" w:rsidP="00517F82">
      <w:pPr>
        <w:pStyle w:val="Normalsmall"/>
      </w:pPr>
      <w:r>
        <w:t xml:space="preserve">The Australian Government acting through the </w:t>
      </w:r>
      <w:r w:rsidRPr="007B1F92">
        <w:t>Department of Agriculture, Fisheries and Forestry</w:t>
      </w:r>
      <w:r>
        <w:t xml:space="preserve"> has exercised due care and skill in preparing and compiling the information and data in this publication. Notwithstanding, the </w:t>
      </w:r>
      <w:r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AD4D8F">
      <w:headerReference w:type="first" r:id="rId20"/>
      <w:pgSz w:w="11906" w:h="16838" w:code="9"/>
      <w:pgMar w:top="1276" w:right="1247" w:bottom="851" w:left="1247"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03D6A" w14:textId="77777777" w:rsidR="00F4704E" w:rsidRDefault="00F4704E">
      <w:r>
        <w:separator/>
      </w:r>
    </w:p>
    <w:p w14:paraId="1770D923" w14:textId="77777777" w:rsidR="00F4704E" w:rsidRDefault="00F4704E"/>
    <w:p w14:paraId="5F46CE15" w14:textId="77777777" w:rsidR="00F4704E" w:rsidRDefault="00F4704E"/>
  </w:endnote>
  <w:endnote w:type="continuationSeparator" w:id="0">
    <w:p w14:paraId="19532D4A" w14:textId="77777777" w:rsidR="00F4704E" w:rsidRDefault="00F4704E">
      <w:r>
        <w:continuationSeparator/>
      </w:r>
    </w:p>
    <w:p w14:paraId="26FD3A37" w14:textId="77777777" w:rsidR="00F4704E" w:rsidRDefault="00F4704E"/>
    <w:p w14:paraId="5BAF0AA6" w14:textId="77777777" w:rsidR="00F4704E" w:rsidRDefault="00F4704E"/>
  </w:endnote>
  <w:endnote w:type="continuationNotice" w:id="1">
    <w:p w14:paraId="3F7E5A3E" w14:textId="77777777" w:rsidR="00F4704E" w:rsidRDefault="00F4704E">
      <w:pPr>
        <w:pStyle w:val="Footer"/>
      </w:pPr>
    </w:p>
    <w:p w14:paraId="6D58C859" w14:textId="77777777" w:rsidR="00F4704E" w:rsidRDefault="00F4704E"/>
    <w:p w14:paraId="020AF7A5" w14:textId="77777777" w:rsidR="00F4704E" w:rsidRDefault="00F47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228D" w14:textId="1EB14EAF" w:rsidR="00F4704E" w:rsidRDefault="00F4704E">
    <w:pPr>
      <w:pStyle w:val="Footer"/>
    </w:pPr>
    <w:r>
      <w:rPr>
        <w:noProof/>
      </w:rPr>
      <mc:AlternateContent>
        <mc:Choice Requires="wps">
          <w:drawing>
            <wp:anchor distT="0" distB="0" distL="0" distR="0" simplePos="0" relativeHeight="251658244" behindDoc="0" locked="0" layoutInCell="1" allowOverlap="1" wp14:anchorId="132454E3" wp14:editId="3D2791B1">
              <wp:simplePos x="635" y="635"/>
              <wp:positionH relativeFrom="page">
                <wp:align>center</wp:align>
              </wp:positionH>
              <wp:positionV relativeFrom="page">
                <wp:align>bottom</wp:align>
              </wp:positionV>
              <wp:extent cx="551815" cy="404495"/>
              <wp:effectExtent l="0" t="0" r="635" b="0"/>
              <wp:wrapNone/>
              <wp:docPr id="12368901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AEE432F" w14:textId="21946114" w:rsidR="00F4704E" w:rsidRPr="00F4704E" w:rsidRDefault="00F4704E" w:rsidP="00F4704E">
                          <w:pPr>
                            <w:spacing w:after="0"/>
                            <w:rPr>
                              <w:rFonts w:ascii="Calibri" w:eastAsia="Calibri" w:hAnsi="Calibri" w:cs="Calibri"/>
                              <w:noProof/>
                              <w:color w:val="FF0000"/>
                              <w:sz w:val="24"/>
                              <w:szCs w:val="24"/>
                            </w:rPr>
                          </w:pPr>
                          <w:r w:rsidRPr="00F4704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2454E3"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AEE432F" w14:textId="21946114" w:rsidR="00F4704E" w:rsidRPr="00F4704E" w:rsidRDefault="00F4704E" w:rsidP="00F4704E">
                    <w:pPr>
                      <w:spacing w:after="0"/>
                      <w:rPr>
                        <w:rFonts w:ascii="Calibri" w:eastAsia="Calibri" w:hAnsi="Calibri" w:cs="Calibri"/>
                        <w:noProof/>
                        <w:color w:val="FF0000"/>
                        <w:sz w:val="24"/>
                        <w:szCs w:val="24"/>
                      </w:rPr>
                    </w:pPr>
                    <w:r w:rsidRPr="00F4704E">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D14D" w14:textId="1B337785" w:rsidR="00863E83" w:rsidRDefault="00863E83" w:rsidP="00863E83">
    <w:pPr>
      <w:pStyle w:val="Footer"/>
    </w:pPr>
    <w:r w:rsidRPr="007B1F92">
      <w:t>Department of Agriculture, Fisheries and Forestry</w:t>
    </w:r>
  </w:p>
  <w:p w14:paraId="433066D7" w14:textId="22317CFD" w:rsidR="000542B4" w:rsidRDefault="000542B4" w:rsidP="00054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4F00" w14:textId="235C6535" w:rsidR="00577F29" w:rsidRDefault="00577F29" w:rsidP="004E6316">
    <w:pPr>
      <w:pStyle w:val="Footer"/>
    </w:pPr>
  </w:p>
  <w:sdt>
    <w:sdtPr>
      <w:id w:val="-858040093"/>
      <w:docPartObj>
        <w:docPartGallery w:val="Page Numbers (Bottom of Page)"/>
        <w:docPartUnique/>
      </w:docPartObj>
    </w:sdtPr>
    <w:sdtEndPr>
      <w:rPr>
        <w:noProof/>
      </w:rPr>
    </w:sdtEndPr>
    <w:sdtContent>
      <w:p w14:paraId="00E86170" w14:textId="77777777" w:rsidR="00577F29" w:rsidRDefault="009C37F9" w:rsidP="004E6316">
        <w:pPr>
          <w:pStyle w:val="Footer"/>
        </w:pPr>
        <w:r w:rsidRPr="007B1F92">
          <w:t>Department of Agriculture, Fisheries and Forestry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3BAE5" w14:textId="77777777" w:rsidR="00F4704E" w:rsidRDefault="00F4704E">
      <w:r>
        <w:separator/>
      </w:r>
    </w:p>
  </w:footnote>
  <w:footnote w:type="continuationSeparator" w:id="0">
    <w:p w14:paraId="7366CB94" w14:textId="77777777" w:rsidR="00F4704E" w:rsidRDefault="00F4704E">
      <w:r>
        <w:continuationSeparator/>
      </w:r>
    </w:p>
  </w:footnote>
  <w:footnote w:type="continuationNotice" w:id="1">
    <w:p w14:paraId="23BD3D88" w14:textId="77777777" w:rsidR="00F4704E" w:rsidRPr="004B44E9" w:rsidRDefault="00F4704E" w:rsidP="004B44E9">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91F2" w14:textId="60D99464" w:rsidR="00F4704E" w:rsidRDefault="00F4704E">
    <w:pPr>
      <w:pStyle w:val="Header"/>
    </w:pPr>
    <w:r>
      <w:rPr>
        <w:noProof/>
      </w:rPr>
      <mc:AlternateContent>
        <mc:Choice Requires="wps">
          <w:drawing>
            <wp:anchor distT="0" distB="0" distL="0" distR="0" simplePos="0" relativeHeight="251658242" behindDoc="0" locked="0" layoutInCell="1" allowOverlap="1" wp14:anchorId="161EA9FB" wp14:editId="23E605CC">
              <wp:simplePos x="635" y="635"/>
              <wp:positionH relativeFrom="page">
                <wp:align>center</wp:align>
              </wp:positionH>
              <wp:positionV relativeFrom="page">
                <wp:align>top</wp:align>
              </wp:positionV>
              <wp:extent cx="551815" cy="404495"/>
              <wp:effectExtent l="0" t="0" r="635" b="14605"/>
              <wp:wrapNone/>
              <wp:docPr id="20626727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A8EF138" w14:textId="58C8FBA9" w:rsidR="00F4704E" w:rsidRPr="00F4704E" w:rsidRDefault="00F4704E" w:rsidP="00F4704E">
                          <w:pPr>
                            <w:spacing w:after="0"/>
                            <w:rPr>
                              <w:rFonts w:ascii="Calibri" w:eastAsia="Calibri" w:hAnsi="Calibri" w:cs="Calibri"/>
                              <w:noProof/>
                              <w:color w:val="FF0000"/>
                              <w:sz w:val="24"/>
                              <w:szCs w:val="24"/>
                            </w:rPr>
                          </w:pPr>
                          <w:r w:rsidRPr="00F4704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1EA9F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A8EF138" w14:textId="58C8FBA9" w:rsidR="00F4704E" w:rsidRPr="00F4704E" w:rsidRDefault="00F4704E" w:rsidP="00F4704E">
                    <w:pPr>
                      <w:spacing w:after="0"/>
                      <w:rPr>
                        <w:rFonts w:ascii="Calibri" w:eastAsia="Calibri" w:hAnsi="Calibri" w:cs="Calibri"/>
                        <w:noProof/>
                        <w:color w:val="FF0000"/>
                        <w:sz w:val="24"/>
                        <w:szCs w:val="24"/>
                      </w:rPr>
                    </w:pPr>
                    <w:r w:rsidRPr="00F4704E">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EFE5" w14:textId="5A9FA69C" w:rsidR="000542B4" w:rsidRDefault="00F4704E" w:rsidP="00664BDC">
    <w:pPr>
      <w:pStyle w:val="Header"/>
    </w:pPr>
    <w:r>
      <w:rPr>
        <w:noProof/>
      </w:rPr>
      <mc:AlternateContent>
        <mc:Choice Requires="wps">
          <w:drawing>
            <wp:anchor distT="0" distB="0" distL="0" distR="0" simplePos="0" relativeHeight="251658243" behindDoc="0" locked="0" layoutInCell="1" allowOverlap="1" wp14:anchorId="1D6EBD45" wp14:editId="29790154">
              <wp:simplePos x="635" y="635"/>
              <wp:positionH relativeFrom="page">
                <wp:align>center</wp:align>
              </wp:positionH>
              <wp:positionV relativeFrom="page">
                <wp:align>top</wp:align>
              </wp:positionV>
              <wp:extent cx="551815" cy="404495"/>
              <wp:effectExtent l="0" t="0" r="635" b="14605"/>
              <wp:wrapNone/>
              <wp:docPr id="16893718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6A50805" w14:textId="1431893A" w:rsidR="00F4704E" w:rsidRPr="00F4704E" w:rsidRDefault="00F4704E" w:rsidP="00F4704E">
                          <w:pPr>
                            <w:spacing w:after="0"/>
                            <w:rPr>
                              <w:rFonts w:ascii="Calibri" w:eastAsia="Calibri" w:hAnsi="Calibri" w:cs="Calibri"/>
                              <w:noProof/>
                              <w:color w:val="FF0000"/>
                              <w:sz w:val="24"/>
                              <w:szCs w:val="24"/>
                            </w:rPr>
                          </w:pPr>
                          <w:r w:rsidRPr="00F4704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6EBD45"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6A50805" w14:textId="1431893A" w:rsidR="00F4704E" w:rsidRPr="00F4704E" w:rsidRDefault="00F4704E" w:rsidP="00F4704E">
                    <w:pPr>
                      <w:spacing w:after="0"/>
                      <w:rPr>
                        <w:rFonts w:ascii="Calibri" w:eastAsia="Calibri" w:hAnsi="Calibri" w:cs="Calibri"/>
                        <w:noProof/>
                        <w:color w:val="FF0000"/>
                        <w:sz w:val="24"/>
                        <w:szCs w:val="24"/>
                      </w:rPr>
                    </w:pPr>
                    <w:r w:rsidRPr="00F4704E">
                      <w:rPr>
                        <w:rFonts w:ascii="Calibri" w:eastAsia="Calibri" w:hAnsi="Calibri" w:cs="Calibri"/>
                        <w:noProof/>
                        <w:color w:val="FF0000"/>
                        <w:sz w:val="24"/>
                        <w:szCs w:val="24"/>
                      </w:rPr>
                      <w:t>OFFICIAL</w:t>
                    </w:r>
                  </w:p>
                </w:txbxContent>
              </v:textbox>
              <w10:wrap anchorx="page" anchory="page"/>
            </v:shape>
          </w:pict>
        </mc:Fallback>
      </mc:AlternateContent>
    </w:r>
    <w:r w:rsidR="00664BDC" w:rsidRPr="00664BDC">
      <w:t xml:space="preserve"> </w:t>
    </w:r>
    <w:r w:rsidR="00664BDC">
      <w:t>Future Drought Fund policy instructions</w:t>
    </w:r>
    <w:r w:rsidR="00B970DA">
      <w:t xml:space="preserve"> – </w:t>
    </w:r>
    <w:r w:rsidR="00664BDC">
      <w:t>International expenditure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2C0B" w14:textId="260D183A" w:rsidR="000E455C" w:rsidRDefault="00F4704E" w:rsidP="00664BDC">
    <w:pPr>
      <w:pStyle w:val="Footer"/>
      <w:tabs>
        <w:tab w:val="clear" w:pos="4536"/>
        <w:tab w:val="left" w:pos="6616"/>
      </w:tabs>
      <w:spacing w:after="0"/>
      <w:jc w:val="left"/>
    </w:pPr>
    <w:r>
      <w:rPr>
        <w:noProof/>
      </w:rPr>
      <mc:AlternateContent>
        <mc:Choice Requires="wps">
          <w:drawing>
            <wp:anchor distT="0" distB="0" distL="0" distR="0" simplePos="0" relativeHeight="251658241" behindDoc="0" locked="0" layoutInCell="1" allowOverlap="1" wp14:anchorId="3E6C4D93" wp14:editId="72E08B7F">
              <wp:simplePos x="790575" y="361950"/>
              <wp:positionH relativeFrom="page">
                <wp:align>center</wp:align>
              </wp:positionH>
              <wp:positionV relativeFrom="page">
                <wp:align>top</wp:align>
              </wp:positionV>
              <wp:extent cx="551815" cy="404495"/>
              <wp:effectExtent l="0" t="0" r="635" b="14605"/>
              <wp:wrapNone/>
              <wp:docPr id="8546130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F1F83BC" w14:textId="470D76D9" w:rsidR="00F4704E" w:rsidRPr="00F4704E" w:rsidRDefault="00F4704E" w:rsidP="00F4704E">
                          <w:pPr>
                            <w:spacing w:after="0"/>
                            <w:rPr>
                              <w:rFonts w:ascii="Calibri" w:eastAsia="Calibri" w:hAnsi="Calibri" w:cs="Calibri"/>
                              <w:noProof/>
                              <w:color w:val="FF0000"/>
                              <w:sz w:val="24"/>
                              <w:szCs w:val="24"/>
                            </w:rPr>
                          </w:pPr>
                          <w:r w:rsidRPr="00F4704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6C4D93" id="_x0000_t202" coordsize="21600,21600" o:spt="202" path="m,l,21600r21600,l21600,xe">
              <v:stroke joinstyle="miter"/>
              <v:path gradientshapeok="t" o:connecttype="rect"/>
            </v:shapetype>
            <v:shape id="Text Box 1" o:spid="_x0000_s1029"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0F1F83BC" w14:textId="470D76D9" w:rsidR="00F4704E" w:rsidRPr="00F4704E" w:rsidRDefault="00F4704E" w:rsidP="00F4704E">
                    <w:pPr>
                      <w:spacing w:after="0"/>
                      <w:rPr>
                        <w:rFonts w:ascii="Calibri" w:eastAsia="Calibri" w:hAnsi="Calibri" w:cs="Calibri"/>
                        <w:noProof/>
                        <w:color w:val="FF0000"/>
                        <w:sz w:val="24"/>
                        <w:szCs w:val="24"/>
                      </w:rPr>
                    </w:pPr>
                    <w:r w:rsidRPr="00F4704E">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31D795F0" wp14:editId="4D1F7606">
          <wp:simplePos x="0" y="0"/>
          <wp:positionH relativeFrom="page">
            <wp:posOffset>-1756</wp:posOffset>
          </wp:positionH>
          <wp:positionV relativeFrom="paragraph">
            <wp:posOffset>-349412</wp:posOffset>
          </wp:positionV>
          <wp:extent cx="7545842" cy="1296181"/>
          <wp:effectExtent l="0" t="0" r="0" b="0"/>
          <wp:wrapNone/>
          <wp:docPr id="389726107" name="Picture 389726107" descr="Australian Government Department of Agriculture, Fisheries and Forestry: Future Drough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Future Drought Fund"/>
                  <pic:cNvPicPr/>
                </pic:nvPicPr>
                <pic:blipFill>
                  <a:blip r:embed="rId1">
                    <a:extLst>
                      <a:ext uri="{28A0092B-C50C-407E-A947-70E740481C1C}">
                        <a14:useLocalDpi xmlns:a14="http://schemas.microsoft.com/office/drawing/2010/main" val="0"/>
                      </a:ext>
                    </a:extLst>
                  </a:blip>
                  <a:stretch>
                    <a:fillRect/>
                  </a:stretch>
                </pic:blipFill>
                <pic:spPr>
                  <a:xfrm>
                    <a:off x="0" y="0"/>
                    <a:ext cx="7545842" cy="1296181"/>
                  </a:xfrm>
                  <a:prstGeom prst="rect">
                    <a:avLst/>
                  </a:prstGeom>
                </pic:spPr>
              </pic:pic>
            </a:graphicData>
          </a:graphic>
          <wp14:sizeRelH relativeFrom="page">
            <wp14:pctWidth>0</wp14:pctWidth>
          </wp14:sizeRelH>
          <wp14:sizeRelV relativeFrom="page">
            <wp14:pctHeight>0</wp14:pctHeight>
          </wp14:sizeRelV>
        </wp:anchor>
      </w:drawing>
    </w:r>
    <w:r w:rsidR="00664BDC">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342E" w14:textId="3342C3C0" w:rsidR="00664BDC" w:rsidRDefault="00B970DA" w:rsidP="00B970DA">
    <w:pPr>
      <w:pStyle w:val="Footer"/>
      <w:tabs>
        <w:tab w:val="clear" w:pos="4536"/>
        <w:tab w:val="left" w:pos="6616"/>
      </w:tabs>
      <w:spacing w:after="0"/>
    </w:pPr>
    <w:r>
      <w:t>Future Drought Fund policy instructions – International expenditure guide</w:t>
    </w:r>
    <w:r>
      <w:rPr>
        <w:noProof/>
      </w:rPr>
      <w:t xml:space="preserve"> </w:t>
    </w:r>
    <w:r w:rsidR="00664BDC">
      <w:rPr>
        <w:noProof/>
      </w:rPr>
      <mc:AlternateContent>
        <mc:Choice Requires="wps">
          <w:drawing>
            <wp:anchor distT="0" distB="0" distL="0" distR="0" simplePos="0" relativeHeight="251658245" behindDoc="0" locked="0" layoutInCell="1" allowOverlap="1" wp14:anchorId="58C16D80" wp14:editId="0F92A876">
              <wp:simplePos x="790575" y="361950"/>
              <wp:positionH relativeFrom="page">
                <wp:align>center</wp:align>
              </wp:positionH>
              <wp:positionV relativeFrom="page">
                <wp:align>top</wp:align>
              </wp:positionV>
              <wp:extent cx="551815" cy="404495"/>
              <wp:effectExtent l="0" t="0" r="635" b="14605"/>
              <wp:wrapNone/>
              <wp:docPr id="20627006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0846776" w14:textId="77777777" w:rsidR="00664BDC" w:rsidRPr="00F4704E" w:rsidRDefault="00664BDC" w:rsidP="00F4704E">
                          <w:pPr>
                            <w:spacing w:after="0"/>
                            <w:rPr>
                              <w:rFonts w:ascii="Calibri" w:eastAsia="Calibri" w:hAnsi="Calibri" w:cs="Calibri"/>
                              <w:noProof/>
                              <w:color w:val="FF0000"/>
                              <w:sz w:val="24"/>
                              <w:szCs w:val="24"/>
                            </w:rPr>
                          </w:pPr>
                          <w:r w:rsidRPr="00F4704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C16D80" id="_x0000_t202" coordsize="21600,21600" o:spt="202" path="m,l,21600r21600,l21600,xe">
              <v:stroke joinstyle="miter"/>
              <v:path gradientshapeok="t" o:connecttype="rect"/>
            </v:shapetype>
            <v:shape id="_x0000_s1030"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10846776" w14:textId="77777777" w:rsidR="00664BDC" w:rsidRPr="00F4704E" w:rsidRDefault="00664BDC" w:rsidP="00F4704E">
                    <w:pPr>
                      <w:spacing w:after="0"/>
                      <w:rPr>
                        <w:rFonts w:ascii="Calibri" w:eastAsia="Calibri" w:hAnsi="Calibri" w:cs="Calibri"/>
                        <w:noProof/>
                        <w:color w:val="FF0000"/>
                        <w:sz w:val="24"/>
                        <w:szCs w:val="24"/>
                      </w:rPr>
                    </w:pPr>
                    <w:r w:rsidRPr="00F4704E">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046F08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C8024E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5F7F68"/>
    <w:multiLevelType w:val="hybridMultilevel"/>
    <w:tmpl w:val="FE5492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7DF380B"/>
    <w:multiLevelType w:val="hybridMultilevel"/>
    <w:tmpl w:val="87987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96B606F"/>
    <w:multiLevelType w:val="hybridMultilevel"/>
    <w:tmpl w:val="95A2EBFC"/>
    <w:lvl w:ilvl="0" w:tplc="A8485B20">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6"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D772FFC"/>
    <w:multiLevelType w:val="hybridMultilevel"/>
    <w:tmpl w:val="F63E59EE"/>
    <w:lvl w:ilvl="0" w:tplc="CB4474A8">
      <w:start w:val="1"/>
      <w:numFmt w:val="lowerLetter"/>
      <w:lvlText w:val="%1."/>
      <w:lvlJc w:val="left"/>
      <w:pPr>
        <w:ind w:left="720" w:hanging="360"/>
      </w:pPr>
      <w:rPr>
        <w:b/>
        <w:bCs/>
      </w:rPr>
    </w:lvl>
    <w:lvl w:ilvl="1" w:tplc="6A0CC1B4">
      <w:start w:val="1"/>
      <w:numFmt w:val="lowerRoman"/>
      <w:lvlText w:val="%2."/>
      <w:lvlJc w:val="right"/>
      <w:pPr>
        <w:ind w:left="1440" w:hanging="360"/>
      </w:pPr>
      <w:rPr>
        <w:b w:val="0"/>
        <w:bCs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9"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70342E"/>
    <w:multiLevelType w:val="multilevel"/>
    <w:tmpl w:val="3D4291B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1"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5B8F3B04"/>
    <w:multiLevelType w:val="multilevel"/>
    <w:tmpl w:val="87BE23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3" w15:restartNumberingAfterBreak="0">
    <w:nsid w:val="68F26C79"/>
    <w:multiLevelType w:val="hybridMultilevel"/>
    <w:tmpl w:val="57DACF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6DAB0843"/>
    <w:multiLevelType w:val="hybridMultilevel"/>
    <w:tmpl w:val="49161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0088148">
    <w:abstractNumId w:val="8"/>
  </w:num>
  <w:num w:numId="2" w16cid:durableId="1209954464">
    <w:abstractNumId w:val="6"/>
  </w:num>
  <w:num w:numId="3" w16cid:durableId="211696695">
    <w:abstractNumId w:val="11"/>
  </w:num>
  <w:num w:numId="4" w16cid:durableId="1550148830">
    <w:abstractNumId w:val="12"/>
    <w:lvlOverride w:ilvl="0">
      <w:lvl w:ilvl="0">
        <w:start w:val="1"/>
        <w:numFmt w:val="decimal"/>
        <w:pStyle w:val="ListNumber"/>
        <w:lvlText w:val="%1)"/>
        <w:lvlJc w:val="left"/>
        <w:pPr>
          <w:ind w:left="425" w:hanging="425"/>
        </w:pPr>
        <w:rPr>
          <w:rFonts w:hint="default"/>
          <w:b w:val="0"/>
          <w:bCs w:val="0"/>
          <w:color w:val="auto"/>
        </w:rPr>
      </w:lvl>
    </w:lvlOverride>
    <w:lvlOverride w:ilvl="1">
      <w:lvl w:ilvl="1">
        <w:start w:val="1"/>
        <w:numFmt w:val="lowerLetter"/>
        <w:pStyle w:val="ListNumber2"/>
        <w:lvlText w:val="%2)"/>
        <w:lvlJc w:val="left"/>
        <w:pPr>
          <w:ind w:left="851" w:hanging="426"/>
        </w:pPr>
        <w:rPr>
          <w:rFonts w:hint="default"/>
          <w:b w:val="0"/>
          <w:bCs w:val="0"/>
        </w:rPr>
      </w:lvl>
    </w:lvlOverride>
    <w:lvlOverride w:ilvl="2">
      <w:lvl w:ilvl="2">
        <w:start w:val="1"/>
        <w:numFmt w:val="lowerRoman"/>
        <w:pStyle w:val="ListNumber3"/>
        <w:lvlText w:val="%3)"/>
        <w:lvlJc w:val="left"/>
        <w:pPr>
          <w:ind w:left="1191" w:hanging="340"/>
        </w:pPr>
        <w:rPr>
          <w:rFonts w:hint="default"/>
        </w:rPr>
      </w:lvl>
    </w:lvlOverride>
    <w:lvlOverride w:ilvl="3">
      <w:lvl w:ilvl="3">
        <w:start w:val="1"/>
        <w:numFmt w:val="decimal"/>
        <w:lvlText w:val="%4."/>
        <w:lvlJc w:val="left"/>
        <w:pPr>
          <w:ind w:left="1276" w:hanging="1276"/>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5" w16cid:durableId="1460108156">
    <w:abstractNumId w:val="4"/>
  </w:num>
  <w:num w:numId="6" w16cid:durableId="1934704985">
    <w:abstractNumId w:val="9"/>
  </w:num>
  <w:num w:numId="7" w16cid:durableId="1013073201">
    <w:abstractNumId w:val="10"/>
  </w:num>
  <w:num w:numId="8" w16cid:durableId="524289160">
    <w:abstractNumId w:val="5"/>
  </w:num>
  <w:num w:numId="9" w16cid:durableId="2020738536">
    <w:abstractNumId w:val="7"/>
  </w:num>
  <w:num w:numId="10" w16cid:durableId="272400220">
    <w:abstractNumId w:val="12"/>
  </w:num>
  <w:num w:numId="11" w16cid:durableId="2119983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0520974">
    <w:abstractNumId w:val="12"/>
    <w:lvlOverride w:ilvl="1">
      <w:lvl w:ilvl="1">
        <w:start w:val="1"/>
        <w:numFmt w:val="lowerLetter"/>
        <w:pStyle w:val="ListNumber2"/>
        <w:lvlText w:val="%2)"/>
        <w:lvlJc w:val="left"/>
        <w:pPr>
          <w:ind w:left="851" w:hanging="426"/>
        </w:pPr>
        <w:rPr>
          <w:rFonts w:hint="default"/>
          <w:b w:val="0"/>
          <w:bCs w:val="0"/>
        </w:rPr>
      </w:lvl>
    </w:lvlOverride>
  </w:num>
  <w:num w:numId="13" w16cid:durableId="2103141542">
    <w:abstractNumId w:val="0"/>
  </w:num>
  <w:num w:numId="14" w16cid:durableId="2137210655">
    <w:abstractNumId w:val="0"/>
  </w:num>
  <w:num w:numId="15" w16cid:durableId="479157130">
    <w:abstractNumId w:val="13"/>
  </w:num>
  <w:num w:numId="16" w16cid:durableId="1549949582">
    <w:abstractNumId w:val="12"/>
    <w:lvlOverride w:ilvl="1">
      <w:lvl w:ilvl="1">
        <w:start w:val="1"/>
        <w:numFmt w:val="lowerLetter"/>
        <w:pStyle w:val="ListNumber2"/>
        <w:lvlText w:val="%2)"/>
        <w:lvlJc w:val="left"/>
        <w:pPr>
          <w:ind w:left="851" w:hanging="426"/>
        </w:pPr>
        <w:rPr>
          <w:rFonts w:hint="default"/>
          <w:b w:val="0"/>
          <w:bCs w:val="0"/>
        </w:rPr>
      </w:lvl>
    </w:lvlOverride>
  </w:num>
  <w:num w:numId="17" w16cid:durableId="445392092">
    <w:abstractNumId w:val="12"/>
    <w:lvlOverride w:ilvl="0">
      <w:startOverride w:val="1"/>
      <w:lvl w:ilvl="0">
        <w:start w:val="1"/>
        <w:numFmt w:val="decimal"/>
        <w:pStyle w:val="ListNumber"/>
        <w:lvlText w:val="%1)"/>
        <w:lvlJc w:val="left"/>
        <w:pPr>
          <w:ind w:left="425" w:hanging="425"/>
        </w:pPr>
        <w:rPr>
          <w:rFonts w:hint="default"/>
          <w:color w:val="auto"/>
        </w:rPr>
      </w:lvl>
    </w:lvlOverride>
    <w:lvlOverride w:ilvl="1">
      <w:startOverride w:val="1"/>
      <w:lvl w:ilvl="1">
        <w:start w:val="1"/>
        <w:numFmt w:val="lowerLetter"/>
        <w:pStyle w:val="ListNumber2"/>
        <w:lvlText w:val="%2)"/>
        <w:lvlJc w:val="left"/>
        <w:pPr>
          <w:ind w:left="851" w:hanging="426"/>
        </w:pPr>
        <w:rPr>
          <w:rFonts w:hint="default"/>
        </w:rPr>
      </w:lvl>
    </w:lvlOverride>
    <w:lvlOverride w:ilvl="2">
      <w:startOverride w:val="1"/>
      <w:lvl w:ilvl="2">
        <w:start w:val="1"/>
        <w:numFmt w:val="lowerRoman"/>
        <w:pStyle w:val="ListNumber3"/>
        <w:lvlText w:val="%3)"/>
        <w:lvlJc w:val="left"/>
        <w:pPr>
          <w:ind w:left="1191" w:hanging="340"/>
        </w:pPr>
        <w:rPr>
          <w:rFonts w:hint="default"/>
        </w:rPr>
      </w:lvl>
    </w:lvlOverride>
    <w:lvlOverride w:ilvl="3">
      <w:startOverride w:val="1"/>
      <w:lvl w:ilvl="3">
        <w:start w:val="1"/>
        <w:numFmt w:val="decimal"/>
        <w:lvlText w:val="%4."/>
        <w:lvlJc w:val="left"/>
        <w:pPr>
          <w:ind w:left="1276" w:hanging="1276"/>
        </w:pPr>
        <w:rPr>
          <w:rFonts w:hint="default"/>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righ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right"/>
        <w:pPr>
          <w:ind w:left="567" w:hanging="567"/>
        </w:pPr>
        <w:rPr>
          <w:rFonts w:hint="default"/>
        </w:rPr>
      </w:lvl>
    </w:lvlOverride>
  </w:num>
  <w:num w:numId="18" w16cid:durableId="1021973153">
    <w:abstractNumId w:val="12"/>
    <w:lvlOverride w:ilvl="0">
      <w:lvl w:ilvl="0">
        <w:start w:val="1"/>
        <w:numFmt w:val="decimal"/>
        <w:pStyle w:val="ListNumber"/>
        <w:lvlText w:val="%1)"/>
        <w:lvlJc w:val="left"/>
        <w:pPr>
          <w:ind w:left="425" w:hanging="425"/>
        </w:pPr>
        <w:rPr>
          <w:rFonts w:hint="default"/>
          <w:color w:val="auto"/>
        </w:rPr>
      </w:lvl>
    </w:lvlOverride>
    <w:lvlOverride w:ilvl="1">
      <w:lvl w:ilvl="1">
        <w:start w:val="1"/>
        <w:numFmt w:val="lowerLetter"/>
        <w:pStyle w:val="ListNumber2"/>
        <w:lvlText w:val="%2)"/>
        <w:lvlJc w:val="left"/>
        <w:pPr>
          <w:ind w:left="851" w:hanging="426"/>
        </w:pPr>
        <w:rPr>
          <w:rFonts w:hint="default"/>
        </w:rPr>
      </w:lvl>
    </w:lvlOverride>
    <w:lvlOverride w:ilvl="2">
      <w:lvl w:ilvl="2">
        <w:start w:val="1"/>
        <w:numFmt w:val="lowerRoman"/>
        <w:pStyle w:val="ListNumber3"/>
        <w:lvlText w:val="%3)"/>
        <w:lvlJc w:val="left"/>
        <w:pPr>
          <w:ind w:left="1191" w:hanging="340"/>
        </w:pPr>
        <w:rPr>
          <w:rFonts w:hint="default"/>
        </w:rPr>
      </w:lvl>
    </w:lvlOverride>
    <w:lvlOverride w:ilvl="3">
      <w:lvl w:ilvl="3">
        <w:start w:val="1"/>
        <w:numFmt w:val="decimal"/>
        <w:lvlText w:val="%4."/>
        <w:lvlJc w:val="left"/>
        <w:pPr>
          <w:ind w:left="1276" w:hanging="1276"/>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19" w16cid:durableId="1830093817">
    <w:abstractNumId w:val="12"/>
    <w:lvlOverride w:ilvl="0">
      <w:lvl w:ilvl="0">
        <w:start w:val="1"/>
        <w:numFmt w:val="decimal"/>
        <w:pStyle w:val="ListNumber"/>
        <w:lvlText w:val="%1)"/>
        <w:lvlJc w:val="left"/>
        <w:pPr>
          <w:ind w:left="425" w:hanging="425"/>
        </w:pPr>
        <w:rPr>
          <w:rFonts w:hint="default"/>
          <w:color w:val="auto"/>
        </w:rPr>
      </w:lvl>
    </w:lvlOverride>
    <w:lvlOverride w:ilvl="1">
      <w:lvl w:ilvl="1">
        <w:start w:val="1"/>
        <w:numFmt w:val="lowerLetter"/>
        <w:pStyle w:val="ListNumber2"/>
        <w:lvlText w:val="%2)"/>
        <w:lvlJc w:val="left"/>
        <w:pPr>
          <w:ind w:left="851" w:hanging="426"/>
        </w:pPr>
        <w:rPr>
          <w:rFonts w:hint="default"/>
        </w:rPr>
      </w:lvl>
    </w:lvlOverride>
    <w:lvlOverride w:ilvl="2">
      <w:lvl w:ilvl="2">
        <w:start w:val="1"/>
        <w:numFmt w:val="lowerRoman"/>
        <w:pStyle w:val="ListNumber3"/>
        <w:lvlText w:val="%3)"/>
        <w:lvlJc w:val="left"/>
        <w:pPr>
          <w:ind w:left="1191" w:hanging="340"/>
        </w:pPr>
        <w:rPr>
          <w:rFonts w:hint="default"/>
        </w:rPr>
      </w:lvl>
    </w:lvlOverride>
    <w:lvlOverride w:ilvl="3">
      <w:lvl w:ilvl="3">
        <w:start w:val="1"/>
        <w:numFmt w:val="decimal"/>
        <w:lvlText w:val="%4."/>
        <w:lvlJc w:val="left"/>
        <w:pPr>
          <w:ind w:left="1276" w:hanging="1276"/>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20" w16cid:durableId="609508776">
    <w:abstractNumId w:val="12"/>
    <w:lvlOverride w:ilvl="0">
      <w:lvl w:ilvl="0">
        <w:start w:val="1"/>
        <w:numFmt w:val="decimal"/>
        <w:pStyle w:val="ListNumber"/>
        <w:lvlText w:val="%1)"/>
        <w:lvlJc w:val="left"/>
        <w:pPr>
          <w:ind w:left="425" w:hanging="425"/>
        </w:pPr>
        <w:rPr>
          <w:rFonts w:hint="default"/>
          <w:color w:val="auto"/>
        </w:rPr>
      </w:lvl>
    </w:lvlOverride>
    <w:lvlOverride w:ilvl="1">
      <w:lvl w:ilvl="1">
        <w:start w:val="1"/>
        <w:numFmt w:val="lowerLetter"/>
        <w:pStyle w:val="ListNumber2"/>
        <w:lvlText w:val="%2)"/>
        <w:lvlJc w:val="left"/>
        <w:pPr>
          <w:ind w:left="851" w:hanging="426"/>
        </w:pPr>
        <w:rPr>
          <w:rFonts w:hint="default"/>
        </w:rPr>
      </w:lvl>
    </w:lvlOverride>
    <w:lvlOverride w:ilvl="2">
      <w:lvl w:ilvl="2">
        <w:start w:val="1"/>
        <w:numFmt w:val="lowerRoman"/>
        <w:pStyle w:val="ListNumber3"/>
        <w:lvlText w:val="%3)"/>
        <w:lvlJc w:val="left"/>
        <w:pPr>
          <w:ind w:left="1191" w:hanging="340"/>
        </w:pPr>
        <w:rPr>
          <w:rFonts w:hint="default"/>
        </w:rPr>
      </w:lvl>
    </w:lvlOverride>
    <w:lvlOverride w:ilvl="3">
      <w:lvl w:ilvl="3">
        <w:start w:val="1"/>
        <w:numFmt w:val="decimal"/>
        <w:lvlText w:val="%4."/>
        <w:lvlJc w:val="left"/>
        <w:pPr>
          <w:ind w:left="1276" w:hanging="1276"/>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21" w16cid:durableId="1905339112">
    <w:abstractNumId w:val="12"/>
    <w:lvlOverride w:ilvl="0">
      <w:lvl w:ilvl="0">
        <w:start w:val="1"/>
        <w:numFmt w:val="decimal"/>
        <w:pStyle w:val="ListNumber"/>
        <w:lvlText w:val="%1)"/>
        <w:lvlJc w:val="left"/>
        <w:pPr>
          <w:ind w:left="425" w:hanging="425"/>
        </w:pPr>
        <w:rPr>
          <w:rFonts w:hint="default"/>
          <w:color w:val="auto"/>
        </w:rPr>
      </w:lvl>
    </w:lvlOverride>
    <w:lvlOverride w:ilvl="1">
      <w:lvl w:ilvl="1">
        <w:start w:val="1"/>
        <w:numFmt w:val="lowerLetter"/>
        <w:pStyle w:val="ListNumber2"/>
        <w:lvlText w:val="%2)"/>
        <w:lvlJc w:val="left"/>
        <w:pPr>
          <w:ind w:left="851" w:hanging="426"/>
        </w:pPr>
        <w:rPr>
          <w:rFonts w:hint="default"/>
        </w:rPr>
      </w:lvl>
    </w:lvlOverride>
    <w:lvlOverride w:ilvl="2">
      <w:lvl w:ilvl="2">
        <w:start w:val="1"/>
        <w:numFmt w:val="lowerRoman"/>
        <w:pStyle w:val="ListNumber3"/>
        <w:lvlText w:val="%3)"/>
        <w:lvlJc w:val="left"/>
        <w:pPr>
          <w:ind w:left="1191" w:hanging="340"/>
        </w:pPr>
        <w:rPr>
          <w:rFonts w:hint="default"/>
        </w:rPr>
      </w:lvl>
    </w:lvlOverride>
    <w:lvlOverride w:ilvl="3">
      <w:lvl w:ilvl="3">
        <w:start w:val="1"/>
        <w:numFmt w:val="decimal"/>
        <w:lvlText w:val="%4."/>
        <w:lvlJc w:val="left"/>
        <w:pPr>
          <w:ind w:left="1276" w:hanging="1276"/>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22" w16cid:durableId="1110856600">
    <w:abstractNumId w:val="12"/>
    <w:lvlOverride w:ilvl="0">
      <w:lvl w:ilvl="0">
        <w:start w:val="1"/>
        <w:numFmt w:val="decimal"/>
        <w:pStyle w:val="ListNumber"/>
        <w:lvlText w:val="%1)"/>
        <w:lvlJc w:val="left"/>
        <w:pPr>
          <w:ind w:left="425" w:hanging="425"/>
        </w:pPr>
        <w:rPr>
          <w:rFonts w:hint="default"/>
          <w:color w:val="auto"/>
        </w:rPr>
      </w:lvl>
    </w:lvlOverride>
    <w:lvlOverride w:ilvl="1">
      <w:lvl w:ilvl="1">
        <w:start w:val="1"/>
        <w:numFmt w:val="lowerLetter"/>
        <w:pStyle w:val="ListNumber2"/>
        <w:lvlText w:val="%2)"/>
        <w:lvlJc w:val="left"/>
        <w:pPr>
          <w:ind w:left="851" w:hanging="426"/>
        </w:pPr>
        <w:rPr>
          <w:rFonts w:hint="default"/>
        </w:rPr>
      </w:lvl>
    </w:lvlOverride>
    <w:lvlOverride w:ilvl="2">
      <w:lvl w:ilvl="2">
        <w:start w:val="1"/>
        <w:numFmt w:val="lowerRoman"/>
        <w:pStyle w:val="ListNumber3"/>
        <w:lvlText w:val="%3)"/>
        <w:lvlJc w:val="left"/>
        <w:pPr>
          <w:ind w:left="1191" w:hanging="340"/>
        </w:pPr>
        <w:rPr>
          <w:rFonts w:hint="default"/>
        </w:rPr>
      </w:lvl>
    </w:lvlOverride>
    <w:lvlOverride w:ilvl="3">
      <w:lvl w:ilvl="3">
        <w:start w:val="1"/>
        <w:numFmt w:val="decimal"/>
        <w:lvlText w:val="%4."/>
        <w:lvlJc w:val="left"/>
        <w:pPr>
          <w:ind w:left="1276" w:hanging="1276"/>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23" w16cid:durableId="385422175">
    <w:abstractNumId w:val="2"/>
  </w:num>
  <w:num w:numId="24" w16cid:durableId="1167357668">
    <w:abstractNumId w:val="2"/>
  </w:num>
  <w:num w:numId="25" w16cid:durableId="700086964">
    <w:abstractNumId w:val="11"/>
  </w:num>
  <w:num w:numId="26" w16cid:durableId="451825319">
    <w:abstractNumId w:val="1"/>
  </w:num>
  <w:num w:numId="27" w16cid:durableId="1740132520">
    <w:abstractNumId w:val="12"/>
    <w:lvlOverride w:ilvl="0">
      <w:lvl w:ilvl="0">
        <w:start w:val="1"/>
        <w:numFmt w:val="decimal"/>
        <w:pStyle w:val="ListNumber"/>
        <w:lvlText w:val="%1)"/>
        <w:lvlJc w:val="left"/>
        <w:pPr>
          <w:ind w:left="425" w:hanging="425"/>
        </w:pPr>
        <w:rPr>
          <w:b w:val="0"/>
          <w:bCs w:val="0"/>
          <w:color w:val="auto"/>
        </w:rPr>
      </w:lvl>
    </w:lvlOverride>
    <w:lvlOverride w:ilvl="1">
      <w:lvl w:ilvl="1">
        <w:start w:val="1"/>
        <w:numFmt w:val="decimal"/>
        <w:pStyle w:val="ListNumber2"/>
        <w:lvlText w:val="%2)"/>
        <w:lvlJc w:val="left"/>
        <w:pPr>
          <w:ind w:left="851" w:hanging="426"/>
        </w:pPr>
        <w:rPr>
          <w:b w:val="0"/>
          <w:bCs w:val="0"/>
        </w:rPr>
      </w:lvl>
    </w:lvlOverride>
    <w:lvlOverride w:ilvl="2">
      <w:lvl w:ilvl="2">
        <w:start w:val="1"/>
        <w:numFmt w:val="decimal"/>
        <w:pStyle w:val="ListNumber3"/>
        <w:lvlText w:val="%3)"/>
        <w:lvlJc w:val="left"/>
        <w:pPr>
          <w:ind w:left="1191" w:hanging="340"/>
        </w:pPr>
      </w:lvl>
    </w:lvlOverride>
    <w:lvlOverride w:ilvl="3">
      <w:lvl w:ilvl="3">
        <w:start w:val="1"/>
        <w:numFmt w:val="decimal"/>
        <w:lvlText w:val="%4."/>
        <w:lvlJc w:val="left"/>
        <w:pPr>
          <w:ind w:left="1276" w:hanging="1276"/>
        </w:pPr>
      </w:lvl>
    </w:lvlOverride>
    <w:lvlOverride w:ilvl="4">
      <w:lvl w:ilvl="4">
        <w:start w:val="1"/>
        <w:numFmt w:val="decimal"/>
        <w:lvlText w:val="%5."/>
        <w:lvlJc w:val="left"/>
        <w:pPr>
          <w:ind w:left="567" w:hanging="567"/>
        </w:pPr>
      </w:lvl>
    </w:lvlOverride>
    <w:lvlOverride w:ilvl="5">
      <w:lvl w:ilvl="5">
        <w:start w:val="1"/>
        <w:numFmt w:val="decimal"/>
        <w:lvlText w:val="%6."/>
        <w:lvlJc w:val="right"/>
        <w:pPr>
          <w:ind w:left="567" w:hanging="567"/>
        </w:pPr>
      </w:lvl>
    </w:lvlOverride>
    <w:lvlOverride w:ilvl="6">
      <w:lvl w:ilvl="6">
        <w:start w:val="1"/>
        <w:numFmt w:val="decimal"/>
        <w:lvlText w:val="%7."/>
        <w:lvlJc w:val="left"/>
        <w:pPr>
          <w:ind w:left="567" w:hanging="567"/>
        </w:pPr>
      </w:lvl>
    </w:lvlOverride>
    <w:lvlOverride w:ilvl="7">
      <w:lvl w:ilvl="7">
        <w:start w:val="1"/>
        <w:numFmt w:val="decimal"/>
        <w:lvlText w:val="%8."/>
        <w:lvlJc w:val="left"/>
        <w:pPr>
          <w:ind w:left="567" w:hanging="567"/>
        </w:pPr>
      </w:lvl>
    </w:lvlOverride>
    <w:lvlOverride w:ilvl="8">
      <w:lvl w:ilvl="8">
        <w:start w:val="1"/>
        <w:numFmt w:val="decimal"/>
        <w:lvlText w:val="%9."/>
        <w:lvlJc w:val="right"/>
        <w:pPr>
          <w:ind w:left="567" w:hanging="567"/>
        </w:pPr>
      </w:lvl>
    </w:lvlOverride>
  </w:num>
  <w:num w:numId="28" w16cid:durableId="1374040907">
    <w:abstractNumId w:val="12"/>
    <w:lvlOverride w:ilvl="0">
      <w:lvl w:ilvl="0">
        <w:start w:val="1"/>
        <w:numFmt w:val="decimal"/>
        <w:pStyle w:val="ListNumber"/>
        <w:lvlText w:val="%1)"/>
        <w:lvlJc w:val="left"/>
        <w:pPr>
          <w:ind w:left="425" w:hanging="425"/>
        </w:pPr>
        <w:rPr>
          <w:rFonts w:hint="default"/>
          <w:b w:val="0"/>
          <w:bCs w:val="0"/>
          <w:color w:val="auto"/>
        </w:rPr>
      </w:lvl>
    </w:lvlOverride>
    <w:lvlOverride w:ilvl="1">
      <w:lvl w:ilvl="1">
        <w:start w:val="1"/>
        <w:numFmt w:val="lowerLetter"/>
        <w:pStyle w:val="ListNumber2"/>
        <w:lvlText w:val="%2)"/>
        <w:lvlJc w:val="left"/>
        <w:pPr>
          <w:ind w:left="851" w:hanging="426"/>
        </w:pPr>
        <w:rPr>
          <w:rFonts w:hint="default"/>
          <w:b w:val="0"/>
          <w:bCs w:val="0"/>
        </w:rPr>
      </w:lvl>
    </w:lvlOverride>
    <w:lvlOverride w:ilvl="2">
      <w:lvl w:ilvl="2">
        <w:start w:val="1"/>
        <w:numFmt w:val="lowerRoman"/>
        <w:pStyle w:val="ListNumber3"/>
        <w:lvlText w:val="%3)"/>
        <w:lvlJc w:val="left"/>
        <w:pPr>
          <w:ind w:left="1191" w:hanging="340"/>
        </w:pPr>
        <w:rPr>
          <w:rFonts w:hint="default"/>
        </w:rPr>
      </w:lvl>
    </w:lvlOverride>
    <w:lvlOverride w:ilvl="3">
      <w:lvl w:ilvl="3">
        <w:start w:val="1"/>
        <w:numFmt w:val="decimal"/>
        <w:lvlText w:val="%4."/>
        <w:lvlJc w:val="left"/>
        <w:pPr>
          <w:ind w:left="1276" w:hanging="1276"/>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29" w16cid:durableId="458500040">
    <w:abstractNumId w:val="14"/>
  </w:num>
  <w:num w:numId="30" w16cid:durableId="382413492">
    <w:abstractNumId w:val="12"/>
    <w:lvlOverride w:ilvl="0">
      <w:lvl w:ilvl="0">
        <w:start w:val="1"/>
        <w:numFmt w:val="decimal"/>
        <w:pStyle w:val="ListNumber"/>
        <w:lvlText w:val="%1)"/>
        <w:lvlJc w:val="left"/>
        <w:pPr>
          <w:ind w:left="425" w:hanging="425"/>
        </w:pPr>
        <w:rPr>
          <w:rFonts w:hint="default"/>
          <w:b w:val="0"/>
          <w:bCs w:val="0"/>
          <w:color w:val="auto"/>
        </w:rPr>
      </w:lvl>
    </w:lvlOverride>
    <w:lvlOverride w:ilvl="1">
      <w:lvl w:ilvl="1">
        <w:start w:val="1"/>
        <w:numFmt w:val="lowerLetter"/>
        <w:pStyle w:val="ListNumber2"/>
        <w:lvlText w:val="%2)"/>
        <w:lvlJc w:val="left"/>
        <w:pPr>
          <w:ind w:left="851" w:hanging="426"/>
        </w:pPr>
        <w:rPr>
          <w:rFonts w:hint="default"/>
          <w:b w:val="0"/>
          <w:bCs w:val="0"/>
        </w:rPr>
      </w:lvl>
    </w:lvlOverride>
    <w:lvlOverride w:ilvl="2">
      <w:lvl w:ilvl="2">
        <w:start w:val="1"/>
        <w:numFmt w:val="lowerRoman"/>
        <w:pStyle w:val="ListNumber3"/>
        <w:lvlText w:val="%3)"/>
        <w:lvlJc w:val="left"/>
        <w:pPr>
          <w:ind w:left="1191" w:hanging="340"/>
        </w:pPr>
        <w:rPr>
          <w:rFonts w:hint="default"/>
        </w:rPr>
      </w:lvl>
    </w:lvlOverride>
    <w:lvlOverride w:ilvl="3">
      <w:lvl w:ilvl="3">
        <w:start w:val="1"/>
        <w:numFmt w:val="decimal"/>
        <w:lvlText w:val="%4."/>
        <w:lvlJc w:val="left"/>
        <w:pPr>
          <w:ind w:left="1276" w:hanging="1276"/>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31" w16cid:durableId="105277741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04E"/>
    <w:rsid w:val="0000059E"/>
    <w:rsid w:val="0000066F"/>
    <w:rsid w:val="00002113"/>
    <w:rsid w:val="00017ACB"/>
    <w:rsid w:val="00021590"/>
    <w:rsid w:val="000230C6"/>
    <w:rsid w:val="00025D1B"/>
    <w:rsid w:val="000266C4"/>
    <w:rsid w:val="000542B4"/>
    <w:rsid w:val="000618F3"/>
    <w:rsid w:val="00066D0B"/>
    <w:rsid w:val="000707A7"/>
    <w:rsid w:val="000717D2"/>
    <w:rsid w:val="00074A56"/>
    <w:rsid w:val="00080827"/>
    <w:rsid w:val="0008277A"/>
    <w:rsid w:val="00086891"/>
    <w:rsid w:val="000904C1"/>
    <w:rsid w:val="000913B5"/>
    <w:rsid w:val="000A31C9"/>
    <w:rsid w:val="000A5BA0"/>
    <w:rsid w:val="000B1B5A"/>
    <w:rsid w:val="000B3924"/>
    <w:rsid w:val="000B3C44"/>
    <w:rsid w:val="000C0412"/>
    <w:rsid w:val="000C4558"/>
    <w:rsid w:val="000D4AA5"/>
    <w:rsid w:val="000E4194"/>
    <w:rsid w:val="000E455C"/>
    <w:rsid w:val="000E4D74"/>
    <w:rsid w:val="000E7803"/>
    <w:rsid w:val="000F0491"/>
    <w:rsid w:val="000F4347"/>
    <w:rsid w:val="000F436F"/>
    <w:rsid w:val="0011062D"/>
    <w:rsid w:val="00113CCC"/>
    <w:rsid w:val="0012003B"/>
    <w:rsid w:val="001233A8"/>
    <w:rsid w:val="00125EE7"/>
    <w:rsid w:val="0013173D"/>
    <w:rsid w:val="00134952"/>
    <w:rsid w:val="00144601"/>
    <w:rsid w:val="001572FA"/>
    <w:rsid w:val="001628F4"/>
    <w:rsid w:val="001835C3"/>
    <w:rsid w:val="00190D7E"/>
    <w:rsid w:val="001929D2"/>
    <w:rsid w:val="001A425D"/>
    <w:rsid w:val="001A6968"/>
    <w:rsid w:val="001D0EF3"/>
    <w:rsid w:val="001D3A3E"/>
    <w:rsid w:val="001F07DD"/>
    <w:rsid w:val="001F162A"/>
    <w:rsid w:val="001F3AE0"/>
    <w:rsid w:val="00201BFB"/>
    <w:rsid w:val="00203DE1"/>
    <w:rsid w:val="002139FC"/>
    <w:rsid w:val="00220618"/>
    <w:rsid w:val="00232465"/>
    <w:rsid w:val="00237A69"/>
    <w:rsid w:val="00247799"/>
    <w:rsid w:val="00250E6F"/>
    <w:rsid w:val="0027175A"/>
    <w:rsid w:val="00275B58"/>
    <w:rsid w:val="00284B53"/>
    <w:rsid w:val="00292D05"/>
    <w:rsid w:val="00295041"/>
    <w:rsid w:val="002A0896"/>
    <w:rsid w:val="002B1FAF"/>
    <w:rsid w:val="002B753C"/>
    <w:rsid w:val="002C443B"/>
    <w:rsid w:val="002E3FD4"/>
    <w:rsid w:val="002F4595"/>
    <w:rsid w:val="00300AFD"/>
    <w:rsid w:val="003032C0"/>
    <w:rsid w:val="00314A23"/>
    <w:rsid w:val="00315D50"/>
    <w:rsid w:val="003278B2"/>
    <w:rsid w:val="003367A3"/>
    <w:rsid w:val="00336B60"/>
    <w:rsid w:val="00336D25"/>
    <w:rsid w:val="0035108D"/>
    <w:rsid w:val="003553D9"/>
    <w:rsid w:val="003569F9"/>
    <w:rsid w:val="003634DF"/>
    <w:rsid w:val="00366721"/>
    <w:rsid w:val="00370990"/>
    <w:rsid w:val="00376370"/>
    <w:rsid w:val="0037698A"/>
    <w:rsid w:val="00392124"/>
    <w:rsid w:val="003937B8"/>
    <w:rsid w:val="00395AD2"/>
    <w:rsid w:val="003A2354"/>
    <w:rsid w:val="003E75F4"/>
    <w:rsid w:val="003F0D24"/>
    <w:rsid w:val="003F465B"/>
    <w:rsid w:val="003F73D7"/>
    <w:rsid w:val="00411260"/>
    <w:rsid w:val="0043187C"/>
    <w:rsid w:val="00442630"/>
    <w:rsid w:val="0044304D"/>
    <w:rsid w:val="00446CB3"/>
    <w:rsid w:val="00450C2B"/>
    <w:rsid w:val="00461483"/>
    <w:rsid w:val="00474BB1"/>
    <w:rsid w:val="00483A86"/>
    <w:rsid w:val="004916F1"/>
    <w:rsid w:val="00495068"/>
    <w:rsid w:val="004A7C22"/>
    <w:rsid w:val="004B44E9"/>
    <w:rsid w:val="004B564C"/>
    <w:rsid w:val="004C2DA2"/>
    <w:rsid w:val="004C717A"/>
    <w:rsid w:val="004D0888"/>
    <w:rsid w:val="004E6316"/>
    <w:rsid w:val="005019C1"/>
    <w:rsid w:val="005068A6"/>
    <w:rsid w:val="005070C8"/>
    <w:rsid w:val="00512DDE"/>
    <w:rsid w:val="00514CEE"/>
    <w:rsid w:val="00515287"/>
    <w:rsid w:val="005157CF"/>
    <w:rsid w:val="00517F82"/>
    <w:rsid w:val="00520EF9"/>
    <w:rsid w:val="00531B5A"/>
    <w:rsid w:val="00546958"/>
    <w:rsid w:val="00553E9D"/>
    <w:rsid w:val="0055447F"/>
    <w:rsid w:val="005623FA"/>
    <w:rsid w:val="00567DFC"/>
    <w:rsid w:val="00577F29"/>
    <w:rsid w:val="005A48A6"/>
    <w:rsid w:val="005B613F"/>
    <w:rsid w:val="005B656B"/>
    <w:rsid w:val="005C2BFD"/>
    <w:rsid w:val="005C4D80"/>
    <w:rsid w:val="005F585F"/>
    <w:rsid w:val="005F77EA"/>
    <w:rsid w:val="006055F5"/>
    <w:rsid w:val="00607A21"/>
    <w:rsid w:val="00607A36"/>
    <w:rsid w:val="006156DF"/>
    <w:rsid w:val="00620993"/>
    <w:rsid w:val="00625D8D"/>
    <w:rsid w:val="00630EC4"/>
    <w:rsid w:val="00634376"/>
    <w:rsid w:val="006360F9"/>
    <w:rsid w:val="00642F36"/>
    <w:rsid w:val="00646917"/>
    <w:rsid w:val="00656587"/>
    <w:rsid w:val="00664BDC"/>
    <w:rsid w:val="0067654E"/>
    <w:rsid w:val="00682212"/>
    <w:rsid w:val="00696682"/>
    <w:rsid w:val="006B0030"/>
    <w:rsid w:val="006B49DE"/>
    <w:rsid w:val="006D413F"/>
    <w:rsid w:val="006E2823"/>
    <w:rsid w:val="006E353E"/>
    <w:rsid w:val="006E5E86"/>
    <w:rsid w:val="006F434A"/>
    <w:rsid w:val="006F6FE8"/>
    <w:rsid w:val="00700A80"/>
    <w:rsid w:val="0070464B"/>
    <w:rsid w:val="00721291"/>
    <w:rsid w:val="007258B1"/>
    <w:rsid w:val="00725C8B"/>
    <w:rsid w:val="00733508"/>
    <w:rsid w:val="00733A04"/>
    <w:rsid w:val="00740C02"/>
    <w:rsid w:val="00754CA3"/>
    <w:rsid w:val="0076549B"/>
    <w:rsid w:val="00793E18"/>
    <w:rsid w:val="007B0D57"/>
    <w:rsid w:val="007B4C63"/>
    <w:rsid w:val="007B6738"/>
    <w:rsid w:val="007C0010"/>
    <w:rsid w:val="007D59E4"/>
    <w:rsid w:val="007E69AF"/>
    <w:rsid w:val="007F42E6"/>
    <w:rsid w:val="007F4986"/>
    <w:rsid w:val="0080517C"/>
    <w:rsid w:val="0080718B"/>
    <w:rsid w:val="00822F9F"/>
    <w:rsid w:val="00832638"/>
    <w:rsid w:val="00863E83"/>
    <w:rsid w:val="00865130"/>
    <w:rsid w:val="008874CA"/>
    <w:rsid w:val="00892F53"/>
    <w:rsid w:val="00895341"/>
    <w:rsid w:val="008B4BBE"/>
    <w:rsid w:val="008E1DC7"/>
    <w:rsid w:val="008E3B54"/>
    <w:rsid w:val="008F1712"/>
    <w:rsid w:val="008F382A"/>
    <w:rsid w:val="00902B14"/>
    <w:rsid w:val="00902E92"/>
    <w:rsid w:val="0090743D"/>
    <w:rsid w:val="00910580"/>
    <w:rsid w:val="00911F4A"/>
    <w:rsid w:val="00916FC3"/>
    <w:rsid w:val="0093548E"/>
    <w:rsid w:val="00943779"/>
    <w:rsid w:val="00974CD6"/>
    <w:rsid w:val="009844EA"/>
    <w:rsid w:val="009B2B90"/>
    <w:rsid w:val="009C206F"/>
    <w:rsid w:val="009C37F9"/>
    <w:rsid w:val="009C3FA3"/>
    <w:rsid w:val="009C5CE4"/>
    <w:rsid w:val="009D7044"/>
    <w:rsid w:val="00A0018B"/>
    <w:rsid w:val="00A017C3"/>
    <w:rsid w:val="00A04AFD"/>
    <w:rsid w:val="00A130F7"/>
    <w:rsid w:val="00A13CC2"/>
    <w:rsid w:val="00A32860"/>
    <w:rsid w:val="00A62CD6"/>
    <w:rsid w:val="00A62F99"/>
    <w:rsid w:val="00A636D6"/>
    <w:rsid w:val="00A65D84"/>
    <w:rsid w:val="00A754B2"/>
    <w:rsid w:val="00A77E8E"/>
    <w:rsid w:val="00A8157A"/>
    <w:rsid w:val="00A8755C"/>
    <w:rsid w:val="00A92CA1"/>
    <w:rsid w:val="00AA1D89"/>
    <w:rsid w:val="00AC1B4D"/>
    <w:rsid w:val="00AC79FA"/>
    <w:rsid w:val="00AD2C29"/>
    <w:rsid w:val="00AD4D8F"/>
    <w:rsid w:val="00AE1E6E"/>
    <w:rsid w:val="00AE40DE"/>
    <w:rsid w:val="00AE4763"/>
    <w:rsid w:val="00AE4B7A"/>
    <w:rsid w:val="00AE5573"/>
    <w:rsid w:val="00AF067E"/>
    <w:rsid w:val="00AF5227"/>
    <w:rsid w:val="00B00B68"/>
    <w:rsid w:val="00B0121B"/>
    <w:rsid w:val="00B0455B"/>
    <w:rsid w:val="00B11E02"/>
    <w:rsid w:val="00B1659B"/>
    <w:rsid w:val="00B21752"/>
    <w:rsid w:val="00B33E2E"/>
    <w:rsid w:val="00B3476F"/>
    <w:rsid w:val="00B34D56"/>
    <w:rsid w:val="00B4014E"/>
    <w:rsid w:val="00B404AB"/>
    <w:rsid w:val="00B43568"/>
    <w:rsid w:val="00B563AF"/>
    <w:rsid w:val="00B74EBE"/>
    <w:rsid w:val="00B82095"/>
    <w:rsid w:val="00B90975"/>
    <w:rsid w:val="00B93571"/>
    <w:rsid w:val="00B94CBD"/>
    <w:rsid w:val="00B970DA"/>
    <w:rsid w:val="00BA2806"/>
    <w:rsid w:val="00BC321A"/>
    <w:rsid w:val="00BD426B"/>
    <w:rsid w:val="00BD4F8E"/>
    <w:rsid w:val="00BE345B"/>
    <w:rsid w:val="00BF72C4"/>
    <w:rsid w:val="00C17A00"/>
    <w:rsid w:val="00C24CF8"/>
    <w:rsid w:val="00C55E7C"/>
    <w:rsid w:val="00C6128D"/>
    <w:rsid w:val="00C70924"/>
    <w:rsid w:val="00C73278"/>
    <w:rsid w:val="00C765C8"/>
    <w:rsid w:val="00C82029"/>
    <w:rsid w:val="00C82856"/>
    <w:rsid w:val="00C9283A"/>
    <w:rsid w:val="00C95039"/>
    <w:rsid w:val="00C979C1"/>
    <w:rsid w:val="00C97FE5"/>
    <w:rsid w:val="00CA3CF5"/>
    <w:rsid w:val="00CA4615"/>
    <w:rsid w:val="00CA7C6F"/>
    <w:rsid w:val="00CB3DEE"/>
    <w:rsid w:val="00CB60F4"/>
    <w:rsid w:val="00CC5345"/>
    <w:rsid w:val="00CD3A6F"/>
    <w:rsid w:val="00CD6263"/>
    <w:rsid w:val="00CE7F36"/>
    <w:rsid w:val="00CF7D08"/>
    <w:rsid w:val="00D002CF"/>
    <w:rsid w:val="00D04A3C"/>
    <w:rsid w:val="00D142C9"/>
    <w:rsid w:val="00D22097"/>
    <w:rsid w:val="00D25C3B"/>
    <w:rsid w:val="00D322B2"/>
    <w:rsid w:val="00D34023"/>
    <w:rsid w:val="00D35C2C"/>
    <w:rsid w:val="00D36C41"/>
    <w:rsid w:val="00D4039B"/>
    <w:rsid w:val="00D55A85"/>
    <w:rsid w:val="00D750D0"/>
    <w:rsid w:val="00D87480"/>
    <w:rsid w:val="00DB1537"/>
    <w:rsid w:val="00DB3608"/>
    <w:rsid w:val="00DB71FD"/>
    <w:rsid w:val="00DC453F"/>
    <w:rsid w:val="00DC57F0"/>
    <w:rsid w:val="00DE546F"/>
    <w:rsid w:val="00DF0AEE"/>
    <w:rsid w:val="00DF241E"/>
    <w:rsid w:val="00E01862"/>
    <w:rsid w:val="00E02D0E"/>
    <w:rsid w:val="00E10313"/>
    <w:rsid w:val="00E25A07"/>
    <w:rsid w:val="00E333DF"/>
    <w:rsid w:val="00E3376C"/>
    <w:rsid w:val="00E33D87"/>
    <w:rsid w:val="00E44E91"/>
    <w:rsid w:val="00E60EAB"/>
    <w:rsid w:val="00E83C41"/>
    <w:rsid w:val="00E87842"/>
    <w:rsid w:val="00E95A2C"/>
    <w:rsid w:val="00E9781D"/>
    <w:rsid w:val="00EA3DB5"/>
    <w:rsid w:val="00EA5D76"/>
    <w:rsid w:val="00EB1896"/>
    <w:rsid w:val="00EC2925"/>
    <w:rsid w:val="00EC5579"/>
    <w:rsid w:val="00EC5C40"/>
    <w:rsid w:val="00ED3CDA"/>
    <w:rsid w:val="00ED774B"/>
    <w:rsid w:val="00EE0118"/>
    <w:rsid w:val="00EE49CE"/>
    <w:rsid w:val="00EE57FE"/>
    <w:rsid w:val="00EE7C8D"/>
    <w:rsid w:val="00EF1FE7"/>
    <w:rsid w:val="00EF24B1"/>
    <w:rsid w:val="00EF3918"/>
    <w:rsid w:val="00EF4695"/>
    <w:rsid w:val="00F02028"/>
    <w:rsid w:val="00F02443"/>
    <w:rsid w:val="00F23AF2"/>
    <w:rsid w:val="00F30857"/>
    <w:rsid w:val="00F330C3"/>
    <w:rsid w:val="00F3602D"/>
    <w:rsid w:val="00F4704E"/>
    <w:rsid w:val="00F75226"/>
    <w:rsid w:val="00F75F33"/>
    <w:rsid w:val="00F768E1"/>
    <w:rsid w:val="00F84236"/>
    <w:rsid w:val="00F96AB3"/>
    <w:rsid w:val="00FB0F45"/>
    <w:rsid w:val="00FC0938"/>
    <w:rsid w:val="00FC2CE4"/>
    <w:rsid w:val="00FC379E"/>
    <w:rsid w:val="00FD19A4"/>
    <w:rsid w:val="00FD337C"/>
    <w:rsid w:val="00FD3BAE"/>
    <w:rsid w:val="00FD5236"/>
    <w:rsid w:val="00FD7D5B"/>
    <w:rsid w:val="00FE0F23"/>
    <w:rsid w:val="00FE63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E6827"/>
  <w15:docId w15:val="{3537D643-5542-4F15-975C-705D2BD9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FB"/>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4E6316"/>
    <w:pPr>
      <w:keepNext/>
      <w:spacing w:before="120" w:line="240" w:lineRule="auto"/>
      <w:ind w:left="720" w:hanging="720"/>
      <w:outlineLvl w:val="1"/>
    </w:pPr>
    <w:rPr>
      <w:rFonts w:ascii="Calibri" w:eastAsiaTheme="minorEastAsia" w:hAnsi="Calibri"/>
      <w:b/>
      <w:bCs/>
      <w:sz w:val="28"/>
      <w:szCs w:val="28"/>
      <w:lang w:eastAsia="ja-JP"/>
    </w:rPr>
  </w:style>
  <w:style w:type="paragraph" w:styleId="Heading3">
    <w:name w:val="heading 3"/>
    <w:next w:val="Normal"/>
    <w:link w:val="Heading3Char"/>
    <w:uiPriority w:val="4"/>
    <w:qFormat/>
    <w:rsid w:val="00700A80"/>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700A80"/>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700A80"/>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700A80"/>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sid w:val="00700A80"/>
    <w:rPr>
      <w:rFonts w:ascii="Calibri" w:eastAsiaTheme="minorHAnsi" w:hAnsi="Calibri" w:cstheme="minorBidi"/>
      <w:szCs w:val="22"/>
      <w:lang w:eastAsia="en-US"/>
    </w:rPr>
  </w:style>
  <w:style w:type="paragraph" w:styleId="Footer">
    <w:name w:val="footer"/>
    <w:basedOn w:val="Normal"/>
    <w:link w:val="FooterChar"/>
    <w:uiPriority w:val="99"/>
    <w:rsid w:val="00700A80"/>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sid w:val="00700A80"/>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4E6316"/>
    <w:rPr>
      <w:rFonts w:ascii="Calibri" w:eastAsiaTheme="minorEastAsia" w:hAnsi="Calibri" w:cstheme="minorBidi"/>
      <w:b/>
      <w:bCs/>
      <w:sz w:val="28"/>
      <w:szCs w:val="28"/>
      <w:lang w:eastAsia="ja-JP"/>
    </w:rPr>
  </w:style>
  <w:style w:type="character" w:customStyle="1" w:styleId="Heading3Char">
    <w:name w:val="Heading 3 Char"/>
    <w:basedOn w:val="DefaultParagraphFont"/>
    <w:link w:val="Heading3"/>
    <w:uiPriority w:val="4"/>
    <w:rsid w:val="00700A80"/>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700A80"/>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700A80"/>
    <w:rPr>
      <w:rFonts w:ascii="Calibri" w:eastAsiaTheme="minorHAnsi" w:hAnsi="Calibri" w:cstheme="minorBidi"/>
      <w:b/>
      <w:i/>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700A80"/>
    <w:pPr>
      <w:numPr>
        <w:numId w:val="3"/>
      </w:numPr>
      <w:spacing w:before="120"/>
    </w:pPr>
  </w:style>
  <w:style w:type="paragraph" w:styleId="ListBullet2">
    <w:name w:val="List Bullet 2"/>
    <w:basedOn w:val="Normal"/>
    <w:uiPriority w:val="8"/>
    <w:qFormat/>
    <w:rsid w:val="00700A80"/>
    <w:pPr>
      <w:numPr>
        <w:ilvl w:val="1"/>
        <w:numId w:val="3"/>
      </w:numPr>
      <w:spacing w:before="120"/>
      <w:contextualSpacing/>
    </w:pPr>
  </w:style>
  <w:style w:type="paragraph" w:styleId="ListNumber">
    <w:name w:val="List Number"/>
    <w:basedOn w:val="Normal"/>
    <w:uiPriority w:val="9"/>
    <w:qFormat/>
    <w:rsid w:val="00700A80"/>
    <w:pPr>
      <w:numPr>
        <w:numId w:val="4"/>
      </w:numPr>
      <w:tabs>
        <w:tab w:val="left" w:pos="142"/>
      </w:tabs>
      <w:spacing w:before="120"/>
    </w:pPr>
  </w:style>
  <w:style w:type="paragraph" w:styleId="ListNumber2">
    <w:name w:val="List Number 2"/>
    <w:uiPriority w:val="10"/>
    <w:qFormat/>
    <w:rsid w:val="00700A80"/>
    <w:pPr>
      <w:numPr>
        <w:ilvl w:val="1"/>
        <w:numId w:val="4"/>
      </w:numPr>
      <w:tabs>
        <w:tab w:val="left" w:pos="567"/>
      </w:tabs>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1">
    <w:name w:val="Table Bullet 1"/>
    <w:basedOn w:val="Date"/>
    <w:uiPriority w:val="15"/>
    <w:qFormat/>
    <w:rsid w:val="00F23AF2"/>
    <w:pPr>
      <w:numPr>
        <w:numId w:val="8"/>
      </w:numPr>
      <w:spacing w:before="60" w:after="60" w:line="240" w:lineRule="auto"/>
      <w:ind w:left="357" w:hanging="357"/>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10"/>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6E353E"/>
    <w:pPr>
      <w:numPr>
        <w:numId w:val="7"/>
      </w:numPr>
      <w:spacing w:before="60" w:after="60"/>
      <w:ind w:left="357" w:hanging="357"/>
      <w:contextualSpacing/>
    </w:pPr>
    <w:rPr>
      <w:rFonts w:asciiTheme="minorHAnsi" w:eastAsia="Calibri" w:hAnsiTheme="minorHAnsi"/>
      <w:color w:val="000000" w:themeColor="text1"/>
      <w:sz w:val="19"/>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1"/>
    <w:qFormat/>
    <w:rsid w:val="006E353E"/>
    <w:pPr>
      <w:numPr>
        <w:numId w:val="5"/>
      </w:numPr>
      <w:tabs>
        <w:tab w:val="num" w:pos="284"/>
      </w:tabs>
      <w:ind w:left="456" w:hanging="238"/>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uiPriority w:val="13"/>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700A80"/>
    <w:pPr>
      <w:numPr>
        <w:ilvl w:val="2"/>
        <w:numId w:val="4"/>
      </w:numPr>
      <w:spacing w:before="120" w:after="120" w:line="264" w:lineRule="auto"/>
    </w:pPr>
    <w:rPr>
      <w:rFonts w:asciiTheme="minorHAnsi" w:eastAsia="Times New Roman" w:hAnsiTheme="minorHAnsi"/>
      <w:sz w:val="22"/>
      <w:szCs w:val="24"/>
      <w:lang w:eastAsia="en-US"/>
    </w:rPr>
  </w:style>
  <w:style w:type="paragraph" w:styleId="ListParagraph">
    <w:name w:val="List Paragraph"/>
    <w:basedOn w:val="Normal"/>
    <w:uiPriority w:val="34"/>
    <w:qFormat/>
    <w:rsid w:val="00002113"/>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84033425">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11526">
      <w:bodyDiv w:val="1"/>
      <w:marLeft w:val="0"/>
      <w:marRight w:val="0"/>
      <w:marTop w:val="0"/>
      <w:marBottom w:val="0"/>
      <w:divBdr>
        <w:top w:val="none" w:sz="0" w:space="0" w:color="auto"/>
        <w:left w:val="none" w:sz="0" w:space="0" w:color="auto"/>
        <w:bottom w:val="none" w:sz="0" w:space="0" w:color="auto"/>
        <w:right w:val="none" w:sz="0" w:space="0" w:color="auto"/>
      </w:divBdr>
    </w:div>
    <w:div w:id="1860925186">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436933">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gov.au/F2024L00150/asmade/downloa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19A00055/latest/tex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reativecommons.org/licenses/by/4.0/legalco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0097\Downloads\FDF_fact_sheet_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E42F97-EC0F-43DB-BA6A-A3C8B642B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4.xml><?xml version="1.0" encoding="utf-8"?>
<ds:datastoreItem xmlns:ds="http://schemas.openxmlformats.org/officeDocument/2006/customXml" ds:itemID="{9D1CAD33-3B39-4665-A5E6-666D035120E9}">
  <ds:schemaRefs>
    <ds:schemaRef ds:uri="81c01dc6-2c49-4730-b140-874c95cac377"/>
    <ds:schemaRef ds:uri="http://schemas.microsoft.com/office/infopath/2007/PartnerControls"/>
    <ds:schemaRef ds:uri="http://purl.org/dc/dcmitype/"/>
    <ds:schemaRef ds:uri="http://schemas.openxmlformats.org/package/2006/metadata/core-properties"/>
    <ds:schemaRef ds:uri="c95b51c2-b2ac-4224-a5b5-069909057829"/>
    <ds:schemaRef ds:uri="http://purl.org/dc/terms/"/>
    <ds:schemaRef ds:uri="http://schemas.microsoft.com/office/2006/documentManagement/types"/>
    <ds:schemaRef ds:uri="http://www.w3.org/XML/1998/namespace"/>
    <ds:schemaRef ds:uri="2b53c995-2120-4bc0-8922-c25044d37f65"/>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FDF_fact_sheet_template (1)</Template>
  <TotalTime>83</TotalTime>
  <Pages>7</Pages>
  <Words>2274</Words>
  <Characters>12963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FDF policy instructions - International expenditure</vt:lpstr>
    </vt:vector>
  </TitlesOfParts>
  <Company/>
  <LinksUpToDate>false</LinksUpToDate>
  <CharactersWithSpaces>15207</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FDF policy instructions - International expenditure</dc:title>
  <dc:creator>Department of Agriculture, Fisheries and Forestry</dc:creator>
  <cp:revision>14</cp:revision>
  <cp:lastPrinted>2026-05-01T01:21:00Z</cp:lastPrinted>
  <dcterms:created xsi:type="dcterms:W3CDTF">2026-03-30T06:29:00Z</dcterms:created>
  <dcterms:modified xsi:type="dcterms:W3CDTF">2026-05-04T02:20:00Z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32f05c19,7af1e33f,64b1c4ce</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5f3e5b06,49b97205,606eb1bf</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ediaServiceImageTags">
    <vt:lpwstr/>
  </property>
  <property fmtid="{D5CDD505-2E9C-101B-9397-08002B2CF9AE}" pid="10" name="docLang">
    <vt:lpwstr>en</vt:lpwstr>
  </property>
</Properties>
</file>