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0342" w14:textId="0359C97E" w:rsidR="00A426CA" w:rsidRDefault="00B405F5" w:rsidP="00F5789C">
      <w:pPr>
        <w:pStyle w:val="Date"/>
        <w:spacing w:before="1200"/>
      </w:pPr>
      <w:r>
        <w:t>May</w:t>
      </w:r>
      <w:r w:rsidR="00904021" w:rsidRPr="00C3226C">
        <w:t xml:space="preserve"> </w:t>
      </w:r>
      <w:r w:rsidR="004C59C0" w:rsidRPr="00C3226C">
        <w:t>202</w:t>
      </w:r>
      <w:r w:rsidR="008B7ECA">
        <w:t>1</w:t>
      </w:r>
    </w:p>
    <w:p w14:paraId="6E08B831" w14:textId="77777777" w:rsidR="00483F39" w:rsidRDefault="008B7ECA" w:rsidP="00483F39">
      <w:pPr>
        <w:pStyle w:val="Heading1"/>
        <w:rPr>
          <w:lang w:eastAsia="ja-JP"/>
        </w:rPr>
      </w:pPr>
      <w:r>
        <w:rPr>
          <w:lang w:eastAsia="ja-JP"/>
        </w:rPr>
        <w:t xml:space="preserve">Future Drought Fund: </w:t>
      </w:r>
      <w:r w:rsidR="00D56EDF">
        <w:rPr>
          <w:lang w:eastAsia="ja-JP"/>
        </w:rPr>
        <w:t xml:space="preserve">Regional Drought Resilience </w:t>
      </w:r>
      <w:r w:rsidR="00814810">
        <w:rPr>
          <w:lang w:eastAsia="ja-JP"/>
        </w:rPr>
        <w:t xml:space="preserve">Planning </w:t>
      </w:r>
      <w:r w:rsidR="00E500FD">
        <w:rPr>
          <w:lang w:eastAsia="ja-JP"/>
        </w:rPr>
        <w:t>P</w:t>
      </w:r>
      <w:r w:rsidR="00D56EDF">
        <w:rPr>
          <w:lang w:eastAsia="ja-JP"/>
        </w:rPr>
        <w:t>rogram</w:t>
      </w:r>
    </w:p>
    <w:p w14:paraId="5F8F1900" w14:textId="77777777" w:rsidR="009C19B5" w:rsidRPr="009C19B5" w:rsidRDefault="008B7ECA" w:rsidP="00314670">
      <w:r w:rsidRPr="009C19B5">
        <w:t xml:space="preserve">Drought does not pay attention to lines on a </w:t>
      </w:r>
      <w:proofErr w:type="gramStart"/>
      <w:r w:rsidRPr="009C19B5">
        <w:t>map, and</w:t>
      </w:r>
      <w:proofErr w:type="gramEnd"/>
      <w:r w:rsidRPr="009C19B5">
        <w:t xml:space="preserve"> is</w:t>
      </w:r>
      <w:r>
        <w:rPr>
          <w:b/>
          <w:bCs/>
        </w:rPr>
        <w:t xml:space="preserve"> </w:t>
      </w:r>
      <w:r w:rsidRPr="009C19B5">
        <w:t>best planned for on a regional-scale based on landscape,</w:t>
      </w:r>
      <w:r>
        <w:rPr>
          <w:b/>
          <w:bCs/>
        </w:rPr>
        <w:t xml:space="preserve"> </w:t>
      </w:r>
      <w:r w:rsidRPr="009C19B5">
        <w:t>community, economy and climate, rather than borders.</w:t>
      </w:r>
    </w:p>
    <w:p w14:paraId="0FBEEFBE" w14:textId="77777777" w:rsidR="009C19B5" w:rsidRDefault="008B7ECA" w:rsidP="00314670">
      <w:pPr>
        <w:rPr>
          <w:b/>
          <w:bCs/>
        </w:rPr>
      </w:pPr>
      <w:r w:rsidRPr="009C19B5">
        <w:t>The Regional Drought Resilience Planning program</w:t>
      </w:r>
      <w:r>
        <w:rPr>
          <w:b/>
          <w:bCs/>
        </w:rPr>
        <w:t xml:space="preserve"> </w:t>
      </w:r>
      <w:r w:rsidRPr="009C19B5">
        <w:t>brings regional organisations, local government,</w:t>
      </w:r>
      <w:r>
        <w:rPr>
          <w:b/>
          <w:bCs/>
        </w:rPr>
        <w:t xml:space="preserve"> </w:t>
      </w:r>
      <w:proofErr w:type="gramStart"/>
      <w:r w:rsidRPr="009C19B5">
        <w:t>communities</w:t>
      </w:r>
      <w:proofErr w:type="gramEnd"/>
      <w:r w:rsidRPr="009C19B5">
        <w:t xml:space="preserve"> and industry together to prepare for</w:t>
      </w:r>
      <w:r>
        <w:rPr>
          <w:b/>
          <w:bCs/>
        </w:rPr>
        <w:t xml:space="preserve"> </w:t>
      </w:r>
      <w:r w:rsidRPr="009C19B5">
        <w:t>future drought risks by developing regional drought</w:t>
      </w:r>
      <w:r>
        <w:rPr>
          <w:b/>
          <w:bCs/>
        </w:rPr>
        <w:t xml:space="preserve"> </w:t>
      </w:r>
      <w:r w:rsidRPr="009C19B5">
        <w:t>resilience plans.</w:t>
      </w:r>
    </w:p>
    <w:p w14:paraId="2AFFFE3A" w14:textId="77777777" w:rsidR="00483F39" w:rsidRPr="009C19B5" w:rsidRDefault="008B7ECA" w:rsidP="009C19B5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 w:rsidRPr="003426CA">
        <w:t>Funding</w:t>
      </w:r>
    </w:p>
    <w:p w14:paraId="39C8C55F" w14:textId="77777777" w:rsidR="009C19B5" w:rsidRDefault="008B7ECA" w:rsidP="00314670">
      <w:pPr>
        <w:rPr>
          <w:b/>
          <w:bCs/>
        </w:rPr>
      </w:pPr>
      <w:r w:rsidRPr="009C19B5">
        <w:t>The Australian Government has committed</w:t>
      </w:r>
      <w:r>
        <w:rPr>
          <w:b/>
          <w:bCs/>
        </w:rPr>
        <w:t xml:space="preserve"> </w:t>
      </w:r>
      <w:r w:rsidRPr="009C19B5">
        <w:t>$9.85 million towards the roll out of the foundational</w:t>
      </w:r>
      <w:r>
        <w:rPr>
          <w:b/>
          <w:bCs/>
        </w:rPr>
        <w:t xml:space="preserve"> </w:t>
      </w:r>
      <w:r w:rsidRPr="009C19B5">
        <w:t>year. The government is working with state and territory</w:t>
      </w:r>
      <w:r>
        <w:rPr>
          <w:b/>
          <w:bCs/>
        </w:rPr>
        <w:t xml:space="preserve"> </w:t>
      </w:r>
      <w:r w:rsidRPr="009C19B5">
        <w:t>governments to deliver the program. An additional</w:t>
      </w:r>
      <w:r>
        <w:rPr>
          <w:b/>
          <w:bCs/>
        </w:rPr>
        <w:t xml:space="preserve"> </w:t>
      </w:r>
      <w:r w:rsidRPr="009C19B5">
        <w:t>$31 million was announced in the 2021–22 Federal</w:t>
      </w:r>
      <w:r>
        <w:rPr>
          <w:b/>
          <w:bCs/>
        </w:rPr>
        <w:t xml:space="preserve"> </w:t>
      </w:r>
      <w:r w:rsidRPr="009C19B5">
        <w:t>Budget for the next three years.</w:t>
      </w:r>
      <w:r>
        <w:rPr>
          <w:b/>
          <w:bCs/>
        </w:rPr>
        <w:t xml:space="preserve"> </w:t>
      </w:r>
    </w:p>
    <w:p w14:paraId="6648A03B" w14:textId="77777777" w:rsidR="009C19B5" w:rsidRDefault="008B7ECA" w:rsidP="00314670">
      <w:pPr>
        <w:rPr>
          <w:b/>
          <w:bCs/>
        </w:rPr>
      </w:pPr>
      <w:r w:rsidRPr="009C19B5">
        <w:t>This program received funding from the Australian</w:t>
      </w:r>
      <w:r>
        <w:rPr>
          <w:b/>
          <w:bCs/>
        </w:rPr>
        <w:t xml:space="preserve"> </w:t>
      </w:r>
      <w:r w:rsidRPr="009C19B5">
        <w:t>Government’s Future Drought Fund, and contributions</w:t>
      </w:r>
      <w:r>
        <w:rPr>
          <w:b/>
          <w:bCs/>
        </w:rPr>
        <w:t xml:space="preserve"> </w:t>
      </w:r>
      <w:r w:rsidRPr="009C19B5">
        <w:t>from state and territory</w:t>
      </w:r>
      <w:r>
        <w:rPr>
          <w:b/>
          <w:bCs/>
        </w:rPr>
        <w:t xml:space="preserve"> </w:t>
      </w:r>
      <w:r w:rsidRPr="009C19B5">
        <w:t>governments.</w:t>
      </w:r>
    </w:p>
    <w:p w14:paraId="0B37E5A8" w14:textId="77777777" w:rsidR="00483F39" w:rsidRPr="009C19B5" w:rsidRDefault="008B7ECA" w:rsidP="009C19B5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>
        <w:t xml:space="preserve">Regional drought resilience plans </w:t>
      </w:r>
    </w:p>
    <w:p w14:paraId="7A7218EC" w14:textId="77777777" w:rsidR="009C19B5" w:rsidRDefault="008B7ECA" w:rsidP="00314670">
      <w:pPr>
        <w:rPr>
          <w:lang w:eastAsia="en-AU"/>
        </w:rPr>
      </w:pPr>
      <w:r>
        <w:rPr>
          <w:lang w:eastAsia="en-AU"/>
        </w:rPr>
        <w:t>The plans will:</w:t>
      </w:r>
    </w:p>
    <w:p w14:paraId="06330D19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identify actions to prepare for future droughts, focusing on the agricultural sector and</w:t>
      </w:r>
    </w:p>
    <w:p w14:paraId="6F8A3931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allied industries</w:t>
      </w:r>
    </w:p>
    <w:p w14:paraId="24C10716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be led by communities and developed through partnerships of local governments, regional organisations, community organisations and industry</w:t>
      </w:r>
    </w:p>
    <w:p w14:paraId="1C399B41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recognise that no two regions are the same and planning must be customised</w:t>
      </w:r>
    </w:p>
    <w:p w14:paraId="6905D24B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access the wide range of drought resilience knowledge and evidence available</w:t>
      </w:r>
    </w:p>
    <w:p w14:paraId="1F61849A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 xml:space="preserve">draw out regional needs and priorities to inform future investments use best practice approaches to resilience, </w:t>
      </w:r>
      <w:proofErr w:type="gramStart"/>
      <w:r>
        <w:rPr>
          <w:lang w:eastAsia="en-AU"/>
        </w:rPr>
        <w:t>adaptation</w:t>
      </w:r>
      <w:proofErr w:type="gramEnd"/>
      <w:r>
        <w:rPr>
          <w:lang w:eastAsia="en-AU"/>
        </w:rPr>
        <w:t xml:space="preserve"> and transformation</w:t>
      </w:r>
    </w:p>
    <w:p w14:paraId="7B28DD5C" w14:textId="77777777" w:rsid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build on and complement any existing planning</w:t>
      </w:r>
    </w:p>
    <w:p w14:paraId="69C11552" w14:textId="77777777" w:rsidR="009C19B5" w:rsidRPr="009C19B5" w:rsidRDefault="008B7ECA" w:rsidP="009C19B5">
      <w:pPr>
        <w:pStyle w:val="ListBullet2"/>
        <w:numPr>
          <w:ilvl w:val="1"/>
          <w:numId w:val="12"/>
        </w:numPr>
        <w:rPr>
          <w:lang w:eastAsia="en-AU"/>
        </w:rPr>
      </w:pPr>
      <w:r>
        <w:rPr>
          <w:lang w:eastAsia="en-AU"/>
        </w:rPr>
        <w:t>be independently assessed and published to ensure their effectiveness and allow communities to learn from each other.</w:t>
      </w:r>
    </w:p>
    <w:p w14:paraId="2F5BD138" w14:textId="77777777" w:rsidR="00483F39" w:rsidRPr="00BC0DAC" w:rsidRDefault="008B7ECA" w:rsidP="009C19B5">
      <w:pPr>
        <w:pStyle w:val="Heading2"/>
      </w:pPr>
      <w:r w:rsidRPr="00BC0DAC">
        <w:t xml:space="preserve">Benefits </w:t>
      </w:r>
    </w:p>
    <w:p w14:paraId="7076106E" w14:textId="77777777" w:rsidR="009C19B5" w:rsidRPr="009C19B5" w:rsidRDefault="008B7ECA" w:rsidP="00314670">
      <w:r w:rsidRPr="009C19B5">
        <w:t>Regional communities will benefit by:</w:t>
      </w:r>
    </w:p>
    <w:p w14:paraId="7C6149E9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>having a better understanding of the region’s ability to</w:t>
      </w:r>
      <w:r>
        <w:rPr>
          <w:b/>
          <w:bCs/>
        </w:rPr>
        <w:t xml:space="preserve"> </w:t>
      </w:r>
      <w:r w:rsidRPr="009C19B5">
        <w:t>manage droughts</w:t>
      </w:r>
    </w:p>
    <w:p w14:paraId="3B5D7CE3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>being able to identify and plan for the impacts of</w:t>
      </w:r>
      <w:r>
        <w:rPr>
          <w:b/>
          <w:bCs/>
        </w:rPr>
        <w:t xml:space="preserve"> </w:t>
      </w:r>
      <w:r w:rsidRPr="009C19B5">
        <w:t>future droughts</w:t>
      </w:r>
    </w:p>
    <w:p w14:paraId="0C8CD314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 xml:space="preserve">building their economic, </w:t>
      </w:r>
      <w:proofErr w:type="gramStart"/>
      <w:r w:rsidRPr="009C19B5">
        <w:t>environmental</w:t>
      </w:r>
      <w:proofErr w:type="gramEnd"/>
      <w:r w:rsidRPr="009C19B5">
        <w:t xml:space="preserve"> and social resilience</w:t>
      </w:r>
      <w:r>
        <w:rPr>
          <w:b/>
          <w:bCs/>
        </w:rPr>
        <w:t xml:space="preserve"> </w:t>
      </w:r>
      <w:r w:rsidRPr="009C19B5">
        <w:t>to future droughts</w:t>
      </w:r>
    </w:p>
    <w:p w14:paraId="118A6C1A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lastRenderedPageBreak/>
        <w:t>forming stronger connections and relationships within and</w:t>
      </w:r>
      <w:r>
        <w:rPr>
          <w:b/>
          <w:bCs/>
        </w:rPr>
        <w:t xml:space="preserve"> </w:t>
      </w:r>
      <w:r w:rsidRPr="009C19B5">
        <w:t>between regions, drawing on the diverse range of available</w:t>
      </w:r>
      <w:r>
        <w:rPr>
          <w:b/>
          <w:bCs/>
        </w:rPr>
        <w:t xml:space="preserve"> </w:t>
      </w:r>
      <w:r w:rsidRPr="009C19B5">
        <w:t>knowledge and existing planning while learning and sharing</w:t>
      </w:r>
      <w:r>
        <w:rPr>
          <w:b/>
          <w:bCs/>
        </w:rPr>
        <w:t xml:space="preserve"> </w:t>
      </w:r>
      <w:r w:rsidRPr="009C19B5">
        <w:t>what’s working and what’s not</w:t>
      </w:r>
    </w:p>
    <w:p w14:paraId="0661E004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>having plans that provide a clear, systematic evaluation of</w:t>
      </w:r>
      <w:r>
        <w:rPr>
          <w:b/>
          <w:bCs/>
        </w:rPr>
        <w:t xml:space="preserve"> </w:t>
      </w:r>
      <w:r w:rsidRPr="009C19B5">
        <w:t>drought risks and priorities, better positioning regions when</w:t>
      </w:r>
      <w:r>
        <w:rPr>
          <w:b/>
          <w:bCs/>
        </w:rPr>
        <w:t xml:space="preserve"> </w:t>
      </w:r>
      <w:r w:rsidRPr="009C19B5">
        <w:t>applying for funding and support to improve drought resilience</w:t>
      </w:r>
    </w:p>
    <w:p w14:paraId="73DBA043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>having access to best practice data and information to make</w:t>
      </w:r>
      <w:r>
        <w:rPr>
          <w:b/>
          <w:bCs/>
        </w:rPr>
        <w:t xml:space="preserve"> </w:t>
      </w:r>
      <w:r w:rsidRPr="009C19B5">
        <w:t>better decisions</w:t>
      </w:r>
    </w:p>
    <w:p w14:paraId="4BA02DFD" w14:textId="77777777" w:rsidR="009C19B5" w:rsidRPr="009C19B5" w:rsidRDefault="008B7ECA" w:rsidP="009C19B5">
      <w:pPr>
        <w:pStyle w:val="ListBullet2"/>
        <w:numPr>
          <w:ilvl w:val="1"/>
          <w:numId w:val="11"/>
        </w:numPr>
      </w:pPr>
      <w:r w:rsidRPr="009C19B5">
        <w:t>improving natural resource management across the region</w:t>
      </w:r>
    </w:p>
    <w:p w14:paraId="5B11224B" w14:textId="77777777" w:rsidR="009C19B5" w:rsidRDefault="008B7ECA" w:rsidP="00B405F5">
      <w:pPr>
        <w:pStyle w:val="ListBullet2"/>
        <w:numPr>
          <w:ilvl w:val="0"/>
          <w:numId w:val="0"/>
        </w:numPr>
        <w:ind w:left="425"/>
        <w:rPr>
          <w:b/>
          <w:bCs/>
        </w:rPr>
      </w:pPr>
      <w:r w:rsidRPr="009C19B5">
        <w:t>The program will also support small grants for regions to</w:t>
      </w:r>
      <w:r>
        <w:rPr>
          <w:b/>
          <w:bCs/>
        </w:rPr>
        <w:t xml:space="preserve"> </w:t>
      </w:r>
      <w:r w:rsidRPr="009C19B5">
        <w:t>take forward priority actions identified in regional plans.</w:t>
      </w:r>
      <w:r>
        <w:rPr>
          <w:b/>
          <w:bCs/>
        </w:rPr>
        <w:t xml:space="preserve"> </w:t>
      </w:r>
      <w:r w:rsidRPr="009C19B5">
        <w:t>The targeting of this support will be developed through</w:t>
      </w:r>
      <w:r>
        <w:rPr>
          <w:b/>
          <w:bCs/>
        </w:rPr>
        <w:t xml:space="preserve"> </w:t>
      </w:r>
      <w:r w:rsidRPr="009C19B5">
        <w:t>consultation with state and territory governments and others.</w:t>
      </w:r>
    </w:p>
    <w:p w14:paraId="3B5D79DA" w14:textId="77777777" w:rsidR="00483F39" w:rsidRDefault="008B7ECA" w:rsidP="009C19B5">
      <w:pPr>
        <w:pStyle w:val="Heading2"/>
      </w:pPr>
      <w:r>
        <w:t>Program roll out</w:t>
      </w:r>
    </w:p>
    <w:p w14:paraId="0C187B89" w14:textId="77777777" w:rsidR="009C19B5" w:rsidRDefault="008B7ECA" w:rsidP="00314670">
      <w:pPr>
        <w:rPr>
          <w:b/>
          <w:bCs/>
        </w:rPr>
      </w:pPr>
      <w:r w:rsidRPr="009C19B5">
        <w:t>The program is being run in selected regions across</w:t>
      </w:r>
      <w:r>
        <w:rPr>
          <w:b/>
          <w:bCs/>
        </w:rPr>
        <w:t xml:space="preserve"> </w:t>
      </w:r>
      <w:r w:rsidRPr="009C19B5">
        <w:t>Australia – delivered through each state and territory.</w:t>
      </w:r>
      <w:r>
        <w:rPr>
          <w:b/>
          <w:bCs/>
        </w:rPr>
        <w:t xml:space="preserve"> </w:t>
      </w:r>
    </w:p>
    <w:p w14:paraId="2247FA5B" w14:textId="77777777" w:rsidR="009C19B5" w:rsidRDefault="008B7ECA" w:rsidP="00314670">
      <w:pPr>
        <w:rPr>
          <w:b/>
          <w:bCs/>
        </w:rPr>
      </w:pPr>
      <w:r w:rsidRPr="009C19B5">
        <w:t>The program will roll out until June 2024</w:t>
      </w:r>
      <w:r>
        <w:rPr>
          <w:b/>
          <w:bCs/>
        </w:rPr>
        <w:t>.</w:t>
      </w:r>
    </w:p>
    <w:p w14:paraId="3E5C48C1" w14:textId="77777777" w:rsidR="00CB0959" w:rsidRDefault="008B7ECA" w:rsidP="009C19B5">
      <w:pPr>
        <w:pStyle w:val="Heading2"/>
      </w:pPr>
      <w:r>
        <w:t>Be informed</w:t>
      </w:r>
    </w:p>
    <w:p w14:paraId="755FE9D4" w14:textId="77777777" w:rsidR="00D16AD3" w:rsidRDefault="008B7ECA" w:rsidP="00314670">
      <w:r w:rsidRPr="00281438">
        <w:t xml:space="preserve">Find out </w:t>
      </w:r>
      <w:r>
        <w:t>more about the program in your state or territory</w:t>
      </w:r>
      <w:r w:rsidRPr="00281438">
        <w:t xml:space="preserve"> by visiting the Department of Agriculture, </w:t>
      </w:r>
      <w:proofErr w:type="gramStart"/>
      <w:r w:rsidRPr="00281438">
        <w:t>Water</w:t>
      </w:r>
      <w:proofErr w:type="gramEnd"/>
      <w:r w:rsidRPr="00281438">
        <w:t xml:space="preserve"> and the Environment's website, </w:t>
      </w:r>
      <w:r w:rsidRPr="00EA7818">
        <w:rPr>
          <w:u w:val="single"/>
        </w:rPr>
        <w:t>www.awe.gov.au/fdf</w:t>
      </w:r>
      <w:r>
        <w:t>.</w:t>
      </w:r>
    </w:p>
    <w:p w14:paraId="7B9A626C" w14:textId="77777777" w:rsidR="00CB0959" w:rsidRDefault="008B7ECA" w:rsidP="00314670">
      <w:r w:rsidRPr="0073213A">
        <w:t xml:space="preserve">You can also register for updates at </w:t>
      </w:r>
      <w:r w:rsidRPr="00A226BE">
        <w:t>haveyoursay.awe.gov.au/future-drought-fund</w:t>
      </w:r>
      <w:r w:rsidRPr="00A3058D">
        <w:t>.</w:t>
      </w:r>
    </w:p>
    <w:p w14:paraId="6CBEC58A" w14:textId="77777777" w:rsidR="00A72E76" w:rsidRDefault="008B7ECA" w:rsidP="00A72E76">
      <w:pPr>
        <w:pStyle w:val="Heading2"/>
      </w:pPr>
      <w:r>
        <w:t>Key Points</w:t>
      </w:r>
    </w:p>
    <w:p w14:paraId="6DAD2628" w14:textId="77777777" w:rsidR="009C19B5" w:rsidRPr="009C19B5" w:rsidRDefault="008B7ECA" w:rsidP="009C19B5">
      <w:pPr>
        <w:pStyle w:val="ListBullet2"/>
        <w:numPr>
          <w:ilvl w:val="1"/>
          <w:numId w:val="10"/>
        </w:numPr>
      </w:pPr>
      <w:r w:rsidRPr="009C19B5">
        <w:t>The Future Drought Fund’s</w:t>
      </w:r>
      <w:r>
        <w:t xml:space="preserve"> </w:t>
      </w:r>
      <w:r w:rsidRPr="009C19B5">
        <w:t>Regional Drought Resilience</w:t>
      </w:r>
      <w:r>
        <w:t xml:space="preserve"> </w:t>
      </w:r>
      <w:r w:rsidR="001A04C3">
        <w:t xml:space="preserve">Planning </w:t>
      </w:r>
      <w:r w:rsidRPr="009C19B5">
        <w:t>program will support regional</w:t>
      </w:r>
      <w:r>
        <w:t xml:space="preserve"> </w:t>
      </w:r>
      <w:r w:rsidRPr="009C19B5">
        <w:t>organisations, local government,</w:t>
      </w:r>
      <w:r>
        <w:t xml:space="preserve"> </w:t>
      </w:r>
      <w:proofErr w:type="gramStart"/>
      <w:r w:rsidRPr="009C19B5">
        <w:t>communities</w:t>
      </w:r>
      <w:proofErr w:type="gramEnd"/>
      <w:r w:rsidRPr="009C19B5">
        <w:t xml:space="preserve"> and industry to</w:t>
      </w:r>
      <w:r>
        <w:t xml:space="preserve"> </w:t>
      </w:r>
      <w:r w:rsidRPr="009C19B5">
        <w:t>partner together to develop</w:t>
      </w:r>
      <w:r>
        <w:t xml:space="preserve"> </w:t>
      </w:r>
      <w:r w:rsidRPr="009C19B5">
        <w:t>regional drought resilience plans.</w:t>
      </w:r>
    </w:p>
    <w:p w14:paraId="269DC372" w14:textId="77777777" w:rsidR="009C19B5" w:rsidRPr="009C19B5" w:rsidRDefault="008B7ECA" w:rsidP="009C19B5">
      <w:pPr>
        <w:pStyle w:val="ListBullet2"/>
        <w:numPr>
          <w:ilvl w:val="1"/>
          <w:numId w:val="10"/>
        </w:numPr>
      </w:pPr>
      <w:r w:rsidRPr="009C19B5">
        <w:t>The plans will identify and guide</w:t>
      </w:r>
      <w:r>
        <w:t xml:space="preserve"> </w:t>
      </w:r>
      <w:r w:rsidRPr="009C19B5">
        <w:t>actions to build the region’s</w:t>
      </w:r>
      <w:r>
        <w:t xml:space="preserve"> </w:t>
      </w:r>
      <w:r w:rsidRPr="009C19B5">
        <w:t>resilience to future droughts,</w:t>
      </w:r>
      <w:r>
        <w:t xml:space="preserve"> </w:t>
      </w:r>
      <w:r w:rsidRPr="009C19B5">
        <w:t>with a focus on agriculture</w:t>
      </w:r>
      <w:r>
        <w:t xml:space="preserve"> </w:t>
      </w:r>
      <w:r w:rsidRPr="009C19B5">
        <w:t>and allied industries. Plans</w:t>
      </w:r>
      <w:r>
        <w:t xml:space="preserve"> </w:t>
      </w:r>
      <w:r w:rsidRPr="009C19B5">
        <w:t>will be developed through a</w:t>
      </w:r>
      <w:r>
        <w:t xml:space="preserve"> </w:t>
      </w:r>
      <w:r w:rsidRPr="009C19B5">
        <w:t xml:space="preserve">triple bottom line, </w:t>
      </w:r>
      <w:proofErr w:type="gramStart"/>
      <w:r w:rsidRPr="009C19B5">
        <w:t>collaborative</w:t>
      </w:r>
      <w:proofErr w:type="gramEnd"/>
      <w:r>
        <w:t xml:space="preserve"> </w:t>
      </w:r>
      <w:r w:rsidRPr="009C19B5">
        <w:t>and evidence-based approach.</w:t>
      </w:r>
    </w:p>
    <w:p w14:paraId="0D5FAA15" w14:textId="77777777" w:rsidR="009C19B5" w:rsidRPr="009C19B5" w:rsidRDefault="008B7ECA" w:rsidP="009C19B5">
      <w:pPr>
        <w:pStyle w:val="ListBullet2"/>
        <w:numPr>
          <w:ilvl w:val="1"/>
          <w:numId w:val="10"/>
        </w:numPr>
      </w:pPr>
      <w:r w:rsidRPr="009C19B5">
        <w:t>Australian Government has</w:t>
      </w:r>
      <w:r>
        <w:t xml:space="preserve"> </w:t>
      </w:r>
      <w:r w:rsidRPr="009C19B5">
        <w:t>committed $9.85 million towards</w:t>
      </w:r>
      <w:r>
        <w:t xml:space="preserve"> </w:t>
      </w:r>
      <w:r w:rsidRPr="009C19B5">
        <w:t>the foundational year of the</w:t>
      </w:r>
      <w:r>
        <w:t xml:space="preserve"> </w:t>
      </w:r>
      <w:r w:rsidRPr="009C19B5">
        <w:t>program and an additional</w:t>
      </w:r>
      <w:r>
        <w:t xml:space="preserve"> </w:t>
      </w:r>
      <w:r w:rsidRPr="009C19B5">
        <w:t>$31 million was announced in</w:t>
      </w:r>
      <w:r>
        <w:t xml:space="preserve"> </w:t>
      </w:r>
      <w:r w:rsidRPr="009C19B5">
        <w:t>the 2021–22 Federal Budget for</w:t>
      </w:r>
      <w:r>
        <w:t xml:space="preserve"> </w:t>
      </w:r>
      <w:r w:rsidRPr="009C19B5">
        <w:t>the next three years.</w:t>
      </w:r>
    </w:p>
    <w:p w14:paraId="2A0CADEA" w14:textId="77777777" w:rsidR="009C19B5" w:rsidRPr="009C19B5" w:rsidRDefault="008B7ECA" w:rsidP="009C19B5">
      <w:pPr>
        <w:pStyle w:val="ListBullet2"/>
        <w:numPr>
          <w:ilvl w:val="1"/>
          <w:numId w:val="10"/>
        </w:numPr>
      </w:pPr>
      <w:r w:rsidRPr="009C19B5">
        <w:t>The government is delivering</w:t>
      </w:r>
      <w:r>
        <w:t xml:space="preserve"> </w:t>
      </w:r>
      <w:r w:rsidRPr="009C19B5">
        <w:t>the program in partnership with</w:t>
      </w:r>
      <w:r>
        <w:t xml:space="preserve"> </w:t>
      </w:r>
      <w:r w:rsidRPr="009C19B5">
        <w:t>states and territories.</w:t>
      </w:r>
    </w:p>
    <w:p w14:paraId="4378AC05" w14:textId="77777777" w:rsidR="009C19B5" w:rsidRPr="009C19B5" w:rsidRDefault="008B7ECA" w:rsidP="009C19B5">
      <w:pPr>
        <w:pStyle w:val="ListBullet2"/>
        <w:numPr>
          <w:ilvl w:val="1"/>
          <w:numId w:val="10"/>
        </w:numPr>
      </w:pPr>
      <w:r w:rsidRPr="009C19B5">
        <w:t>The expanded program will</w:t>
      </w:r>
      <w:r>
        <w:t xml:space="preserve"> </w:t>
      </w:r>
      <w:r w:rsidRPr="009C19B5">
        <w:t>support small grants for regions</w:t>
      </w:r>
      <w:r>
        <w:t xml:space="preserve"> </w:t>
      </w:r>
      <w:r w:rsidRPr="009C19B5">
        <w:t>to take forward tangible actions</w:t>
      </w:r>
      <w:r>
        <w:t xml:space="preserve"> </w:t>
      </w:r>
      <w:r w:rsidRPr="009C19B5">
        <w:t>identified in their plans</w:t>
      </w:r>
    </w:p>
    <w:p w14:paraId="076C16A2" w14:textId="77777777" w:rsidR="00CB0959" w:rsidRPr="00CB0959" w:rsidRDefault="008B7ECA" w:rsidP="009C19B5">
      <w:pPr>
        <w:pStyle w:val="Normalsmall"/>
        <w:spacing w:before="600"/>
      </w:pPr>
      <w:r>
        <w:rPr>
          <w:lang w:eastAsia="ja-JP"/>
        </w:rPr>
        <w:t>© Commonwealth of Australia 202</w:t>
      </w:r>
      <w:r w:rsidR="003A7101">
        <w:rPr>
          <w:lang w:eastAsia="ja-JP"/>
        </w:rPr>
        <w:t xml:space="preserve">1.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CB0959" w:rsidRPr="00CB0959" w:rsidSect="00F5789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2C50" w14:textId="77777777" w:rsidR="00230790" w:rsidRDefault="00230790">
      <w:pPr>
        <w:spacing w:after="0" w:line="240" w:lineRule="auto"/>
      </w:pPr>
      <w:r>
        <w:separator/>
      </w:r>
    </w:p>
  </w:endnote>
  <w:endnote w:type="continuationSeparator" w:id="0">
    <w:p w14:paraId="7398E41E" w14:textId="77777777" w:rsidR="00230790" w:rsidRDefault="0023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FAAE" w14:textId="77777777" w:rsidR="00A426CA" w:rsidRDefault="008B7ECA">
    <w:pPr>
      <w:pStyle w:val="Footer"/>
    </w:pPr>
    <w:r>
      <w:t>Department of Agriculture</w:t>
    </w:r>
    <w:r w:rsidR="009D22FA">
      <w:t xml:space="preserve">, </w:t>
    </w:r>
    <w:proofErr w:type="gramStart"/>
    <w:r w:rsidR="009D22FA">
      <w:t>Water</w:t>
    </w:r>
    <w:proofErr w:type="gramEnd"/>
    <w:r w:rsidR="009D22FA">
      <w:t xml:space="preserve"> and the Environment</w:t>
    </w:r>
  </w:p>
  <w:p w14:paraId="23EFBD8E" w14:textId="77777777" w:rsidR="00A426CA" w:rsidRDefault="008B7E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DE36" w14:textId="77777777" w:rsidR="00230790" w:rsidRDefault="00230790">
      <w:pPr>
        <w:spacing w:after="0" w:line="240" w:lineRule="auto"/>
      </w:pPr>
      <w:r>
        <w:separator/>
      </w:r>
    </w:p>
  </w:footnote>
  <w:footnote w:type="continuationSeparator" w:id="0">
    <w:p w14:paraId="20B1FD32" w14:textId="77777777" w:rsidR="00230790" w:rsidRDefault="0023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4CCC" w14:textId="77777777" w:rsidR="00A426CA" w:rsidRPr="00A27646" w:rsidRDefault="008B7ECA" w:rsidP="00A27646">
    <w:pPr>
      <w:pStyle w:val="Header"/>
    </w:pPr>
    <w:r w:rsidRPr="00A27646">
      <w:rPr>
        <w:lang w:eastAsia="ja-JP"/>
      </w:rPr>
      <w:t>Regional Drought Resilience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145" w14:textId="77777777" w:rsidR="00A426CA" w:rsidRDefault="008B7ECA" w:rsidP="00CB0959">
    <w:pPr>
      <w:pStyle w:val="Header"/>
      <w:tabs>
        <w:tab w:val="clear" w:pos="4820"/>
        <w:tab w:val="left" w:pos="6435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327625EA" wp14:editId="79993D6C">
          <wp:simplePos x="0" y="0"/>
          <wp:positionH relativeFrom="page">
            <wp:posOffset>7571</wp:posOffset>
          </wp:positionH>
          <wp:positionV relativeFrom="paragraph">
            <wp:posOffset>-347980</wp:posOffset>
          </wp:positionV>
          <wp:extent cx="7615387" cy="2177140"/>
          <wp:effectExtent l="0" t="0" r="508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699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9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C5CCCECC"/>
    <w:lvl w:ilvl="0" w:tplc="25CEA4F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532EC9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B84DEE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A48BCE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75E9DA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8EC5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FFCAF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3089C4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DDA00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E0560262"/>
    <w:lvl w:ilvl="0" w:tplc="29D09AA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2B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E4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06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48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F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C6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4C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8D5"/>
    <w:multiLevelType w:val="multilevel"/>
    <w:tmpl w:val="BE78A4F8"/>
    <w:numStyleLink w:val="Numberlist"/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F636C43"/>
    <w:multiLevelType w:val="multilevel"/>
    <w:tmpl w:val="0B2A9BB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DE2E4A"/>
    <w:multiLevelType w:val="hybridMultilevel"/>
    <w:tmpl w:val="B7086130"/>
    <w:lvl w:ilvl="0" w:tplc="1F58CEC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AD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D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2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3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CA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A4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E0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8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71FA540E"/>
    <w:multiLevelType w:val="multilevel"/>
    <w:tmpl w:val="E7D8F26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68A5547"/>
    <w:multiLevelType w:val="multilevel"/>
    <w:tmpl w:val="A3C2E87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35A69"/>
    <w:rsid w:val="0003628D"/>
    <w:rsid w:val="00072401"/>
    <w:rsid w:val="00073474"/>
    <w:rsid w:val="000827FC"/>
    <w:rsid w:val="0008524B"/>
    <w:rsid w:val="00090140"/>
    <w:rsid w:val="0009493E"/>
    <w:rsid w:val="000A5086"/>
    <w:rsid w:val="000B4676"/>
    <w:rsid w:val="000B6253"/>
    <w:rsid w:val="000C7DAF"/>
    <w:rsid w:val="000D1523"/>
    <w:rsid w:val="000D7FAB"/>
    <w:rsid w:val="000E3896"/>
    <w:rsid w:val="000E42C6"/>
    <w:rsid w:val="000F7AA6"/>
    <w:rsid w:val="00103833"/>
    <w:rsid w:val="001120F0"/>
    <w:rsid w:val="00113D81"/>
    <w:rsid w:val="0011753F"/>
    <w:rsid w:val="00117FFC"/>
    <w:rsid w:val="001243CC"/>
    <w:rsid w:val="00133777"/>
    <w:rsid w:val="001346CE"/>
    <w:rsid w:val="00136632"/>
    <w:rsid w:val="001463CF"/>
    <w:rsid w:val="00170AA6"/>
    <w:rsid w:val="001748C2"/>
    <w:rsid w:val="00183CC4"/>
    <w:rsid w:val="00184941"/>
    <w:rsid w:val="00197582"/>
    <w:rsid w:val="001A04C3"/>
    <w:rsid w:val="001A36BC"/>
    <w:rsid w:val="001A5B28"/>
    <w:rsid w:val="001A5C88"/>
    <w:rsid w:val="001B12A5"/>
    <w:rsid w:val="00211EDC"/>
    <w:rsid w:val="002127CB"/>
    <w:rsid w:val="002266D2"/>
    <w:rsid w:val="0022779D"/>
    <w:rsid w:val="00230790"/>
    <w:rsid w:val="0023462B"/>
    <w:rsid w:val="0023700A"/>
    <w:rsid w:val="0024109D"/>
    <w:rsid w:val="00244708"/>
    <w:rsid w:val="0025523A"/>
    <w:rsid w:val="002566C4"/>
    <w:rsid w:val="00263E52"/>
    <w:rsid w:val="002673CB"/>
    <w:rsid w:val="00273BEB"/>
    <w:rsid w:val="00276FDD"/>
    <w:rsid w:val="00281438"/>
    <w:rsid w:val="00287919"/>
    <w:rsid w:val="002913D3"/>
    <w:rsid w:val="002A1506"/>
    <w:rsid w:val="002A2011"/>
    <w:rsid w:val="002B0604"/>
    <w:rsid w:val="002C3757"/>
    <w:rsid w:val="002C6B67"/>
    <w:rsid w:val="002D0964"/>
    <w:rsid w:val="002E0D53"/>
    <w:rsid w:val="002F45D1"/>
    <w:rsid w:val="00311061"/>
    <w:rsid w:val="00314670"/>
    <w:rsid w:val="003222A1"/>
    <w:rsid w:val="0032236A"/>
    <w:rsid w:val="003316B5"/>
    <w:rsid w:val="00332AD2"/>
    <w:rsid w:val="003358B3"/>
    <w:rsid w:val="003426CA"/>
    <w:rsid w:val="00376915"/>
    <w:rsid w:val="00380F94"/>
    <w:rsid w:val="0038179A"/>
    <w:rsid w:val="00381D28"/>
    <w:rsid w:val="003A5336"/>
    <w:rsid w:val="003A7101"/>
    <w:rsid w:val="003A7402"/>
    <w:rsid w:val="003B2F1B"/>
    <w:rsid w:val="003B6E9D"/>
    <w:rsid w:val="003C19AD"/>
    <w:rsid w:val="003D3FC6"/>
    <w:rsid w:val="003D5108"/>
    <w:rsid w:val="003E3268"/>
    <w:rsid w:val="003E4AE0"/>
    <w:rsid w:val="003F6238"/>
    <w:rsid w:val="00401853"/>
    <w:rsid w:val="00404E2C"/>
    <w:rsid w:val="004127B1"/>
    <w:rsid w:val="0041324D"/>
    <w:rsid w:val="00431810"/>
    <w:rsid w:val="00436327"/>
    <w:rsid w:val="004440A2"/>
    <w:rsid w:val="0044478D"/>
    <w:rsid w:val="00452571"/>
    <w:rsid w:val="00460330"/>
    <w:rsid w:val="0047657A"/>
    <w:rsid w:val="00483F39"/>
    <w:rsid w:val="00490B0E"/>
    <w:rsid w:val="004A5D9E"/>
    <w:rsid w:val="004A7CE7"/>
    <w:rsid w:val="004C59C0"/>
    <w:rsid w:val="004D4855"/>
    <w:rsid w:val="004E373C"/>
    <w:rsid w:val="004F3922"/>
    <w:rsid w:val="004F5D7C"/>
    <w:rsid w:val="005212F1"/>
    <w:rsid w:val="005421E3"/>
    <w:rsid w:val="00543880"/>
    <w:rsid w:val="00557C2F"/>
    <w:rsid w:val="00561520"/>
    <w:rsid w:val="005637AA"/>
    <w:rsid w:val="005829BD"/>
    <w:rsid w:val="005A2F43"/>
    <w:rsid w:val="005A3C1E"/>
    <w:rsid w:val="005A6031"/>
    <w:rsid w:val="005B4C66"/>
    <w:rsid w:val="005D2A5F"/>
    <w:rsid w:val="005F0E39"/>
    <w:rsid w:val="00604FBE"/>
    <w:rsid w:val="00614D6D"/>
    <w:rsid w:val="006359D6"/>
    <w:rsid w:val="00646794"/>
    <w:rsid w:val="00652B1A"/>
    <w:rsid w:val="0065443E"/>
    <w:rsid w:val="006629BA"/>
    <w:rsid w:val="00664F81"/>
    <w:rsid w:val="006673F3"/>
    <w:rsid w:val="006740AD"/>
    <w:rsid w:val="00691458"/>
    <w:rsid w:val="006915A4"/>
    <w:rsid w:val="006A028D"/>
    <w:rsid w:val="006B44C5"/>
    <w:rsid w:val="006B5CA8"/>
    <w:rsid w:val="006C3A62"/>
    <w:rsid w:val="006E7B86"/>
    <w:rsid w:val="006F53B9"/>
    <w:rsid w:val="00712154"/>
    <w:rsid w:val="0072128B"/>
    <w:rsid w:val="007266C5"/>
    <w:rsid w:val="007302BD"/>
    <w:rsid w:val="0073213A"/>
    <w:rsid w:val="00734A27"/>
    <w:rsid w:val="00777512"/>
    <w:rsid w:val="00787EC0"/>
    <w:rsid w:val="00792ABF"/>
    <w:rsid w:val="007A3C80"/>
    <w:rsid w:val="007A764E"/>
    <w:rsid w:val="007E0FA9"/>
    <w:rsid w:val="008001AE"/>
    <w:rsid w:val="00814810"/>
    <w:rsid w:val="008266E2"/>
    <w:rsid w:val="00831BDA"/>
    <w:rsid w:val="00835B27"/>
    <w:rsid w:val="008455DD"/>
    <w:rsid w:val="00863E90"/>
    <w:rsid w:val="008656A9"/>
    <w:rsid w:val="00865BB8"/>
    <w:rsid w:val="008721BE"/>
    <w:rsid w:val="008862C5"/>
    <w:rsid w:val="008A0F4E"/>
    <w:rsid w:val="008A198B"/>
    <w:rsid w:val="008A491E"/>
    <w:rsid w:val="008B5807"/>
    <w:rsid w:val="008B5AB4"/>
    <w:rsid w:val="008B7ECA"/>
    <w:rsid w:val="008C52B8"/>
    <w:rsid w:val="008C7885"/>
    <w:rsid w:val="008D5920"/>
    <w:rsid w:val="008D75B7"/>
    <w:rsid w:val="0090306D"/>
    <w:rsid w:val="00904021"/>
    <w:rsid w:val="00932632"/>
    <w:rsid w:val="00944945"/>
    <w:rsid w:val="00963683"/>
    <w:rsid w:val="0097263B"/>
    <w:rsid w:val="00981741"/>
    <w:rsid w:val="009A06BE"/>
    <w:rsid w:val="009C19B5"/>
    <w:rsid w:val="009C68CE"/>
    <w:rsid w:val="009D22FA"/>
    <w:rsid w:val="009E540B"/>
    <w:rsid w:val="00A146C3"/>
    <w:rsid w:val="00A226BE"/>
    <w:rsid w:val="00A23EA1"/>
    <w:rsid w:val="00A271E4"/>
    <w:rsid w:val="00A27562"/>
    <w:rsid w:val="00A27646"/>
    <w:rsid w:val="00A3058D"/>
    <w:rsid w:val="00A375AA"/>
    <w:rsid w:val="00A426CA"/>
    <w:rsid w:val="00A47310"/>
    <w:rsid w:val="00A50227"/>
    <w:rsid w:val="00A622E8"/>
    <w:rsid w:val="00A6580A"/>
    <w:rsid w:val="00A65A56"/>
    <w:rsid w:val="00A65A6B"/>
    <w:rsid w:val="00A72E76"/>
    <w:rsid w:val="00A74263"/>
    <w:rsid w:val="00A81E47"/>
    <w:rsid w:val="00A846AC"/>
    <w:rsid w:val="00A977BD"/>
    <w:rsid w:val="00AB4648"/>
    <w:rsid w:val="00AD00CB"/>
    <w:rsid w:val="00AE4720"/>
    <w:rsid w:val="00AE7BE2"/>
    <w:rsid w:val="00AF3ACD"/>
    <w:rsid w:val="00B033C1"/>
    <w:rsid w:val="00B034F2"/>
    <w:rsid w:val="00B06340"/>
    <w:rsid w:val="00B22C7E"/>
    <w:rsid w:val="00B2422B"/>
    <w:rsid w:val="00B30398"/>
    <w:rsid w:val="00B307E9"/>
    <w:rsid w:val="00B405F5"/>
    <w:rsid w:val="00B428A3"/>
    <w:rsid w:val="00B52FB0"/>
    <w:rsid w:val="00B57C9F"/>
    <w:rsid w:val="00BA7D7D"/>
    <w:rsid w:val="00BC0DAC"/>
    <w:rsid w:val="00BC0EFB"/>
    <w:rsid w:val="00BE10F4"/>
    <w:rsid w:val="00BF043C"/>
    <w:rsid w:val="00C05A51"/>
    <w:rsid w:val="00C06DF4"/>
    <w:rsid w:val="00C15F16"/>
    <w:rsid w:val="00C17CD0"/>
    <w:rsid w:val="00C17FB4"/>
    <w:rsid w:val="00C25F22"/>
    <w:rsid w:val="00C2665A"/>
    <w:rsid w:val="00C3226C"/>
    <w:rsid w:val="00C4705E"/>
    <w:rsid w:val="00C576F9"/>
    <w:rsid w:val="00C624F4"/>
    <w:rsid w:val="00C91E1F"/>
    <w:rsid w:val="00C93340"/>
    <w:rsid w:val="00C97511"/>
    <w:rsid w:val="00CA0198"/>
    <w:rsid w:val="00CA412F"/>
    <w:rsid w:val="00CB0959"/>
    <w:rsid w:val="00CC4E81"/>
    <w:rsid w:val="00CE57A8"/>
    <w:rsid w:val="00CE6009"/>
    <w:rsid w:val="00CF1799"/>
    <w:rsid w:val="00CF5710"/>
    <w:rsid w:val="00D01803"/>
    <w:rsid w:val="00D03CA1"/>
    <w:rsid w:val="00D16AD3"/>
    <w:rsid w:val="00D228A1"/>
    <w:rsid w:val="00D33B8B"/>
    <w:rsid w:val="00D43A78"/>
    <w:rsid w:val="00D55837"/>
    <w:rsid w:val="00D56EDF"/>
    <w:rsid w:val="00D57BD9"/>
    <w:rsid w:val="00D72600"/>
    <w:rsid w:val="00D80A2B"/>
    <w:rsid w:val="00D81D90"/>
    <w:rsid w:val="00D835AB"/>
    <w:rsid w:val="00D92433"/>
    <w:rsid w:val="00DA7481"/>
    <w:rsid w:val="00DB322E"/>
    <w:rsid w:val="00DB3C1A"/>
    <w:rsid w:val="00DB53F0"/>
    <w:rsid w:val="00DC1286"/>
    <w:rsid w:val="00DC64EF"/>
    <w:rsid w:val="00DD1564"/>
    <w:rsid w:val="00DD3A93"/>
    <w:rsid w:val="00DD759A"/>
    <w:rsid w:val="00DE2098"/>
    <w:rsid w:val="00E13A9D"/>
    <w:rsid w:val="00E15521"/>
    <w:rsid w:val="00E20AAF"/>
    <w:rsid w:val="00E32C0F"/>
    <w:rsid w:val="00E35408"/>
    <w:rsid w:val="00E3702F"/>
    <w:rsid w:val="00E42B2B"/>
    <w:rsid w:val="00E43BC2"/>
    <w:rsid w:val="00E46DAB"/>
    <w:rsid w:val="00E500FD"/>
    <w:rsid w:val="00E667A3"/>
    <w:rsid w:val="00E72098"/>
    <w:rsid w:val="00E8326D"/>
    <w:rsid w:val="00E86CAB"/>
    <w:rsid w:val="00E92361"/>
    <w:rsid w:val="00E94FEB"/>
    <w:rsid w:val="00EA7818"/>
    <w:rsid w:val="00EB2A7C"/>
    <w:rsid w:val="00EB3D16"/>
    <w:rsid w:val="00EB6985"/>
    <w:rsid w:val="00EC237C"/>
    <w:rsid w:val="00ED46AD"/>
    <w:rsid w:val="00ED5362"/>
    <w:rsid w:val="00EE1C19"/>
    <w:rsid w:val="00EE6778"/>
    <w:rsid w:val="00EF35A3"/>
    <w:rsid w:val="00F06F23"/>
    <w:rsid w:val="00F1032F"/>
    <w:rsid w:val="00F11CF0"/>
    <w:rsid w:val="00F205BA"/>
    <w:rsid w:val="00F20790"/>
    <w:rsid w:val="00F2515C"/>
    <w:rsid w:val="00F2525B"/>
    <w:rsid w:val="00F35FA6"/>
    <w:rsid w:val="00F55C3F"/>
    <w:rsid w:val="00F5789C"/>
    <w:rsid w:val="00F65048"/>
    <w:rsid w:val="00F678BE"/>
    <w:rsid w:val="00F7563B"/>
    <w:rsid w:val="00FB5D4F"/>
    <w:rsid w:val="00FB7B8A"/>
    <w:rsid w:val="00FC0C37"/>
    <w:rsid w:val="00FC0C4A"/>
    <w:rsid w:val="00FC0E79"/>
    <w:rsid w:val="00FC12FC"/>
    <w:rsid w:val="00FC2BEB"/>
    <w:rsid w:val="00FC4FD2"/>
    <w:rsid w:val="00FD58F5"/>
    <w:rsid w:val="00FD6A02"/>
    <w:rsid w:val="00FE14A6"/>
    <w:rsid w:val="00FE710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EFA4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aliases w:val="Bulletr List Paragraph,CAB - List Bullet,FooterText,L,List Bullet Cab,List Paragraph1,List Paragraph11,List Paragraph2,List Paragraph21,Listeafsnit1,NFP GP Bulleted List,Paragraphe de liste1,Parágrafo da Lista1,Recommendation,numbered,列"/>
    <w:basedOn w:val="Normal"/>
    <w:link w:val="ListParagraphChar"/>
    <w:uiPriority w:val="99"/>
    <w:qFormat/>
    <w:locked/>
    <w:rsid w:val="000E42C6"/>
    <w:pPr>
      <w:ind w:left="720"/>
      <w:contextualSpacing/>
    </w:pPr>
  </w:style>
  <w:style w:type="character" w:customStyle="1" w:styleId="ListParagraphChar">
    <w:name w:val="List Paragraph Char"/>
    <w:aliases w:val="Bulletr List Paragraph Char,CAB - List Bullet Char,FooterText Char,L Char,List Bullet Cab Char,List Paragraph1 Char,List Paragraph11 Char,List Paragraph2 Char,List Paragraph21 Char,Listeafsnit1 Char,NFP GP Bulleted List Char,列 Char"/>
    <w:basedOn w:val="DefaultParagraphFont"/>
    <w:link w:val="ListParagraph"/>
    <w:uiPriority w:val="99"/>
    <w:qFormat/>
    <w:rsid w:val="00CB0959"/>
    <w:rPr>
      <w:rFonts w:asciiTheme="majorHAnsi" w:eastAsiaTheme="minorHAnsi" w:hAnsiTheme="maj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C7135-2902-4902-B417-F3B40B5F4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Regional Drought Resilience Planning Program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Regional Drought Resilience Planning Program</dc:title>
  <dc:creator>Department of Agriculture, Water and the Environment</dc:creator>
  <cp:lastModifiedBy>Ratcliffe, Stephen</cp:lastModifiedBy>
  <cp:revision>2</cp:revision>
  <cp:lastPrinted>1899-12-31T13:00:00Z</cp:lastPrinted>
  <dcterms:created xsi:type="dcterms:W3CDTF">2021-06-27T23:41:00Z</dcterms:created>
  <dcterms:modified xsi:type="dcterms:W3CDTF">2021-06-27T23:41:00Z</dcterms:modified>
</cp:coreProperties>
</file>