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2672D" w14:textId="5B31058B" w:rsidR="00B84AE9" w:rsidRDefault="001762DA" w:rsidP="00AB53EE">
      <w:pPr>
        <w:pStyle w:val="Heading1"/>
      </w:pPr>
      <w:r>
        <w:t>Agriculture</w:t>
      </w:r>
      <w:r w:rsidR="009438D4">
        <w:t xml:space="preserve"> </w:t>
      </w:r>
      <w:r>
        <w:t>inputs</w:t>
      </w:r>
      <w:r w:rsidR="009438D4">
        <w:t xml:space="preserve"> outlook </w:t>
      </w:r>
      <w:r w:rsidR="00AB53EE">
        <w:t>–</w:t>
      </w:r>
      <w:r w:rsidR="00B84AE9" w:rsidRPr="00B84AE9">
        <w:t xml:space="preserve"> </w:t>
      </w:r>
      <w:r>
        <w:t xml:space="preserve">February </w:t>
      </w:r>
      <w:r w:rsidR="00B84AE9" w:rsidRPr="00B84AE9">
        <w:t>202</w:t>
      </w:r>
      <w:r w:rsidR="00E508BE">
        <w:t>2</w:t>
      </w:r>
    </w:p>
    <w:p w14:paraId="46429F6D" w14:textId="77777777" w:rsidR="003335FE" w:rsidRDefault="003335FE" w:rsidP="003335FE">
      <w:pPr>
        <w:pStyle w:val="Heading2"/>
        <w:numPr>
          <w:ilvl w:val="0"/>
          <w:numId w:val="0"/>
        </w:numPr>
        <w:jc w:val="both"/>
        <w:rPr>
          <w:rFonts w:ascii="Cambria" w:eastAsiaTheme="minorHAnsi" w:hAnsi="Cambria"/>
          <w:bCs w:val="0"/>
          <w:color w:val="auto"/>
          <w:sz w:val="22"/>
          <w:szCs w:val="22"/>
          <w:lang w:eastAsia="en-US"/>
        </w:rPr>
      </w:pPr>
      <w:r w:rsidRPr="003335FE">
        <w:rPr>
          <w:rFonts w:ascii="Cambria" w:eastAsiaTheme="minorHAnsi" w:hAnsi="Cambria"/>
          <w:bCs w:val="0"/>
          <w:color w:val="auto"/>
          <w:sz w:val="22"/>
          <w:szCs w:val="22"/>
          <w:lang w:eastAsia="en-US"/>
        </w:rPr>
        <w:t>Elevated global energy prices have increased farm production costs for direct and indirect inputs, particularly fertilisers. Energy prices and input costs are expected to remain high throughout 2022 and 2023</w:t>
      </w:r>
    </w:p>
    <w:p w14:paraId="7697F9F7" w14:textId="59B9C18A" w:rsidR="00B84AE9" w:rsidRPr="00B84AE9" w:rsidRDefault="00C72F35" w:rsidP="00472717">
      <w:pPr>
        <w:pStyle w:val="Heading2"/>
        <w:numPr>
          <w:ilvl w:val="0"/>
          <w:numId w:val="0"/>
        </w:numPr>
      </w:pPr>
      <w:r>
        <w:t>Rising energy costs</w:t>
      </w:r>
    </w:p>
    <w:p w14:paraId="0952DB6E" w14:textId="77777777" w:rsidR="003335FE" w:rsidRDefault="003335FE" w:rsidP="003335FE">
      <w:pPr>
        <w:pStyle w:val="ListBullet"/>
        <w:jc w:val="both"/>
      </w:pPr>
      <w:r w:rsidRPr="003335FE">
        <w:t xml:space="preserve">A sharp rebound in global energy demand, geopolitical </w:t>
      </w:r>
      <w:proofErr w:type="gramStart"/>
      <w:r w:rsidRPr="003335FE">
        <w:t>developments</w:t>
      </w:r>
      <w:proofErr w:type="gramEnd"/>
      <w:r w:rsidRPr="003335FE">
        <w:t xml:space="preserve"> and a lack of investment in new oil and gas supplies have caused a steep rise in energy prices. </w:t>
      </w:r>
    </w:p>
    <w:p w14:paraId="681566EF" w14:textId="77777777" w:rsidR="00493ED3" w:rsidRDefault="00493ED3" w:rsidP="00CA1D7F">
      <w:pPr>
        <w:pStyle w:val="ListParagraph"/>
        <w:numPr>
          <w:ilvl w:val="0"/>
          <w:numId w:val="41"/>
        </w:numPr>
        <w:jc w:val="both"/>
      </w:pPr>
      <w:r w:rsidRPr="00493ED3">
        <w:t>Between 1 July 2020 and 1 March 2022, oil prices rose by 158% (US$40/barrel to US$103/barrel), coal prices by 530% (US$50/tonne to US$315/tonne) and natural gas by 165% (US$1.67/MMBtu to US$4.57/MMBtu).</w:t>
      </w:r>
    </w:p>
    <w:p w14:paraId="4B153BF3" w14:textId="64CEAED1" w:rsidR="00CA1D7F" w:rsidRDefault="00CA1D7F" w:rsidP="00CA1D7F">
      <w:pPr>
        <w:pStyle w:val="ListParagraph"/>
        <w:numPr>
          <w:ilvl w:val="0"/>
          <w:numId w:val="41"/>
        </w:numPr>
        <w:jc w:val="both"/>
      </w:pPr>
      <w:r>
        <w:t>It is likely that escalation of the Russia-Ukraine crisis will lead to further energy price increases.</w:t>
      </w:r>
    </w:p>
    <w:p w14:paraId="049E5165" w14:textId="1CBAF351" w:rsidR="003335FE" w:rsidRDefault="003335FE" w:rsidP="00CA1D7F">
      <w:pPr>
        <w:pStyle w:val="ListBullet"/>
      </w:pPr>
      <w:r w:rsidRPr="003335FE">
        <w:t xml:space="preserve">Agricultural production is energy intensive, either directly through farm operations such as tilling or irrigation, or indirectly through inputs such as fertilisers, </w:t>
      </w:r>
      <w:proofErr w:type="gramStart"/>
      <w:r w:rsidRPr="003335FE">
        <w:t>herbicides</w:t>
      </w:r>
      <w:proofErr w:type="gramEnd"/>
      <w:r w:rsidRPr="003335FE">
        <w:t xml:space="preserve"> and pesticides. This means production costs and farm profits are sensitive to changes in energy prices. </w:t>
      </w:r>
    </w:p>
    <w:p w14:paraId="21E8174D" w14:textId="1EF0529F" w:rsidR="003335FE" w:rsidRDefault="003335FE" w:rsidP="003335FE">
      <w:pPr>
        <w:pStyle w:val="ListBullet"/>
        <w:jc w:val="both"/>
      </w:pPr>
      <w:r w:rsidRPr="003335FE">
        <w:t xml:space="preserve">The effects of high energy prices vary across commodities. Crop production is typically more energy intensive than livestock production due to higher fertiliser consumption and more mechanised farming operations. For crops like oats, wheat, and barley, energy and fertiliser make up approximately half of total operating costs. </w:t>
      </w:r>
    </w:p>
    <w:p w14:paraId="0E8BABC5" w14:textId="490D64FD" w:rsidR="00A33F1C" w:rsidRPr="00EC358A" w:rsidRDefault="00A33F1C" w:rsidP="00BF62CF">
      <w:pPr>
        <w:pStyle w:val="ListBullet"/>
        <w:numPr>
          <w:ilvl w:val="0"/>
          <w:numId w:val="0"/>
        </w:numPr>
      </w:pPr>
      <w:r w:rsidRPr="00EC358A">
        <w:rPr>
          <w:b/>
          <w:bCs/>
        </w:rPr>
        <w:t xml:space="preserve">Figure 1 </w:t>
      </w:r>
      <w:r w:rsidR="000C28C1" w:rsidRPr="00EC358A">
        <w:rPr>
          <w:b/>
          <w:bCs/>
        </w:rPr>
        <w:t xml:space="preserve">Spot </w:t>
      </w:r>
      <w:r w:rsidR="00145E28" w:rsidRPr="00EC358A">
        <w:rPr>
          <w:b/>
          <w:bCs/>
        </w:rPr>
        <w:t xml:space="preserve">price energy index </w:t>
      </w:r>
      <w:r w:rsidRPr="00EC358A">
        <w:rPr>
          <w:b/>
          <w:bCs/>
        </w:rPr>
        <w:t>(</w:t>
      </w:r>
      <w:r w:rsidR="00EB3B3B">
        <w:rPr>
          <w:b/>
          <w:bCs/>
        </w:rPr>
        <w:t xml:space="preserve">1 </w:t>
      </w:r>
      <w:r w:rsidRPr="00EC358A">
        <w:rPr>
          <w:b/>
          <w:bCs/>
        </w:rPr>
        <w:t xml:space="preserve">January </w:t>
      </w:r>
      <w:r w:rsidR="00145E28" w:rsidRPr="00EC358A">
        <w:rPr>
          <w:b/>
          <w:bCs/>
        </w:rPr>
        <w:t>202</w:t>
      </w:r>
      <w:r w:rsidR="004D57C7">
        <w:rPr>
          <w:b/>
          <w:bCs/>
        </w:rPr>
        <w:t>0</w:t>
      </w:r>
      <w:r w:rsidRPr="00EC358A">
        <w:rPr>
          <w:b/>
          <w:bCs/>
        </w:rPr>
        <w:t xml:space="preserve"> to </w:t>
      </w:r>
      <w:r w:rsidR="00EB3B3B">
        <w:rPr>
          <w:b/>
          <w:bCs/>
        </w:rPr>
        <w:t>18 February</w:t>
      </w:r>
      <w:r w:rsidRPr="00EC358A">
        <w:rPr>
          <w:b/>
          <w:bCs/>
        </w:rPr>
        <w:t xml:space="preserve"> 2022)</w:t>
      </w:r>
    </w:p>
    <w:p w14:paraId="1AEE217B" w14:textId="70180E47" w:rsidR="00A33F1C" w:rsidRPr="00A33F1C" w:rsidRDefault="00205889" w:rsidP="00CF4CDD">
      <w:pPr>
        <w:pStyle w:val="ListBullet"/>
        <w:numPr>
          <w:ilvl w:val="0"/>
          <w:numId w:val="0"/>
        </w:numPr>
        <w:rPr>
          <w:b/>
          <w:bCs/>
        </w:rPr>
      </w:pPr>
      <w:r>
        <w:rPr>
          <w:b/>
          <w:bCs/>
          <w:noProof/>
        </w:rPr>
        <w:drawing>
          <wp:inline distT="0" distB="0" distL="0" distR="0" wp14:anchorId="65B36DA1" wp14:editId="60B41124">
            <wp:extent cx="5760233" cy="3267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6360" cy="3276604"/>
                    </a:xfrm>
                    <a:prstGeom prst="rect">
                      <a:avLst/>
                    </a:prstGeom>
                    <a:noFill/>
                  </pic:spPr>
                </pic:pic>
              </a:graphicData>
            </a:graphic>
          </wp:inline>
        </w:drawing>
      </w:r>
    </w:p>
    <w:p w14:paraId="55C15677" w14:textId="02228FC3" w:rsidR="00045981" w:rsidRPr="00B84AE9" w:rsidRDefault="00BF62CF" w:rsidP="00045981">
      <w:pPr>
        <w:pStyle w:val="Heading2"/>
        <w:numPr>
          <w:ilvl w:val="0"/>
          <w:numId w:val="0"/>
        </w:numPr>
        <w:ind w:left="720" w:hanging="720"/>
      </w:pPr>
      <w:r>
        <w:lastRenderedPageBreak/>
        <w:t>Fertiliser overview</w:t>
      </w:r>
    </w:p>
    <w:p w14:paraId="1F7B11EC" w14:textId="6C406CB1" w:rsidR="00BF62CF" w:rsidRDefault="003335FE" w:rsidP="003335FE">
      <w:pPr>
        <w:pStyle w:val="ListBullet"/>
        <w:jc w:val="both"/>
      </w:pPr>
      <w:r w:rsidRPr="003335FE">
        <w:t>Rising global energy prices have caused fertiliser prices to substantially increase. For example, the Free on Board (FOB) price of fertiliser imports into Australia have risen by 128%, from $380/tonne in January 2021 to $867/tonne in December 2021.  </w:t>
      </w:r>
    </w:p>
    <w:p w14:paraId="406ADE9B" w14:textId="19C34276" w:rsidR="003335FE" w:rsidRDefault="004F19D2" w:rsidP="003335FE">
      <w:pPr>
        <w:pStyle w:val="ListBullet2"/>
        <w:jc w:val="both"/>
      </w:pPr>
      <w:r>
        <w:t>Pr</w:t>
      </w:r>
      <w:r w:rsidR="003335FE" w:rsidRPr="003335FE">
        <w:t>ices have continued to rise in January and February 2022.</w:t>
      </w:r>
    </w:p>
    <w:p w14:paraId="06C9A0C1" w14:textId="77777777" w:rsidR="003335FE" w:rsidRDefault="003335FE" w:rsidP="003335FE">
      <w:pPr>
        <w:pStyle w:val="ListBullet"/>
        <w:jc w:val="both"/>
      </w:pPr>
      <w:r w:rsidRPr="003335FE">
        <w:t>In 2021, Russia and China introduced export restrictions on fertiliser to secure domestic supply. This has further contributed to global fertiliser price rises.</w:t>
      </w:r>
    </w:p>
    <w:p w14:paraId="5A63E0F6" w14:textId="77777777" w:rsidR="003335FE" w:rsidRDefault="003335FE" w:rsidP="003335FE">
      <w:pPr>
        <w:pStyle w:val="ListBullet"/>
        <w:jc w:val="both"/>
      </w:pPr>
      <w:r w:rsidRPr="003335FE">
        <w:t>Good seasonal conditions, leading to increased plantings, and increased prices caused the value of Australian fertiliser imports to rise from $1.65 billion in 2017 to $3.75 billion in 2021.</w:t>
      </w:r>
    </w:p>
    <w:p w14:paraId="7AE93A04" w14:textId="73BDFB70" w:rsidR="00A33F1C" w:rsidRPr="00CF4CDD" w:rsidRDefault="00A33F1C" w:rsidP="00CF4CDD">
      <w:pPr>
        <w:pStyle w:val="ListBullet"/>
        <w:numPr>
          <w:ilvl w:val="0"/>
          <w:numId w:val="0"/>
        </w:numPr>
        <w:rPr>
          <w:b/>
          <w:bCs/>
        </w:rPr>
      </w:pPr>
      <w:r w:rsidRPr="00A33F1C">
        <w:rPr>
          <w:b/>
          <w:bCs/>
        </w:rPr>
        <w:t xml:space="preserve">Figure </w:t>
      </w:r>
      <w:r>
        <w:rPr>
          <w:b/>
          <w:bCs/>
        </w:rPr>
        <w:t>2</w:t>
      </w:r>
      <w:r w:rsidRPr="00A33F1C">
        <w:rPr>
          <w:b/>
          <w:bCs/>
        </w:rPr>
        <w:t xml:space="preserve"> </w:t>
      </w:r>
      <w:r>
        <w:rPr>
          <w:b/>
          <w:bCs/>
        </w:rPr>
        <w:t xml:space="preserve">Australian fertiliser </w:t>
      </w:r>
      <w:r w:rsidR="005107E8">
        <w:rPr>
          <w:b/>
          <w:bCs/>
        </w:rPr>
        <w:t>FOB</w:t>
      </w:r>
      <w:r>
        <w:rPr>
          <w:b/>
          <w:bCs/>
        </w:rPr>
        <w:t xml:space="preserve"> imports price (January 2021 to </w:t>
      </w:r>
      <w:r w:rsidR="00BF62CF">
        <w:rPr>
          <w:b/>
          <w:bCs/>
        </w:rPr>
        <w:t>December</w:t>
      </w:r>
      <w:r>
        <w:rPr>
          <w:b/>
          <w:bCs/>
        </w:rPr>
        <w:t xml:space="preserve"> 2021) </w:t>
      </w:r>
      <w:r w:rsidR="00CF4CDD">
        <w:rPr>
          <w:noProof/>
        </w:rPr>
        <w:drawing>
          <wp:inline distT="0" distB="0" distL="0" distR="0" wp14:anchorId="50A1DFE7" wp14:editId="411C278A">
            <wp:extent cx="5742940" cy="2346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940" cy="2346960"/>
                    </a:xfrm>
                    <a:prstGeom prst="rect">
                      <a:avLst/>
                    </a:prstGeom>
                    <a:noFill/>
                  </pic:spPr>
                </pic:pic>
              </a:graphicData>
            </a:graphic>
          </wp:inline>
        </w:drawing>
      </w:r>
    </w:p>
    <w:p w14:paraId="0C2F80F2" w14:textId="13D2F965" w:rsidR="00AE4F27" w:rsidRPr="00B84AE9" w:rsidRDefault="00AE4F27" w:rsidP="00AE4F27">
      <w:pPr>
        <w:pStyle w:val="Heading2"/>
        <w:numPr>
          <w:ilvl w:val="0"/>
          <w:numId w:val="0"/>
        </w:numPr>
        <w:ind w:left="720" w:hanging="720"/>
      </w:pPr>
      <w:r>
        <w:t>Outlook for inputs</w:t>
      </w:r>
    </w:p>
    <w:p w14:paraId="5EDEAC38" w14:textId="77777777" w:rsidR="003335FE" w:rsidRDefault="003335FE" w:rsidP="00CF4CDD">
      <w:pPr>
        <w:pStyle w:val="ListBullet"/>
        <w:jc w:val="both"/>
      </w:pPr>
      <w:r w:rsidRPr="003335FE">
        <w:t>The United States Energy Information Administration expects energy prices to remain at current levels throughout 2022, before falling slightly in 2023.</w:t>
      </w:r>
    </w:p>
    <w:p w14:paraId="141E0C51" w14:textId="77777777" w:rsidR="003335FE" w:rsidRDefault="003335FE" w:rsidP="00BF62CF">
      <w:pPr>
        <w:pStyle w:val="ListBullet"/>
        <w:jc w:val="both"/>
      </w:pPr>
      <w:r w:rsidRPr="003335FE">
        <w:t xml:space="preserve">Farmers around the world are experiencing higher input costs. If sustained, this will affect farm profitability and place upward pressure on international food prices. </w:t>
      </w:r>
    </w:p>
    <w:p w14:paraId="5376FA8D" w14:textId="77777777" w:rsidR="003335FE" w:rsidRDefault="003335FE" w:rsidP="00BF62CF">
      <w:pPr>
        <w:pStyle w:val="ListBullet"/>
        <w:jc w:val="both"/>
      </w:pPr>
      <w:r w:rsidRPr="003335FE">
        <w:t xml:space="preserve">Elevated fertiliser costs will lead to reduced fertiliser use and the adoption of variable rate technology to maximise fertiliser productivity. </w:t>
      </w:r>
    </w:p>
    <w:p w14:paraId="4071D3DB" w14:textId="7E281872" w:rsidR="00DD1323" w:rsidRPr="00BA4D93" w:rsidRDefault="003335FE" w:rsidP="003335FE">
      <w:pPr>
        <w:pStyle w:val="ListBullet"/>
        <w:jc w:val="both"/>
      </w:pPr>
      <w:r w:rsidRPr="003335FE">
        <w:t>The impact of higher input costs will be realised by Australian producers during the summer 2021-22 and winter 2022-23 cropping seasons.</w:t>
      </w:r>
    </w:p>
    <w:sectPr w:rsidR="00DD1323" w:rsidRPr="00BA4D93">
      <w:headerReference w:type="default" r:id="rId13"/>
      <w:footerReference w:type="default" r:id="rId14"/>
      <w:headerReference w:type="first" r:id="rId15"/>
      <w:footerReference w:type="first" r:id="rId16"/>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3D988" w14:textId="77777777" w:rsidR="00203BFC" w:rsidRDefault="00203BFC">
      <w:r>
        <w:separator/>
      </w:r>
    </w:p>
    <w:p w14:paraId="12CCE0E5" w14:textId="77777777" w:rsidR="00203BFC" w:rsidRDefault="00203BFC"/>
    <w:p w14:paraId="58DC644B" w14:textId="77777777" w:rsidR="00203BFC" w:rsidRDefault="00203BFC"/>
  </w:endnote>
  <w:endnote w:type="continuationSeparator" w:id="0">
    <w:p w14:paraId="1C66C4AF" w14:textId="77777777" w:rsidR="00203BFC" w:rsidRDefault="00203BFC">
      <w:r>
        <w:continuationSeparator/>
      </w:r>
    </w:p>
    <w:p w14:paraId="2D9439ED" w14:textId="77777777" w:rsidR="00203BFC" w:rsidRDefault="00203BFC"/>
    <w:p w14:paraId="2A7F1676" w14:textId="77777777" w:rsidR="00203BFC" w:rsidRDefault="00203BFC"/>
  </w:endnote>
  <w:endnote w:type="continuationNotice" w:id="1">
    <w:p w14:paraId="14930C2D" w14:textId="77777777" w:rsidR="00203BFC" w:rsidRDefault="00203BFC">
      <w:pPr>
        <w:pStyle w:val="Footer"/>
      </w:pPr>
    </w:p>
    <w:p w14:paraId="6846D3D1" w14:textId="77777777" w:rsidR="00203BFC" w:rsidRDefault="00203BFC"/>
    <w:p w14:paraId="0038DEFB" w14:textId="77777777" w:rsidR="00203BFC" w:rsidRDefault="00203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7207" w14:textId="4FEE5583" w:rsidR="002A193C" w:rsidRDefault="002A193C">
    <w:pPr>
      <w:pStyle w:val="Footer"/>
    </w:pPr>
    <w:r>
      <w:t xml:space="preserve">Department of Agriculture, </w:t>
    </w:r>
    <w:proofErr w:type="gramStart"/>
    <w:r>
      <w:t>Water</w:t>
    </w:r>
    <w:proofErr w:type="gramEnd"/>
    <w:r>
      <w:t xml:space="preserve"> and the Environment</w:t>
    </w:r>
  </w:p>
  <w:p w14:paraId="041055DB" w14:textId="77777777" w:rsidR="002A193C" w:rsidRDefault="002A193C">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DDA5" w14:textId="7D5A5EAC" w:rsidR="002A193C" w:rsidRDefault="002A193C">
    <w:pPr>
      <w:pStyle w:val="Footer"/>
    </w:pPr>
    <w:r>
      <w:t xml:space="preserve">Department of Agriculture, </w:t>
    </w:r>
    <w:proofErr w:type="gramStart"/>
    <w:r>
      <w:t>Water</w:t>
    </w:r>
    <w:proofErr w:type="gramEnd"/>
    <w:r>
      <w:t xml:space="preserve"> and the Environment</w:t>
    </w:r>
  </w:p>
  <w:p w14:paraId="48B5E446" w14:textId="77777777" w:rsidR="002A193C" w:rsidRDefault="002A193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8208" w14:textId="77777777" w:rsidR="00203BFC" w:rsidRDefault="00203BFC">
      <w:r>
        <w:separator/>
      </w:r>
    </w:p>
    <w:p w14:paraId="3D414E63" w14:textId="77777777" w:rsidR="00203BFC" w:rsidRDefault="00203BFC"/>
    <w:p w14:paraId="0D6911F2" w14:textId="77777777" w:rsidR="00203BFC" w:rsidRDefault="00203BFC"/>
  </w:footnote>
  <w:footnote w:type="continuationSeparator" w:id="0">
    <w:p w14:paraId="09D433E8" w14:textId="77777777" w:rsidR="00203BFC" w:rsidRDefault="00203BFC">
      <w:r>
        <w:continuationSeparator/>
      </w:r>
    </w:p>
    <w:p w14:paraId="2CD80979" w14:textId="77777777" w:rsidR="00203BFC" w:rsidRDefault="00203BFC"/>
    <w:p w14:paraId="76F037A7" w14:textId="77777777" w:rsidR="00203BFC" w:rsidRDefault="00203BFC"/>
  </w:footnote>
  <w:footnote w:type="continuationNotice" w:id="1">
    <w:p w14:paraId="5EF39262" w14:textId="77777777" w:rsidR="00203BFC" w:rsidRDefault="00203BFC">
      <w:pPr>
        <w:pStyle w:val="Footer"/>
      </w:pPr>
    </w:p>
    <w:p w14:paraId="4143A6EC" w14:textId="77777777" w:rsidR="00203BFC" w:rsidRDefault="00203BFC"/>
    <w:p w14:paraId="5B678619" w14:textId="77777777" w:rsidR="00203BFC" w:rsidRDefault="00203B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C972" w14:textId="4133D067" w:rsidR="00AB53EE" w:rsidRDefault="00CF4CDD">
    <w:pPr>
      <w:pStyle w:val="Header"/>
    </w:pPr>
    <w:r w:rsidRPr="00CF4CDD">
      <w:t>Agriculture inputs outlook</w:t>
    </w:r>
    <w:r w:rsidR="00AB53EE" w:rsidRPr="00CF4CDD">
      <w:t xml:space="preserve"> – </w:t>
    </w:r>
    <w:r w:rsidRPr="00CF4CDD">
      <w:t xml:space="preserve">February </w:t>
    </w:r>
    <w:r w:rsidR="00AB53EE" w:rsidRPr="00CF4CDD">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35D6" w14:textId="2CA29C24" w:rsidR="002A193C" w:rsidRDefault="002A193C">
    <w:pPr>
      <w:pStyle w:val="Header"/>
      <w:jc w:val="left"/>
    </w:pPr>
    <w:r>
      <w:rPr>
        <w:noProof/>
        <w:lang w:eastAsia="en-AU"/>
      </w:rPr>
      <w:drawing>
        <wp:inline distT="0" distB="0" distL="0" distR="0" wp14:anchorId="5BBE5CE1" wp14:editId="2B9A98F8">
          <wp:extent cx="2123264" cy="637247"/>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3264" cy="637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E7446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FEEC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208867B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ADEE02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EE6FD3C"/>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291240A"/>
    <w:multiLevelType w:val="hybridMultilevel"/>
    <w:tmpl w:val="91CA9F14"/>
    <w:lvl w:ilvl="0" w:tplc="4FEECFB6">
      <w:start w:val="1"/>
      <w:numFmt w:val="bullet"/>
      <w:lvlText w:val="&gt;"/>
      <w:lvlJc w:val="left"/>
      <w:pPr>
        <w:tabs>
          <w:tab w:val="num" w:pos="720"/>
        </w:tabs>
        <w:ind w:left="720" w:hanging="360"/>
      </w:pPr>
      <w:rPr>
        <w:rFonts w:ascii="Calibri" w:hAnsi="Calibri" w:hint="default"/>
      </w:rPr>
    </w:lvl>
    <w:lvl w:ilvl="1" w:tplc="300A6158" w:tentative="1">
      <w:start w:val="1"/>
      <w:numFmt w:val="bullet"/>
      <w:lvlText w:val="&gt;"/>
      <w:lvlJc w:val="left"/>
      <w:pPr>
        <w:tabs>
          <w:tab w:val="num" w:pos="1440"/>
        </w:tabs>
        <w:ind w:left="1440" w:hanging="360"/>
      </w:pPr>
      <w:rPr>
        <w:rFonts w:ascii="Calibri" w:hAnsi="Calibri" w:hint="default"/>
      </w:rPr>
    </w:lvl>
    <w:lvl w:ilvl="2" w:tplc="C65C71D4" w:tentative="1">
      <w:start w:val="1"/>
      <w:numFmt w:val="bullet"/>
      <w:lvlText w:val="&gt;"/>
      <w:lvlJc w:val="left"/>
      <w:pPr>
        <w:tabs>
          <w:tab w:val="num" w:pos="2160"/>
        </w:tabs>
        <w:ind w:left="2160" w:hanging="360"/>
      </w:pPr>
      <w:rPr>
        <w:rFonts w:ascii="Calibri" w:hAnsi="Calibri" w:hint="default"/>
      </w:rPr>
    </w:lvl>
    <w:lvl w:ilvl="3" w:tplc="63761B70" w:tentative="1">
      <w:start w:val="1"/>
      <w:numFmt w:val="bullet"/>
      <w:lvlText w:val="&gt;"/>
      <w:lvlJc w:val="left"/>
      <w:pPr>
        <w:tabs>
          <w:tab w:val="num" w:pos="2880"/>
        </w:tabs>
        <w:ind w:left="2880" w:hanging="360"/>
      </w:pPr>
      <w:rPr>
        <w:rFonts w:ascii="Calibri" w:hAnsi="Calibri" w:hint="default"/>
      </w:rPr>
    </w:lvl>
    <w:lvl w:ilvl="4" w:tplc="F20EB0F0" w:tentative="1">
      <w:start w:val="1"/>
      <w:numFmt w:val="bullet"/>
      <w:lvlText w:val="&gt;"/>
      <w:lvlJc w:val="left"/>
      <w:pPr>
        <w:tabs>
          <w:tab w:val="num" w:pos="3600"/>
        </w:tabs>
        <w:ind w:left="3600" w:hanging="360"/>
      </w:pPr>
      <w:rPr>
        <w:rFonts w:ascii="Calibri" w:hAnsi="Calibri" w:hint="default"/>
      </w:rPr>
    </w:lvl>
    <w:lvl w:ilvl="5" w:tplc="7B2A78DC" w:tentative="1">
      <w:start w:val="1"/>
      <w:numFmt w:val="bullet"/>
      <w:lvlText w:val="&gt;"/>
      <w:lvlJc w:val="left"/>
      <w:pPr>
        <w:tabs>
          <w:tab w:val="num" w:pos="4320"/>
        </w:tabs>
        <w:ind w:left="4320" w:hanging="360"/>
      </w:pPr>
      <w:rPr>
        <w:rFonts w:ascii="Calibri" w:hAnsi="Calibri" w:hint="default"/>
      </w:rPr>
    </w:lvl>
    <w:lvl w:ilvl="6" w:tplc="3320B2B0" w:tentative="1">
      <w:start w:val="1"/>
      <w:numFmt w:val="bullet"/>
      <w:lvlText w:val="&gt;"/>
      <w:lvlJc w:val="left"/>
      <w:pPr>
        <w:tabs>
          <w:tab w:val="num" w:pos="5040"/>
        </w:tabs>
        <w:ind w:left="5040" w:hanging="360"/>
      </w:pPr>
      <w:rPr>
        <w:rFonts w:ascii="Calibri" w:hAnsi="Calibri" w:hint="default"/>
      </w:rPr>
    </w:lvl>
    <w:lvl w:ilvl="7" w:tplc="84A413E4" w:tentative="1">
      <w:start w:val="1"/>
      <w:numFmt w:val="bullet"/>
      <w:lvlText w:val="&gt;"/>
      <w:lvlJc w:val="left"/>
      <w:pPr>
        <w:tabs>
          <w:tab w:val="num" w:pos="5760"/>
        </w:tabs>
        <w:ind w:left="5760" w:hanging="360"/>
      </w:pPr>
      <w:rPr>
        <w:rFonts w:ascii="Calibri" w:hAnsi="Calibri" w:hint="default"/>
      </w:rPr>
    </w:lvl>
    <w:lvl w:ilvl="8" w:tplc="57EEC9C6" w:tentative="1">
      <w:start w:val="1"/>
      <w:numFmt w:val="bullet"/>
      <w:lvlText w:val="&gt;"/>
      <w:lvlJc w:val="left"/>
      <w:pPr>
        <w:tabs>
          <w:tab w:val="num" w:pos="6480"/>
        </w:tabs>
        <w:ind w:left="6480" w:hanging="360"/>
      </w:pPr>
      <w:rPr>
        <w:rFonts w:ascii="Calibri" w:hAnsi="Calibri" w:hint="default"/>
      </w:rPr>
    </w:lvl>
  </w:abstractNum>
  <w:abstractNum w:abstractNumId="16" w15:restartNumberingAfterBreak="0">
    <w:nsid w:val="394A15FE"/>
    <w:multiLevelType w:val="multilevel"/>
    <w:tmpl w:val="F36C17E8"/>
    <w:numStyleLink w:val="Headinglist"/>
  </w:abstractNum>
  <w:abstractNum w:abstractNumId="17" w15:restartNumberingAfterBreak="0">
    <w:nsid w:val="414F4729"/>
    <w:multiLevelType w:val="multilevel"/>
    <w:tmpl w:val="23887CA2"/>
    <w:numStyleLink w:val="List1"/>
  </w:abstractNum>
  <w:abstractNum w:abstractNumId="18" w15:restartNumberingAfterBreak="0">
    <w:nsid w:val="486800B4"/>
    <w:multiLevelType w:val="multilevel"/>
    <w:tmpl w:val="23887CA2"/>
    <w:numStyleLink w:val="List1"/>
  </w:abstractNum>
  <w:abstractNum w:abstractNumId="19"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0" w15:restartNumberingAfterBreak="0">
    <w:nsid w:val="496159DC"/>
    <w:multiLevelType w:val="multilevel"/>
    <w:tmpl w:val="BE78A4F8"/>
    <w:numStyleLink w:val="Numberlist"/>
  </w:abstractNum>
  <w:abstractNum w:abstractNumId="2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E531A7"/>
    <w:multiLevelType w:val="hybridMultilevel"/>
    <w:tmpl w:val="75BE8F0A"/>
    <w:lvl w:ilvl="0" w:tplc="2BCC8D9E">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4"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6"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7"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8C10A1"/>
    <w:multiLevelType w:val="multilevel"/>
    <w:tmpl w:val="BE78A4F8"/>
    <w:numStyleLink w:val="Numberlist"/>
  </w:abstractNum>
  <w:abstractNum w:abstractNumId="29" w15:restartNumberingAfterBreak="0">
    <w:nsid w:val="6ED35505"/>
    <w:multiLevelType w:val="hybridMultilevel"/>
    <w:tmpl w:val="5666FE72"/>
    <w:lvl w:ilvl="0" w:tplc="72382A18">
      <w:numFmt w:val="bullet"/>
      <w:lvlText w:val="-"/>
      <w:lvlJc w:val="left"/>
      <w:pPr>
        <w:ind w:left="785" w:hanging="360"/>
      </w:pPr>
      <w:rPr>
        <w:rFonts w:ascii="Cambria" w:eastAsiaTheme="minorHAnsi" w:hAnsi="Cambria" w:cstheme="minorBid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0" w15:restartNumberingAfterBreak="0">
    <w:nsid w:val="72AE4F08"/>
    <w:multiLevelType w:val="hybridMultilevel"/>
    <w:tmpl w:val="8E08373A"/>
    <w:lvl w:ilvl="0" w:tplc="91E8090C">
      <w:numFmt w:val="bullet"/>
      <w:lvlText w:val="-"/>
      <w:lvlJc w:val="left"/>
      <w:pPr>
        <w:ind w:left="785" w:hanging="360"/>
      </w:pPr>
      <w:rPr>
        <w:rFonts w:ascii="Cambria" w:eastAsiaTheme="minorHAnsi" w:hAnsi="Cambria" w:cstheme="minorBid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1" w15:restartNumberingAfterBreak="0">
    <w:nsid w:val="733934B7"/>
    <w:multiLevelType w:val="multilevel"/>
    <w:tmpl w:val="23887CA2"/>
    <w:numStyleLink w:val="List1"/>
  </w:abstractNum>
  <w:num w:numId="1">
    <w:abstractNumId w:val="7"/>
  </w:num>
  <w:num w:numId="2">
    <w:abstractNumId w:val="18"/>
  </w:num>
  <w:num w:numId="3">
    <w:abstractNumId w:val="19"/>
  </w:num>
  <w:num w:numId="4">
    <w:abstractNumId w:val="10"/>
  </w:num>
  <w:num w:numId="5">
    <w:abstractNumId w:val="25"/>
  </w:num>
  <w:num w:numId="6">
    <w:abstractNumId w:val="26"/>
  </w:num>
  <w:num w:numId="7">
    <w:abstractNumId w:val="8"/>
  </w:num>
  <w:num w:numId="8">
    <w:abstractNumId w:val="13"/>
  </w:num>
  <w:num w:numId="9">
    <w:abstractNumId w:val="16"/>
  </w:num>
  <w:num w:numId="10">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2"/>
  </w:num>
  <w:num w:numId="15">
    <w:abstractNumId w:val="11"/>
  </w:num>
  <w:num w:numId="16">
    <w:abstractNumId w:val="2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
  </w:num>
  <w:num w:numId="20">
    <w:abstractNumId w:val="0"/>
  </w:num>
  <w:num w:numId="21">
    <w:abstractNumId w:val="14"/>
  </w:num>
  <w:num w:numId="22">
    <w:abstractNumId w:val="20"/>
  </w:num>
  <w:num w:numId="23">
    <w:abstractNumId w:val="28"/>
  </w:num>
  <w:num w:numId="24">
    <w:abstractNumId w:val="12"/>
  </w:num>
  <w:num w:numId="25">
    <w:abstractNumId w:val="17"/>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1"/>
  </w:num>
  <w:num w:numId="29">
    <w:abstractNumId w:val="24"/>
  </w:num>
  <w:num w:numId="30">
    <w:abstractNumId w:val="9"/>
  </w:num>
  <w:num w:numId="31">
    <w:abstractNumId w:val="5"/>
  </w:num>
  <w:num w:numId="32">
    <w:abstractNumId w:val="25"/>
  </w:num>
  <w:num w:numId="33">
    <w:abstractNumId w:val="25"/>
  </w:num>
  <w:num w:numId="34">
    <w:abstractNumId w:val="25"/>
  </w:num>
  <w:num w:numId="35">
    <w:abstractNumId w:val="29"/>
  </w:num>
  <w:num w:numId="36">
    <w:abstractNumId w:val="22"/>
  </w:num>
  <w:num w:numId="37">
    <w:abstractNumId w:val="15"/>
  </w:num>
  <w:num w:numId="38">
    <w:abstractNumId w:val="25"/>
  </w:num>
  <w:num w:numId="39">
    <w:abstractNumId w:val="25"/>
  </w:num>
  <w:num w:numId="40">
    <w:abstractNumId w:val="25"/>
  </w:num>
  <w:num w:numId="41">
    <w:abstractNumId w:val="30"/>
  </w:num>
  <w:num w:numId="42">
    <w:abstractNumId w:val="25"/>
  </w:num>
  <w:num w:numId="43">
    <w:abstractNumId w:val="25"/>
  </w:num>
  <w:num w:numId="4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EF"/>
    <w:rsid w:val="00045981"/>
    <w:rsid w:val="00070949"/>
    <w:rsid w:val="00081754"/>
    <w:rsid w:val="000979CD"/>
    <w:rsid w:val="000B589C"/>
    <w:rsid w:val="000C14C5"/>
    <w:rsid w:val="000C28C1"/>
    <w:rsid w:val="000E43D5"/>
    <w:rsid w:val="000F27EF"/>
    <w:rsid w:val="00145E28"/>
    <w:rsid w:val="0014769A"/>
    <w:rsid w:val="00147B68"/>
    <w:rsid w:val="001567E9"/>
    <w:rsid w:val="0016072D"/>
    <w:rsid w:val="00164E67"/>
    <w:rsid w:val="001654C6"/>
    <w:rsid w:val="00175FBB"/>
    <w:rsid w:val="001762DA"/>
    <w:rsid w:val="001922B0"/>
    <w:rsid w:val="001C44E8"/>
    <w:rsid w:val="001D29A1"/>
    <w:rsid w:val="001D77BC"/>
    <w:rsid w:val="001E4E72"/>
    <w:rsid w:val="00202FE3"/>
    <w:rsid w:val="00203BFC"/>
    <w:rsid w:val="00205889"/>
    <w:rsid w:val="002234A5"/>
    <w:rsid w:val="00230C06"/>
    <w:rsid w:val="0024748F"/>
    <w:rsid w:val="002501FA"/>
    <w:rsid w:val="00262394"/>
    <w:rsid w:val="002732D7"/>
    <w:rsid w:val="00280A82"/>
    <w:rsid w:val="002A193C"/>
    <w:rsid w:val="002B02B8"/>
    <w:rsid w:val="002B3AC7"/>
    <w:rsid w:val="002C2D73"/>
    <w:rsid w:val="002C3BB0"/>
    <w:rsid w:val="003014DB"/>
    <w:rsid w:val="003335FE"/>
    <w:rsid w:val="00355F45"/>
    <w:rsid w:val="0037230F"/>
    <w:rsid w:val="0038514A"/>
    <w:rsid w:val="0038783C"/>
    <w:rsid w:val="003954FB"/>
    <w:rsid w:val="00396339"/>
    <w:rsid w:val="003A4B4A"/>
    <w:rsid w:val="00424EBE"/>
    <w:rsid w:val="00432388"/>
    <w:rsid w:val="00466EC1"/>
    <w:rsid w:val="00472717"/>
    <w:rsid w:val="00473118"/>
    <w:rsid w:val="00486C20"/>
    <w:rsid w:val="00493ED3"/>
    <w:rsid w:val="004D57C7"/>
    <w:rsid w:val="004E31E9"/>
    <w:rsid w:val="004F19D2"/>
    <w:rsid w:val="00502D06"/>
    <w:rsid w:val="005107E8"/>
    <w:rsid w:val="00510F33"/>
    <w:rsid w:val="005239F6"/>
    <w:rsid w:val="005C2581"/>
    <w:rsid w:val="005C403A"/>
    <w:rsid w:val="005E343F"/>
    <w:rsid w:val="005F0E4D"/>
    <w:rsid w:val="00623CFB"/>
    <w:rsid w:val="00663EF4"/>
    <w:rsid w:val="006A6727"/>
    <w:rsid w:val="006A7EC0"/>
    <w:rsid w:val="006D673A"/>
    <w:rsid w:val="006F284E"/>
    <w:rsid w:val="0072129C"/>
    <w:rsid w:val="0072284B"/>
    <w:rsid w:val="007405CB"/>
    <w:rsid w:val="00783F39"/>
    <w:rsid w:val="007C14C8"/>
    <w:rsid w:val="007C5B94"/>
    <w:rsid w:val="007C65EF"/>
    <w:rsid w:val="0082249A"/>
    <w:rsid w:val="008276B1"/>
    <w:rsid w:val="00833933"/>
    <w:rsid w:val="008359C7"/>
    <w:rsid w:val="00852E92"/>
    <w:rsid w:val="008806EB"/>
    <w:rsid w:val="008A3190"/>
    <w:rsid w:val="008A58E2"/>
    <w:rsid w:val="008C14CE"/>
    <w:rsid w:val="008D12DC"/>
    <w:rsid w:val="008D1C7D"/>
    <w:rsid w:val="008F4847"/>
    <w:rsid w:val="009438D4"/>
    <w:rsid w:val="00971A15"/>
    <w:rsid w:val="0098179E"/>
    <w:rsid w:val="0098223B"/>
    <w:rsid w:val="009B427A"/>
    <w:rsid w:val="009E1B7F"/>
    <w:rsid w:val="00A27D3B"/>
    <w:rsid w:val="00A33F1C"/>
    <w:rsid w:val="00A50BF7"/>
    <w:rsid w:val="00A70FC4"/>
    <w:rsid w:val="00A7219B"/>
    <w:rsid w:val="00A87236"/>
    <w:rsid w:val="00A933DC"/>
    <w:rsid w:val="00AA6DA3"/>
    <w:rsid w:val="00AA70E3"/>
    <w:rsid w:val="00AB0FBE"/>
    <w:rsid w:val="00AB53EE"/>
    <w:rsid w:val="00AE4F27"/>
    <w:rsid w:val="00AF23EC"/>
    <w:rsid w:val="00AF5211"/>
    <w:rsid w:val="00B01FB8"/>
    <w:rsid w:val="00B307F4"/>
    <w:rsid w:val="00B62B73"/>
    <w:rsid w:val="00B84AE9"/>
    <w:rsid w:val="00BA4D93"/>
    <w:rsid w:val="00BA7B9C"/>
    <w:rsid w:val="00BF4900"/>
    <w:rsid w:val="00BF62CF"/>
    <w:rsid w:val="00C242A9"/>
    <w:rsid w:val="00C503F3"/>
    <w:rsid w:val="00C72F35"/>
    <w:rsid w:val="00CA1D7F"/>
    <w:rsid w:val="00CF4CDD"/>
    <w:rsid w:val="00D0025A"/>
    <w:rsid w:val="00D06356"/>
    <w:rsid w:val="00D14BC4"/>
    <w:rsid w:val="00D16171"/>
    <w:rsid w:val="00D22A92"/>
    <w:rsid w:val="00D45274"/>
    <w:rsid w:val="00D45E0E"/>
    <w:rsid w:val="00D666DC"/>
    <w:rsid w:val="00D75210"/>
    <w:rsid w:val="00DA2242"/>
    <w:rsid w:val="00DA672F"/>
    <w:rsid w:val="00DC3F9F"/>
    <w:rsid w:val="00DD1323"/>
    <w:rsid w:val="00DD7D81"/>
    <w:rsid w:val="00DF7CA4"/>
    <w:rsid w:val="00E1656F"/>
    <w:rsid w:val="00E243A5"/>
    <w:rsid w:val="00E31E13"/>
    <w:rsid w:val="00E362EF"/>
    <w:rsid w:val="00E508BE"/>
    <w:rsid w:val="00E51D6E"/>
    <w:rsid w:val="00E732BE"/>
    <w:rsid w:val="00E907BF"/>
    <w:rsid w:val="00EB3B3B"/>
    <w:rsid w:val="00EC358A"/>
    <w:rsid w:val="00ED1ECE"/>
    <w:rsid w:val="00EF078E"/>
    <w:rsid w:val="00F12716"/>
    <w:rsid w:val="00F21196"/>
    <w:rsid w:val="00F901D4"/>
    <w:rsid w:val="00FB088E"/>
    <w:rsid w:val="00FD117D"/>
    <w:rsid w:val="00FD34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E972"/>
  <w15:docId w15:val="{2B1492BF-BB26-482F-8BA9-D03363EC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paragraph" w:styleId="Revision">
    <w:name w:val="Revision"/>
    <w:hidden/>
    <w:uiPriority w:val="99"/>
    <w:semiHidden/>
    <w:rsid w:val="00081754"/>
    <w:rPr>
      <w:rFonts w:eastAsiaTheme="minorHAnsi" w:cstheme="minorBidi"/>
      <w:sz w:val="22"/>
      <w:szCs w:val="22"/>
      <w:lang w:eastAsia="en-US"/>
    </w:rPr>
  </w:style>
  <w:style w:type="character" w:customStyle="1" w:styleId="cf01">
    <w:name w:val="cf01"/>
    <w:basedOn w:val="DefaultParagraphFont"/>
    <w:rsid w:val="00783F39"/>
    <w:rPr>
      <w:rFonts w:ascii="Segoe UI" w:hAnsi="Segoe UI" w:cs="Segoe UI" w:hint="default"/>
      <w:sz w:val="18"/>
      <w:szCs w:val="18"/>
    </w:rPr>
  </w:style>
  <w:style w:type="paragraph" w:styleId="ListParagraph">
    <w:name w:val="List Paragraph"/>
    <w:basedOn w:val="Normal"/>
    <w:uiPriority w:val="99"/>
    <w:qFormat/>
    <w:rsid w:val="00A72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0923">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732235">
      <w:bodyDiv w:val="1"/>
      <w:marLeft w:val="0"/>
      <w:marRight w:val="0"/>
      <w:marTop w:val="0"/>
      <w:marBottom w:val="0"/>
      <w:divBdr>
        <w:top w:val="none" w:sz="0" w:space="0" w:color="auto"/>
        <w:left w:val="none" w:sz="0" w:space="0" w:color="auto"/>
        <w:bottom w:val="none" w:sz="0" w:space="0" w:color="auto"/>
        <w:right w:val="none" w:sz="0" w:space="0" w:color="auto"/>
      </w:divBdr>
      <w:divsChild>
        <w:div w:id="1549603987">
          <w:marLeft w:val="0"/>
          <w:marRight w:val="0"/>
          <w:marTop w:val="0"/>
          <w:marBottom w:val="55"/>
          <w:divBdr>
            <w:top w:val="none" w:sz="0" w:space="0" w:color="auto"/>
            <w:left w:val="none" w:sz="0" w:space="0" w:color="auto"/>
            <w:bottom w:val="none" w:sz="0" w:space="0" w:color="auto"/>
            <w:right w:val="none" w:sz="0" w:space="0" w:color="auto"/>
          </w:divBdr>
        </w:div>
        <w:div w:id="709376973">
          <w:marLeft w:val="720"/>
          <w:marRight w:val="0"/>
          <w:marTop w:val="0"/>
          <w:marBottom w:val="55"/>
          <w:divBdr>
            <w:top w:val="none" w:sz="0" w:space="0" w:color="auto"/>
            <w:left w:val="none" w:sz="0" w:space="0" w:color="auto"/>
            <w:bottom w:val="none" w:sz="0" w:space="0" w:color="auto"/>
            <w:right w:val="none" w:sz="0" w:space="0" w:color="auto"/>
          </w:divBdr>
        </w:div>
        <w:div w:id="1823621343">
          <w:marLeft w:val="720"/>
          <w:marRight w:val="0"/>
          <w:marTop w:val="0"/>
          <w:marBottom w:val="55"/>
          <w:divBdr>
            <w:top w:val="none" w:sz="0" w:space="0" w:color="auto"/>
            <w:left w:val="none" w:sz="0" w:space="0" w:color="auto"/>
            <w:bottom w:val="none" w:sz="0" w:space="0" w:color="auto"/>
            <w:right w:val="none" w:sz="0" w:space="0" w:color="auto"/>
          </w:divBdr>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164856">
      <w:bodyDiv w:val="1"/>
      <w:marLeft w:val="0"/>
      <w:marRight w:val="0"/>
      <w:marTop w:val="0"/>
      <w:marBottom w:val="0"/>
      <w:divBdr>
        <w:top w:val="none" w:sz="0" w:space="0" w:color="auto"/>
        <w:left w:val="none" w:sz="0" w:space="0" w:color="auto"/>
        <w:bottom w:val="none" w:sz="0" w:space="0" w:color="auto"/>
        <w:right w:val="none" w:sz="0" w:space="0" w:color="auto"/>
      </w:divBdr>
      <w:divsChild>
        <w:div w:id="1413089893">
          <w:marLeft w:val="0"/>
          <w:marRight w:val="0"/>
          <w:marTop w:val="0"/>
          <w:marBottom w:val="55"/>
          <w:divBdr>
            <w:top w:val="none" w:sz="0" w:space="0" w:color="auto"/>
            <w:left w:val="none" w:sz="0" w:space="0" w:color="auto"/>
            <w:bottom w:val="none" w:sz="0" w:space="0" w:color="auto"/>
            <w:right w:val="none" w:sz="0" w:space="0" w:color="auto"/>
          </w:divBdr>
        </w:div>
      </w:divsChild>
    </w:div>
    <w:div w:id="1421952114">
      <w:bodyDiv w:val="1"/>
      <w:marLeft w:val="0"/>
      <w:marRight w:val="0"/>
      <w:marTop w:val="0"/>
      <w:marBottom w:val="0"/>
      <w:divBdr>
        <w:top w:val="none" w:sz="0" w:space="0" w:color="auto"/>
        <w:left w:val="none" w:sz="0" w:space="0" w:color="auto"/>
        <w:bottom w:val="none" w:sz="0" w:space="0" w:color="auto"/>
        <w:right w:val="none" w:sz="0" w:space="0" w:color="auto"/>
      </w:divBdr>
      <w:divsChild>
        <w:div w:id="1962764579">
          <w:marLeft w:val="720"/>
          <w:marRight w:val="0"/>
          <w:marTop w:val="0"/>
          <w:marBottom w:val="55"/>
          <w:divBdr>
            <w:top w:val="none" w:sz="0" w:space="0" w:color="auto"/>
            <w:left w:val="none" w:sz="0" w:space="0" w:color="auto"/>
            <w:bottom w:val="none" w:sz="0" w:space="0" w:color="auto"/>
            <w:right w:val="none" w:sz="0" w:space="0" w:color="auto"/>
          </w:divBdr>
        </w:div>
        <w:div w:id="734936998">
          <w:marLeft w:val="720"/>
          <w:marRight w:val="0"/>
          <w:marTop w:val="0"/>
          <w:marBottom w:val="55"/>
          <w:divBdr>
            <w:top w:val="none" w:sz="0" w:space="0" w:color="auto"/>
            <w:left w:val="none" w:sz="0" w:space="0" w:color="auto"/>
            <w:bottom w:val="none" w:sz="0" w:space="0" w:color="auto"/>
            <w:right w:val="none" w:sz="0" w:space="0" w:color="auto"/>
          </w:divBdr>
        </w:div>
      </w:divsChild>
    </w:div>
    <w:div w:id="1487819272">
      <w:bodyDiv w:val="1"/>
      <w:marLeft w:val="0"/>
      <w:marRight w:val="0"/>
      <w:marTop w:val="0"/>
      <w:marBottom w:val="0"/>
      <w:divBdr>
        <w:top w:val="none" w:sz="0" w:space="0" w:color="auto"/>
        <w:left w:val="none" w:sz="0" w:space="0" w:color="auto"/>
        <w:bottom w:val="none" w:sz="0" w:space="0" w:color="auto"/>
        <w:right w:val="none" w:sz="0" w:space="0" w:color="auto"/>
      </w:divBdr>
      <w:divsChild>
        <w:div w:id="265159582">
          <w:marLeft w:val="0"/>
          <w:marRight w:val="0"/>
          <w:marTop w:val="0"/>
          <w:marBottom w:val="55"/>
          <w:divBdr>
            <w:top w:val="none" w:sz="0" w:space="0" w:color="auto"/>
            <w:left w:val="none" w:sz="0" w:space="0" w:color="auto"/>
            <w:bottom w:val="none" w:sz="0" w:space="0" w:color="auto"/>
            <w:right w:val="none" w:sz="0" w:space="0" w:color="auto"/>
          </w:divBdr>
        </w:div>
        <w:div w:id="472985836">
          <w:marLeft w:val="0"/>
          <w:marRight w:val="0"/>
          <w:marTop w:val="0"/>
          <w:marBottom w:val="55"/>
          <w:divBdr>
            <w:top w:val="none" w:sz="0" w:space="0" w:color="auto"/>
            <w:left w:val="none" w:sz="0" w:space="0" w:color="auto"/>
            <w:bottom w:val="none" w:sz="0" w:space="0" w:color="auto"/>
            <w:right w:val="none" w:sz="0" w:space="0" w:color="auto"/>
          </w:divBdr>
        </w:div>
        <w:div w:id="823356476">
          <w:marLeft w:val="720"/>
          <w:marRight w:val="0"/>
          <w:marTop w:val="0"/>
          <w:marBottom w:val="55"/>
          <w:divBdr>
            <w:top w:val="none" w:sz="0" w:space="0" w:color="auto"/>
            <w:left w:val="none" w:sz="0" w:space="0" w:color="auto"/>
            <w:bottom w:val="none" w:sz="0" w:space="0" w:color="auto"/>
            <w:right w:val="none" w:sz="0" w:space="0" w:color="auto"/>
          </w:divBdr>
        </w:div>
        <w:div w:id="1672289698">
          <w:marLeft w:val="720"/>
          <w:marRight w:val="0"/>
          <w:marTop w:val="0"/>
          <w:marBottom w:val="55"/>
          <w:divBdr>
            <w:top w:val="none" w:sz="0" w:space="0" w:color="auto"/>
            <w:left w:val="none" w:sz="0" w:space="0" w:color="auto"/>
            <w:bottom w:val="none" w:sz="0" w:space="0" w:color="auto"/>
            <w:right w:val="none" w:sz="0" w:space="0" w:color="auto"/>
          </w:divBdr>
        </w:div>
        <w:div w:id="325208428">
          <w:marLeft w:val="0"/>
          <w:marRight w:val="0"/>
          <w:marTop w:val="0"/>
          <w:marBottom w:val="55"/>
          <w:divBdr>
            <w:top w:val="none" w:sz="0" w:space="0" w:color="auto"/>
            <w:left w:val="none" w:sz="0" w:space="0" w:color="auto"/>
            <w:bottom w:val="none" w:sz="0" w:space="0" w:color="auto"/>
            <w:right w:val="none" w:sz="0" w:space="0" w:color="auto"/>
          </w:divBdr>
        </w:div>
        <w:div w:id="1843083508">
          <w:marLeft w:val="720"/>
          <w:marRight w:val="0"/>
          <w:marTop w:val="0"/>
          <w:marBottom w:val="55"/>
          <w:divBdr>
            <w:top w:val="none" w:sz="0" w:space="0" w:color="auto"/>
            <w:left w:val="none" w:sz="0" w:space="0" w:color="auto"/>
            <w:bottom w:val="none" w:sz="0" w:space="0" w:color="auto"/>
            <w:right w:val="none" w:sz="0" w:space="0" w:color="auto"/>
          </w:divBdr>
        </w:div>
        <w:div w:id="103115155">
          <w:marLeft w:val="0"/>
          <w:marRight w:val="0"/>
          <w:marTop w:val="0"/>
          <w:marBottom w:val="55"/>
          <w:divBdr>
            <w:top w:val="none" w:sz="0" w:space="0" w:color="auto"/>
            <w:left w:val="none" w:sz="0" w:space="0" w:color="auto"/>
            <w:bottom w:val="none" w:sz="0" w:space="0" w:color="auto"/>
            <w:right w:val="none" w:sz="0" w:space="0" w:color="auto"/>
          </w:divBdr>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7cf0e0db-f490-4122-abae-21917392c748"/>
    <ds:schemaRef ds:uri="http://schemas.microsoft.com/sharepoint/v3"/>
  </ds:schemaRefs>
</ds:datastoreItem>
</file>

<file path=customXml/itemProps2.xml><?xml version="1.0" encoding="utf-8"?>
<ds:datastoreItem xmlns:ds="http://schemas.openxmlformats.org/officeDocument/2006/customXml" ds:itemID="{37C6B2F4-3DC0-45AD-A625-9BFFBE33E2EC}"/>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19ACBABF-023F-4C83-81E1-12EB05C1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419</Words>
  <Characters>2392</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Cotton Placemat</vt:lpstr>
    </vt:vector>
  </TitlesOfParts>
  <Company/>
  <LinksUpToDate>false</LinksUpToDate>
  <CharactersWithSpaces>2806</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2022 - Agriculture inputs outlook</dc:title>
  <dc:creator>Department of Agriculture, Water and the Environment</dc:creator>
  <cp:lastPrinted>2019-02-13T02:42:00Z</cp:lastPrinted>
  <dcterms:created xsi:type="dcterms:W3CDTF">2022-02-23T23:07:00Z</dcterms:created>
  <dcterms:modified xsi:type="dcterms:W3CDTF">2022-03-02T23:00:00Z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