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4C065A32" w14:textId="77777777" w:rsidR="007E1BC9" w:rsidRPr="007E1BC9" w:rsidRDefault="007E1BC9" w:rsidP="007E1BC9">
      <w:pPr>
        <w:pStyle w:val="Title"/>
        <w:jc w:val="center"/>
        <w:rPr>
          <w:rStyle w:val="IntenseEmphasis"/>
          <w:i w:val="0"/>
          <w:color w:val="auto"/>
        </w:rPr>
      </w:pPr>
      <w:r w:rsidRPr="007E1BC9">
        <w:rPr>
          <w:rStyle w:val="IntenseEmphasis"/>
          <w:i w:val="0"/>
          <w:color w:val="auto"/>
        </w:rPr>
        <w:t>AEPCOMM video tutorial</w:t>
      </w:r>
    </w:p>
    <w:p w14:paraId="2ABF1E16" w14:textId="77777777" w:rsidR="007E1BC9" w:rsidRPr="007E1BC9" w:rsidRDefault="00F306D6" w:rsidP="007E1BC9">
      <w:pPr>
        <w:pStyle w:val="Heading4"/>
        <w:jc w:val="center"/>
        <w:rPr>
          <w:rStyle w:val="IntenseEmphasis"/>
          <w:i w:val="0"/>
          <w:color w:val="auto"/>
        </w:rPr>
      </w:pPr>
      <w:bookmarkStart w:id="0" w:name="_GoBack"/>
      <w:r>
        <w:rPr>
          <w:rStyle w:val="IntenseEmphasis"/>
          <w:i w:val="0"/>
          <w:color w:val="auto"/>
        </w:rPr>
        <w:t>Fertiliser</w:t>
      </w:r>
    </w:p>
    <w:bookmarkEnd w:id="0"/>
    <w:p w14:paraId="5DABFF5B" w14:textId="77777777" w:rsidR="007E1BC9" w:rsidRPr="007E1BC9" w:rsidRDefault="007E1BC9" w:rsidP="007E1BC9">
      <w:pPr>
        <w:rPr>
          <w:lang w:eastAsia="ja-JP"/>
        </w:rPr>
      </w:pPr>
    </w:p>
    <w:p w14:paraId="075433AC" w14:textId="77777777" w:rsidR="00EA229A" w:rsidRPr="007E1BC9" w:rsidRDefault="00EA229A" w:rsidP="00EA229A">
      <w:pPr>
        <w:rPr>
          <w:rStyle w:val="IntenseEmphasis"/>
        </w:rPr>
      </w:pPr>
      <w:r>
        <w:rPr>
          <w:rStyle w:val="IntenseEmphasis"/>
        </w:rPr>
        <w:t>Slide 1</w:t>
      </w:r>
    </w:p>
    <w:p w14:paraId="444F0023" w14:textId="1A8A2110" w:rsidR="00EA229A" w:rsidRDefault="00EA229A" w:rsidP="00EA229A">
      <w:pPr>
        <w:rPr>
          <w:lang w:eastAsia="ja-JP"/>
        </w:rPr>
      </w:pPr>
      <w:r>
        <w:rPr>
          <w:lang w:eastAsia="ja-JP"/>
        </w:rPr>
        <w:t xml:space="preserve">Automatic entry processing for commodities (AEPCOMM) video tutorial for </w:t>
      </w:r>
      <w:r w:rsidR="00565CE5">
        <w:rPr>
          <w:lang w:eastAsia="ja-JP"/>
        </w:rPr>
        <w:t>Fertilisers</w:t>
      </w:r>
      <w:r>
        <w:rPr>
          <w:lang w:eastAsia="ja-JP"/>
        </w:rPr>
        <w:t xml:space="preserve">. </w:t>
      </w:r>
    </w:p>
    <w:p w14:paraId="25C51077" w14:textId="77777777" w:rsidR="00EA229A" w:rsidRPr="00647D9D" w:rsidRDefault="00EA229A" w:rsidP="00EA229A">
      <w:pPr>
        <w:rPr>
          <w:rStyle w:val="IntenseEmphasis"/>
        </w:rPr>
      </w:pPr>
      <w:r w:rsidRPr="00647D9D">
        <w:rPr>
          <w:rStyle w:val="IntenseEmphasis"/>
        </w:rPr>
        <w:t>Slide 2</w:t>
      </w:r>
    </w:p>
    <w:p w14:paraId="14155F3A" w14:textId="77777777" w:rsidR="00EA229A" w:rsidRDefault="00EA229A" w:rsidP="00EA229A">
      <w:pPr>
        <w:rPr>
          <w:lang w:eastAsia="ja-JP"/>
        </w:rPr>
      </w:pPr>
      <w:r>
        <w:rPr>
          <w:lang w:eastAsia="ja-JP"/>
        </w:rPr>
        <w:t>We recommend that while watching this tutorial you have access to essential resources such as:</w:t>
      </w:r>
    </w:p>
    <w:p w14:paraId="12F2FE2D" w14:textId="77777777" w:rsidR="00EA229A" w:rsidRDefault="00EA229A" w:rsidP="00EA229A">
      <w:pPr>
        <w:pStyle w:val="ListBullet"/>
        <w:rPr>
          <w:lang w:eastAsia="ja-JP"/>
        </w:rPr>
      </w:pPr>
      <w:r>
        <w:rPr>
          <w:lang w:eastAsia="ja-JP"/>
        </w:rPr>
        <w:t>the class 19.2 requirements and conditions policy</w:t>
      </w:r>
    </w:p>
    <w:p w14:paraId="0F0DD07A" w14:textId="77777777" w:rsidR="00EA229A" w:rsidRDefault="00EA229A" w:rsidP="00EA229A">
      <w:pPr>
        <w:pStyle w:val="ListBullet"/>
        <w:rPr>
          <w:lang w:eastAsia="ja-JP"/>
        </w:rPr>
      </w:pPr>
      <w:r>
        <w:rPr>
          <w:lang w:eastAsia="ja-JP"/>
        </w:rPr>
        <w:t xml:space="preserve">the Approved commodities and related information for the class 19.2 approved arrangements webpage and </w:t>
      </w:r>
    </w:p>
    <w:p w14:paraId="2003A0C7" w14:textId="77777777" w:rsidR="00EA229A" w:rsidRDefault="00EA229A" w:rsidP="00EA229A">
      <w:pPr>
        <w:pStyle w:val="ListBullet"/>
        <w:rPr>
          <w:lang w:eastAsia="ja-JP"/>
        </w:rPr>
      </w:pPr>
      <w:r>
        <w:rPr>
          <w:lang w:eastAsia="ja-JP"/>
        </w:rPr>
        <w:t>BICON (AEPCOMM user access).</w:t>
      </w:r>
    </w:p>
    <w:p w14:paraId="7C3D5D85" w14:textId="39B942BE" w:rsidR="00123C37" w:rsidRDefault="008D159A" w:rsidP="00412F39">
      <w:pPr>
        <w:rPr>
          <w:lang w:eastAsia="ja-JP"/>
        </w:rPr>
      </w:pPr>
      <w:r>
        <w:rPr>
          <w:rStyle w:val="IntenseEmphasis"/>
        </w:rPr>
        <w:t xml:space="preserve">Slide </w:t>
      </w:r>
      <w:r w:rsidR="00565CE5">
        <w:rPr>
          <w:rStyle w:val="IntenseEmphasis"/>
        </w:rPr>
        <w:t>3</w:t>
      </w:r>
    </w:p>
    <w:p w14:paraId="063341A2" w14:textId="177B772E" w:rsidR="00412F39" w:rsidRDefault="00412F39" w:rsidP="00412F39">
      <w:pPr>
        <w:rPr>
          <w:lang w:eastAsia="ja-JP"/>
        </w:rPr>
      </w:pPr>
      <w:r>
        <w:rPr>
          <w:lang w:eastAsia="ja-JP"/>
        </w:rPr>
        <w:t>When performing an assessment of fertiliser, it is critical that the accredited person is able to determine the risk level rating that the consignment</w:t>
      </w:r>
      <w:r w:rsidR="00EA6CB3">
        <w:rPr>
          <w:lang w:eastAsia="ja-JP"/>
        </w:rPr>
        <w:t xml:space="preserve"> has been classified under</w:t>
      </w:r>
      <w:r w:rsidR="00987BCF">
        <w:rPr>
          <w:lang w:eastAsia="ja-JP"/>
        </w:rPr>
        <w:t>.  This rating is provided to the manufacturer by</w:t>
      </w:r>
      <w:r>
        <w:rPr>
          <w:lang w:eastAsia="ja-JP"/>
        </w:rPr>
        <w:t xml:space="preserve"> the</w:t>
      </w:r>
      <w:r w:rsidR="00987BCF">
        <w:rPr>
          <w:lang w:eastAsia="ja-JP"/>
        </w:rPr>
        <w:t xml:space="preserve"> department’s</w:t>
      </w:r>
      <w:r>
        <w:rPr>
          <w:lang w:eastAsia="ja-JP"/>
        </w:rPr>
        <w:t xml:space="preserve"> Bulk commodity national coordination centre (NCC). </w:t>
      </w:r>
    </w:p>
    <w:p w14:paraId="318545FE" w14:textId="209BA62D" w:rsidR="00F14E61" w:rsidRDefault="00412F39" w:rsidP="00412F39">
      <w:pPr>
        <w:rPr>
          <w:lang w:eastAsia="ja-JP"/>
        </w:rPr>
      </w:pPr>
      <w:r>
        <w:rPr>
          <w:lang w:eastAsia="ja-JP"/>
        </w:rPr>
        <w:t>Evidence of the r</w:t>
      </w:r>
      <w:r w:rsidR="009C136B">
        <w:rPr>
          <w:lang w:eastAsia="ja-JP"/>
        </w:rPr>
        <w:t xml:space="preserve">isk level rating can be </w:t>
      </w:r>
      <w:r w:rsidR="00987BCF">
        <w:rPr>
          <w:lang w:eastAsia="ja-JP"/>
        </w:rPr>
        <w:t xml:space="preserve">a </w:t>
      </w:r>
      <w:r w:rsidR="00A564CD">
        <w:rPr>
          <w:lang w:eastAsia="ja-JP"/>
        </w:rPr>
        <w:t xml:space="preserve">copy of the </w:t>
      </w:r>
      <w:r>
        <w:rPr>
          <w:lang w:eastAsia="ja-JP"/>
        </w:rPr>
        <w:t>certificate provided by Bulk commodit</w:t>
      </w:r>
      <w:r w:rsidR="00A564CD">
        <w:rPr>
          <w:lang w:eastAsia="ja-JP"/>
        </w:rPr>
        <w:t xml:space="preserve">y </w:t>
      </w:r>
      <w:r>
        <w:rPr>
          <w:lang w:eastAsia="ja-JP"/>
        </w:rPr>
        <w:t>NCC or stated on the manufacture</w:t>
      </w:r>
      <w:r w:rsidR="008A1B06">
        <w:rPr>
          <w:lang w:eastAsia="ja-JP"/>
        </w:rPr>
        <w:t>r</w:t>
      </w:r>
      <w:r w:rsidR="00A564CD">
        <w:rPr>
          <w:lang w:eastAsia="ja-JP"/>
        </w:rPr>
        <w:t>’</w:t>
      </w:r>
      <w:r>
        <w:rPr>
          <w:lang w:eastAsia="ja-JP"/>
        </w:rPr>
        <w:t>s declaration.</w:t>
      </w:r>
      <w:r w:rsidR="00D15C8A">
        <w:rPr>
          <w:lang w:eastAsia="ja-JP"/>
        </w:rPr>
        <w:t xml:space="preserve"> </w:t>
      </w:r>
      <w:r w:rsidR="00FE4D93">
        <w:rPr>
          <w:lang w:eastAsia="ja-JP"/>
        </w:rPr>
        <w:t xml:space="preserve">The import conditions section of BICON will alert you to this.  </w:t>
      </w:r>
    </w:p>
    <w:p w14:paraId="2AB98DDA" w14:textId="60DAEB60" w:rsidR="00412F39" w:rsidRDefault="00D15C8A" w:rsidP="00412F39">
      <w:pPr>
        <w:rPr>
          <w:lang w:eastAsia="ja-JP"/>
        </w:rPr>
      </w:pPr>
      <w:r w:rsidRPr="0032742C">
        <w:rPr>
          <w:lang w:eastAsia="ja-JP"/>
        </w:rPr>
        <w:t>Risk level rating evidence is required to be provided to the department if the lodgement is selected by the sys</w:t>
      </w:r>
      <w:r w:rsidR="00441002" w:rsidRPr="0032742C">
        <w:rPr>
          <w:lang w:eastAsia="ja-JP"/>
        </w:rPr>
        <w:t>tem for assessment verification to avoid non-compliance.</w:t>
      </w:r>
    </w:p>
    <w:p w14:paraId="45F0ED9F" w14:textId="77777777" w:rsidR="00FE4D93" w:rsidRDefault="00412F39" w:rsidP="00412F39">
      <w:pPr>
        <w:rPr>
          <w:lang w:eastAsia="ja-JP"/>
        </w:rPr>
      </w:pPr>
      <w:r>
        <w:rPr>
          <w:lang w:eastAsia="ja-JP"/>
        </w:rPr>
        <w:t xml:space="preserve">The accredited person will indicate the risk level </w:t>
      </w:r>
      <w:r w:rsidR="009C136B">
        <w:rPr>
          <w:lang w:eastAsia="ja-JP"/>
        </w:rPr>
        <w:t xml:space="preserve">classification </w:t>
      </w:r>
      <w:r>
        <w:rPr>
          <w:lang w:eastAsia="ja-JP"/>
        </w:rPr>
        <w:t xml:space="preserve">by entering the ACC code when lodging the import declaration. Only risk levels 1 and 2 require an ACC code. Risk level 3 will not require an ACC code to be entered. </w:t>
      </w:r>
    </w:p>
    <w:p w14:paraId="73E56191" w14:textId="46D8D5F6" w:rsidR="00412F39" w:rsidRDefault="00412F39" w:rsidP="00412F39">
      <w:pPr>
        <w:rPr>
          <w:lang w:eastAsia="ja-JP"/>
        </w:rPr>
      </w:pPr>
      <w:r>
        <w:rPr>
          <w:lang w:eastAsia="ja-JP"/>
        </w:rPr>
        <w:t>Ass</w:t>
      </w:r>
      <w:r w:rsidR="00B82A8F">
        <w:rPr>
          <w:lang w:eastAsia="ja-JP"/>
        </w:rPr>
        <w:t xml:space="preserve">igning the correct ACC code is </w:t>
      </w:r>
      <w:r>
        <w:rPr>
          <w:lang w:eastAsia="ja-JP"/>
        </w:rPr>
        <w:t>critical to ensure the consignment is managed in accordance with the BICON outcomes.</w:t>
      </w:r>
    </w:p>
    <w:p w14:paraId="518C2D9C" w14:textId="32D734C5" w:rsidR="00412F39" w:rsidRDefault="00412F39" w:rsidP="00412F39">
      <w:pPr>
        <w:rPr>
          <w:lang w:eastAsia="ja-JP"/>
        </w:rPr>
      </w:pPr>
      <w:r>
        <w:rPr>
          <w:lang w:eastAsia="ja-JP"/>
        </w:rPr>
        <w:t xml:space="preserve">If the accredited person does not have evidence of the risk </w:t>
      </w:r>
      <w:r w:rsidR="00A564CD">
        <w:rPr>
          <w:lang w:eastAsia="ja-JP"/>
        </w:rPr>
        <w:t>level rating then AEPCOMM must</w:t>
      </w:r>
      <w:r>
        <w:rPr>
          <w:lang w:eastAsia="ja-JP"/>
        </w:rPr>
        <w:t xml:space="preserve"> not be utilised and document</w:t>
      </w:r>
      <w:r w:rsidR="00A564CD">
        <w:rPr>
          <w:lang w:eastAsia="ja-JP"/>
        </w:rPr>
        <w:t>s should be</w:t>
      </w:r>
      <w:r>
        <w:rPr>
          <w:lang w:eastAsia="ja-JP"/>
        </w:rPr>
        <w:t xml:space="preserve"> presented to the department</w:t>
      </w:r>
      <w:r w:rsidR="00A564CD">
        <w:rPr>
          <w:lang w:eastAsia="ja-JP"/>
        </w:rPr>
        <w:t xml:space="preserve"> for assessment</w:t>
      </w:r>
      <w:r>
        <w:rPr>
          <w:lang w:eastAsia="ja-JP"/>
        </w:rPr>
        <w:t>.</w:t>
      </w:r>
    </w:p>
    <w:p w14:paraId="66C94F30" w14:textId="1342569B" w:rsidR="009C136B" w:rsidRPr="009C136B" w:rsidRDefault="009C136B" w:rsidP="00412F39">
      <w:pPr>
        <w:rPr>
          <w:rStyle w:val="IntenseEmphasis"/>
        </w:rPr>
      </w:pPr>
      <w:r w:rsidRPr="009C136B">
        <w:rPr>
          <w:rStyle w:val="IntenseEmphasis"/>
        </w:rPr>
        <w:t>Slide</w:t>
      </w:r>
      <w:r w:rsidR="00565CE5">
        <w:rPr>
          <w:rStyle w:val="IntenseEmphasis"/>
        </w:rPr>
        <w:t xml:space="preserve"> 4</w:t>
      </w:r>
    </w:p>
    <w:p w14:paraId="4B064E81" w14:textId="2E0E9224" w:rsidR="00412F39" w:rsidRDefault="00412F39" w:rsidP="00412F39">
      <w:pPr>
        <w:rPr>
          <w:lang w:eastAsia="ja-JP"/>
        </w:rPr>
      </w:pPr>
      <w:r>
        <w:rPr>
          <w:lang w:eastAsia="ja-JP"/>
        </w:rPr>
        <w:t>Let</w:t>
      </w:r>
      <w:r w:rsidR="00A564CD">
        <w:rPr>
          <w:lang w:eastAsia="ja-JP"/>
        </w:rPr>
        <w:t>’s have a look at an example.</w:t>
      </w:r>
    </w:p>
    <w:p w14:paraId="5939C2E8" w14:textId="79A991D0" w:rsidR="0060199E" w:rsidRDefault="00A34456" w:rsidP="00905F94">
      <w:pPr>
        <w:rPr>
          <w:lang w:eastAsia="ja-JP"/>
        </w:rPr>
      </w:pPr>
      <w:r>
        <w:rPr>
          <w:lang w:eastAsia="ja-JP"/>
        </w:rPr>
        <w:t xml:space="preserve">You have a consignment </w:t>
      </w:r>
      <w:r w:rsidR="00452BE5">
        <w:rPr>
          <w:lang w:eastAsia="ja-JP"/>
        </w:rPr>
        <w:t xml:space="preserve">of </w:t>
      </w:r>
      <w:r>
        <w:rPr>
          <w:lang w:eastAsia="ja-JP"/>
        </w:rPr>
        <w:t>4 FCL</w:t>
      </w:r>
      <w:r w:rsidR="009C136B">
        <w:rPr>
          <w:lang w:eastAsia="ja-JP"/>
        </w:rPr>
        <w:t>s</w:t>
      </w:r>
      <w:r w:rsidR="00253DC6" w:rsidRPr="00A34456">
        <w:rPr>
          <w:lang w:eastAsia="ja-JP"/>
        </w:rPr>
        <w:t xml:space="preserve"> of</w:t>
      </w:r>
      <w:r w:rsidR="00927134">
        <w:rPr>
          <w:lang w:eastAsia="ja-JP"/>
        </w:rPr>
        <w:t xml:space="preserve"> solid</w:t>
      </w:r>
      <w:r w:rsidR="00253DC6" w:rsidRPr="00A34456">
        <w:rPr>
          <w:lang w:eastAsia="ja-JP"/>
        </w:rPr>
        <w:t xml:space="preserve"> </w:t>
      </w:r>
      <w:r w:rsidR="00452BE5">
        <w:rPr>
          <w:lang w:eastAsia="ja-JP"/>
        </w:rPr>
        <w:t>mineral fertiliser from China</w:t>
      </w:r>
      <w:r w:rsidR="002B2EFA" w:rsidRPr="00A34456">
        <w:rPr>
          <w:lang w:eastAsia="ja-JP"/>
        </w:rPr>
        <w:t xml:space="preserve"> (tariff </w:t>
      </w:r>
      <w:r w:rsidR="00452BE5">
        <w:rPr>
          <w:lang w:eastAsia="ja-JP"/>
        </w:rPr>
        <w:t>3104.30.00.18)</w:t>
      </w:r>
      <w:r w:rsidR="00253DC6" w:rsidRPr="00A34456">
        <w:rPr>
          <w:lang w:eastAsia="ja-JP"/>
        </w:rPr>
        <w:t>.</w:t>
      </w:r>
      <w:r w:rsidR="00452BE5">
        <w:rPr>
          <w:lang w:eastAsia="ja-JP"/>
        </w:rPr>
        <w:t xml:space="preserve"> The fertiliser is packed </w:t>
      </w:r>
      <w:r w:rsidR="00452BE5" w:rsidRPr="0032742C">
        <w:rPr>
          <w:lang w:eastAsia="ja-JP"/>
        </w:rPr>
        <w:t xml:space="preserve">in </w:t>
      </w:r>
      <w:r w:rsidR="00F0328C" w:rsidRPr="0032742C">
        <w:rPr>
          <w:lang w:eastAsia="ja-JP"/>
        </w:rPr>
        <w:t>1000</w:t>
      </w:r>
      <w:r w:rsidR="00452BE5" w:rsidRPr="0032742C">
        <w:rPr>
          <w:lang w:eastAsia="ja-JP"/>
        </w:rPr>
        <w:t>kg</w:t>
      </w:r>
      <w:r w:rsidR="00452BE5">
        <w:rPr>
          <w:lang w:eastAsia="ja-JP"/>
        </w:rPr>
        <w:t xml:space="preserve"> bags.</w:t>
      </w:r>
      <w:r w:rsidR="00253DC6" w:rsidRPr="00A34456">
        <w:rPr>
          <w:lang w:eastAsia="ja-JP"/>
        </w:rPr>
        <w:t xml:space="preserve"> You are in possession of</w:t>
      </w:r>
      <w:r w:rsidR="0060199E">
        <w:rPr>
          <w:lang w:eastAsia="ja-JP"/>
        </w:rPr>
        <w:t>:</w:t>
      </w:r>
    </w:p>
    <w:p w14:paraId="17F72769" w14:textId="77777777" w:rsidR="0060199E" w:rsidRDefault="0060199E" w:rsidP="0060199E">
      <w:pPr>
        <w:pStyle w:val="ListBullet"/>
        <w:rPr>
          <w:lang w:eastAsia="ja-JP"/>
        </w:rPr>
      </w:pPr>
      <w:r>
        <w:rPr>
          <w:lang w:eastAsia="ja-JP"/>
        </w:rPr>
        <w:t xml:space="preserve">valid </w:t>
      </w:r>
      <w:r w:rsidR="001D266D" w:rsidRPr="00A34456">
        <w:rPr>
          <w:lang w:eastAsia="ja-JP"/>
        </w:rPr>
        <w:t>non-commodity do</w:t>
      </w:r>
      <w:r w:rsidR="006F0D63" w:rsidRPr="00A34456">
        <w:rPr>
          <w:lang w:eastAsia="ja-JP"/>
        </w:rPr>
        <w:t>cumentation</w:t>
      </w:r>
    </w:p>
    <w:p w14:paraId="64E65C4D" w14:textId="01C0EA88" w:rsidR="00987BCF" w:rsidRDefault="00987BCF" w:rsidP="0060199E">
      <w:pPr>
        <w:pStyle w:val="ListBullet"/>
        <w:rPr>
          <w:lang w:eastAsia="ja-JP"/>
        </w:rPr>
      </w:pPr>
      <w:r>
        <w:rPr>
          <w:lang w:eastAsia="ja-JP"/>
        </w:rPr>
        <w:t xml:space="preserve">evidence of the risk level </w:t>
      </w:r>
      <w:r w:rsidR="00F14605">
        <w:rPr>
          <w:lang w:eastAsia="ja-JP"/>
        </w:rPr>
        <w:t>rating</w:t>
      </w:r>
      <w:r>
        <w:rPr>
          <w:lang w:eastAsia="ja-JP"/>
        </w:rPr>
        <w:t xml:space="preserve"> issued by the department’s Bulk commodity </w:t>
      </w:r>
      <w:r w:rsidR="00410F79">
        <w:rPr>
          <w:lang w:eastAsia="ja-JP"/>
        </w:rPr>
        <w:t>NCC</w:t>
      </w:r>
      <w:r>
        <w:rPr>
          <w:lang w:eastAsia="ja-JP"/>
        </w:rPr>
        <w:t xml:space="preserve"> </w:t>
      </w:r>
      <w:r w:rsidR="00F14605">
        <w:rPr>
          <w:lang w:eastAsia="ja-JP"/>
        </w:rPr>
        <w:t>(</w:t>
      </w:r>
      <w:r>
        <w:rPr>
          <w:lang w:eastAsia="ja-JP"/>
        </w:rPr>
        <w:t>for risk level 2</w:t>
      </w:r>
      <w:r w:rsidR="00F14605">
        <w:rPr>
          <w:lang w:eastAsia="ja-JP"/>
        </w:rPr>
        <w:t>)</w:t>
      </w:r>
    </w:p>
    <w:p w14:paraId="0DE2C1EA" w14:textId="7907F04F" w:rsidR="00D351E2" w:rsidRDefault="00D351E2" w:rsidP="0060199E">
      <w:pPr>
        <w:pStyle w:val="ListBullet"/>
        <w:rPr>
          <w:lang w:eastAsia="ja-JP"/>
        </w:rPr>
      </w:pPr>
      <w:r>
        <w:rPr>
          <w:lang w:eastAsia="ja-JP"/>
        </w:rPr>
        <w:t>and a manufacturer’s declaration as prescribed in BICON</w:t>
      </w:r>
      <w:r w:rsidR="00987BCF">
        <w:rPr>
          <w:lang w:eastAsia="ja-JP"/>
        </w:rPr>
        <w:t>.</w:t>
      </w:r>
    </w:p>
    <w:p w14:paraId="1ED3C5E0" w14:textId="73013B24" w:rsidR="00831A35" w:rsidRPr="00831A35" w:rsidRDefault="00831A35" w:rsidP="00905F94">
      <w:pPr>
        <w:rPr>
          <w:rStyle w:val="IntenseEmphasis"/>
        </w:rPr>
      </w:pPr>
      <w:r w:rsidRPr="00831A35">
        <w:rPr>
          <w:rStyle w:val="IntenseEmphasis"/>
        </w:rPr>
        <w:t>Slide</w:t>
      </w:r>
      <w:r w:rsidR="00565CE5">
        <w:rPr>
          <w:rStyle w:val="IntenseEmphasis"/>
        </w:rPr>
        <w:t xml:space="preserve"> 5</w:t>
      </w:r>
    </w:p>
    <w:p w14:paraId="4F35D5A5" w14:textId="302A38A5" w:rsidR="00253DC6" w:rsidRDefault="00E53B7E" w:rsidP="00905F94">
      <w:pPr>
        <w:rPr>
          <w:lang w:eastAsia="ja-JP"/>
        </w:rPr>
      </w:pPr>
      <w:r>
        <w:rPr>
          <w:lang w:eastAsia="ja-JP"/>
        </w:rPr>
        <w:t>Let’s go</w:t>
      </w:r>
      <w:r w:rsidR="00253DC6">
        <w:rPr>
          <w:lang w:eastAsia="ja-JP"/>
        </w:rPr>
        <w:t xml:space="preserve"> to the Approved commodities and related information for class 19.2 approved arrangements webpage</w:t>
      </w:r>
      <w:r w:rsidR="00410F79">
        <w:rPr>
          <w:lang w:eastAsia="ja-JP"/>
        </w:rPr>
        <w:t>.</w:t>
      </w:r>
    </w:p>
    <w:p w14:paraId="404436BA" w14:textId="1F625F12" w:rsidR="00220834" w:rsidRDefault="00410F79" w:rsidP="00905F94">
      <w:pPr>
        <w:rPr>
          <w:lang w:eastAsia="ja-JP"/>
        </w:rPr>
      </w:pPr>
      <w:r>
        <w:rPr>
          <w:lang w:eastAsia="ja-JP"/>
        </w:rPr>
        <w:lastRenderedPageBreak/>
        <w:t>Y</w:t>
      </w:r>
      <w:r w:rsidR="00896FC4">
        <w:rPr>
          <w:lang w:eastAsia="ja-JP"/>
        </w:rPr>
        <w:t xml:space="preserve">ou </w:t>
      </w:r>
      <w:r w:rsidR="00700EE4">
        <w:rPr>
          <w:lang w:eastAsia="ja-JP"/>
        </w:rPr>
        <w:t xml:space="preserve">need to </w:t>
      </w:r>
      <w:r w:rsidR="00896FC4">
        <w:rPr>
          <w:lang w:eastAsia="ja-JP"/>
        </w:rPr>
        <w:t xml:space="preserve">refer to </w:t>
      </w:r>
      <w:r w:rsidR="00700EE4">
        <w:rPr>
          <w:lang w:eastAsia="ja-JP"/>
        </w:rPr>
        <w:t xml:space="preserve">the </w:t>
      </w:r>
      <w:r w:rsidR="00220834">
        <w:rPr>
          <w:lang w:eastAsia="ja-JP"/>
        </w:rPr>
        <w:t>Fertiliser</w:t>
      </w:r>
      <w:r w:rsidR="00387C1B">
        <w:rPr>
          <w:lang w:eastAsia="ja-JP"/>
        </w:rPr>
        <w:t xml:space="preserve"> </w:t>
      </w:r>
      <w:r w:rsidR="00700EE4">
        <w:rPr>
          <w:lang w:eastAsia="ja-JP"/>
        </w:rPr>
        <w:t xml:space="preserve">section of the webpage. </w:t>
      </w:r>
    </w:p>
    <w:p w14:paraId="67DED38A" w14:textId="77777777" w:rsidR="00654F60" w:rsidRDefault="00114C5C" w:rsidP="00905F94">
      <w:pPr>
        <w:rPr>
          <w:lang w:eastAsia="ja-JP"/>
        </w:rPr>
      </w:pPr>
      <w:r>
        <w:rPr>
          <w:lang w:eastAsia="ja-JP"/>
        </w:rPr>
        <w:t>This section</w:t>
      </w:r>
      <w:r w:rsidR="00271E1B">
        <w:rPr>
          <w:lang w:eastAsia="ja-JP"/>
        </w:rPr>
        <w:t xml:space="preserve"> specifies the BICON case containing in-scope pathways for this commodity </w:t>
      </w:r>
      <w:r w:rsidR="00220834">
        <w:rPr>
          <w:lang w:eastAsia="ja-JP"/>
        </w:rPr>
        <w:t>group</w:t>
      </w:r>
      <w:r w:rsidR="00410F79">
        <w:rPr>
          <w:lang w:eastAsia="ja-JP"/>
        </w:rPr>
        <w:t xml:space="preserve"> is the Fertilisers case.</w:t>
      </w:r>
    </w:p>
    <w:p w14:paraId="13F45F5B" w14:textId="730CEB1B" w:rsidR="00220834" w:rsidRDefault="00410F79" w:rsidP="00905F94">
      <w:pPr>
        <w:rPr>
          <w:lang w:eastAsia="ja-JP"/>
        </w:rPr>
      </w:pPr>
      <w:r>
        <w:rPr>
          <w:lang w:eastAsia="ja-JP"/>
        </w:rPr>
        <w:t>The information also</w:t>
      </w:r>
      <w:r w:rsidR="00220834">
        <w:rPr>
          <w:lang w:eastAsia="ja-JP"/>
        </w:rPr>
        <w:t xml:space="preserve"> states that this group includes:</w:t>
      </w:r>
    </w:p>
    <w:p w14:paraId="20FADB1C" w14:textId="77777777" w:rsidR="00220834" w:rsidRDefault="00220834" w:rsidP="00220834">
      <w:pPr>
        <w:pStyle w:val="ListBullet"/>
        <w:rPr>
          <w:lang w:eastAsia="ja-JP"/>
        </w:rPr>
      </w:pPr>
      <w:r>
        <w:rPr>
          <w:lang w:eastAsia="ja-JP"/>
        </w:rPr>
        <w:t>solid fertilisers containing mined and chemical ingredients only. These could be chemical or synthetic ingredients</w:t>
      </w:r>
    </w:p>
    <w:p w14:paraId="52B48BBA" w14:textId="77777777" w:rsidR="00220834" w:rsidRDefault="00220834" w:rsidP="00220834">
      <w:pPr>
        <w:pStyle w:val="ListBullet"/>
        <w:rPr>
          <w:lang w:eastAsia="ja-JP"/>
        </w:rPr>
      </w:pPr>
      <w:r>
        <w:rPr>
          <w:lang w:eastAsia="ja-JP"/>
        </w:rPr>
        <w:t>fertilisers classed as risk level 1, 2 or 3</w:t>
      </w:r>
    </w:p>
    <w:p w14:paraId="73612E24" w14:textId="77777777" w:rsidR="00220834" w:rsidRDefault="00220834" w:rsidP="00220834">
      <w:pPr>
        <w:pStyle w:val="ListBullet"/>
        <w:rPr>
          <w:lang w:eastAsia="ja-JP"/>
        </w:rPr>
      </w:pPr>
      <w:r>
        <w:rPr>
          <w:lang w:eastAsia="ja-JP"/>
        </w:rPr>
        <w:t>fertilisers that are bagged or loose in an FCL or FCX container.</w:t>
      </w:r>
    </w:p>
    <w:p w14:paraId="72341788" w14:textId="75AECAD4" w:rsidR="00271E1B" w:rsidRDefault="001C2127" w:rsidP="00905F94">
      <w:pPr>
        <w:rPr>
          <w:lang w:eastAsia="ja-JP"/>
        </w:rPr>
      </w:pPr>
      <w:r>
        <w:rPr>
          <w:lang w:eastAsia="ja-JP"/>
        </w:rPr>
        <w:t>This</w:t>
      </w:r>
      <w:r w:rsidR="00410F79">
        <w:rPr>
          <w:lang w:eastAsia="ja-JP"/>
        </w:rPr>
        <w:t xml:space="preserve"> consignment</w:t>
      </w:r>
      <w:r w:rsidR="00B9237B">
        <w:rPr>
          <w:lang w:eastAsia="ja-JP"/>
        </w:rPr>
        <w:t xml:space="preserve"> fits into this description.</w:t>
      </w:r>
    </w:p>
    <w:p w14:paraId="00F9CC43" w14:textId="22609482" w:rsidR="008A000C" w:rsidRDefault="008A000C" w:rsidP="00905F94">
      <w:pPr>
        <w:rPr>
          <w:lang w:eastAsia="ja-JP"/>
        </w:rPr>
      </w:pPr>
      <w:r>
        <w:rPr>
          <w:lang w:eastAsia="ja-JP"/>
        </w:rPr>
        <w:t>Now we check the tariff is in-scope of the approved arrangement.</w:t>
      </w:r>
    </w:p>
    <w:p w14:paraId="352332CC" w14:textId="6E2E0774" w:rsidR="008A000C" w:rsidRDefault="008A000C" w:rsidP="00905F94">
      <w:pPr>
        <w:rPr>
          <w:lang w:eastAsia="ja-JP"/>
        </w:rPr>
      </w:pPr>
      <w:r>
        <w:rPr>
          <w:lang w:eastAsia="ja-JP"/>
        </w:rPr>
        <w:t>Yes, it is. It fits under 3104.</w:t>
      </w:r>
    </w:p>
    <w:p w14:paraId="649A221F" w14:textId="3C3F3470" w:rsidR="00F86FB5" w:rsidRDefault="00010CB8" w:rsidP="00905F94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The </w:t>
      </w:r>
      <w:r w:rsidR="00264FE9">
        <w:rPr>
          <w:rStyle w:val="IntenseEmphasis"/>
          <w:i w:val="0"/>
          <w:color w:val="auto"/>
        </w:rPr>
        <w:t xml:space="preserve">information on the webpage will also list other conditions you may </w:t>
      </w:r>
      <w:r w:rsidR="00B462D7">
        <w:rPr>
          <w:rStyle w:val="IntenseEmphasis"/>
          <w:i w:val="0"/>
          <w:color w:val="auto"/>
        </w:rPr>
        <w:t xml:space="preserve">need to draw </w:t>
      </w:r>
      <w:r w:rsidR="00264FE9">
        <w:rPr>
          <w:rStyle w:val="IntenseEmphasis"/>
          <w:i w:val="0"/>
          <w:color w:val="auto"/>
        </w:rPr>
        <w:t>your attention to in relation to the lodgement.</w:t>
      </w:r>
    </w:p>
    <w:p w14:paraId="6864CD19" w14:textId="124EFC45" w:rsidR="00264FE9" w:rsidRDefault="00F86FB5" w:rsidP="00905F94">
      <w:pPr>
        <w:rPr>
          <w:lang w:eastAsia="ja-JP"/>
        </w:rPr>
      </w:pPr>
      <w:r>
        <w:rPr>
          <w:rStyle w:val="IntenseEmphasis"/>
          <w:i w:val="0"/>
          <w:color w:val="auto"/>
        </w:rPr>
        <w:t>In this case, it alerts you to condition 17 – in relation to entering ACC codes in the system.</w:t>
      </w:r>
    </w:p>
    <w:p w14:paraId="31DC51D2" w14:textId="1146D52F" w:rsidR="008256FA" w:rsidRPr="008256FA" w:rsidRDefault="008D159A" w:rsidP="00905F94">
      <w:pPr>
        <w:rPr>
          <w:rStyle w:val="IntenseEmphasis"/>
        </w:rPr>
      </w:pPr>
      <w:r>
        <w:rPr>
          <w:rStyle w:val="IntenseEmphasis"/>
        </w:rPr>
        <w:t xml:space="preserve">Slide </w:t>
      </w:r>
      <w:r w:rsidR="00565CE5">
        <w:rPr>
          <w:rStyle w:val="IntenseEmphasis"/>
        </w:rPr>
        <w:t>6</w:t>
      </w:r>
    </w:p>
    <w:p w14:paraId="7F52EF80" w14:textId="77777777" w:rsidR="00EF0853" w:rsidRDefault="00565CE5" w:rsidP="00565CE5">
      <w:pPr>
        <w:rPr>
          <w:lang w:eastAsia="ja-JP"/>
        </w:rPr>
      </w:pPr>
      <w:r>
        <w:rPr>
          <w:lang w:eastAsia="ja-JP"/>
        </w:rPr>
        <w:t>Now</w:t>
      </w:r>
      <w:r w:rsidR="00A2684C">
        <w:rPr>
          <w:lang w:eastAsia="ja-JP"/>
        </w:rPr>
        <w:t>,</w:t>
      </w:r>
      <w:r>
        <w:rPr>
          <w:lang w:eastAsia="ja-JP"/>
        </w:rPr>
        <w:t xml:space="preserve"> let’s go to the Fertilisers BICON case to verify the import pathway is in scope of AEPCOMM and determine the AEPCOMM code to enter in the system. </w:t>
      </w:r>
    </w:p>
    <w:p w14:paraId="7A66FE1B" w14:textId="2BBAF5F1" w:rsidR="00565CE5" w:rsidRDefault="00565CE5" w:rsidP="00565CE5">
      <w:pPr>
        <w:rPr>
          <w:lang w:eastAsia="ja-JP"/>
        </w:rPr>
      </w:pPr>
      <w:r>
        <w:rPr>
          <w:lang w:eastAsia="ja-JP"/>
        </w:rPr>
        <w:t>Please remember AEPCOMM information is only visible through your AEPCOMM user account.</w:t>
      </w:r>
    </w:p>
    <w:p w14:paraId="5747E9CA" w14:textId="77777777" w:rsidR="00537B70" w:rsidRDefault="00537B70" w:rsidP="00537B70">
      <w:pPr>
        <w:rPr>
          <w:lang w:eastAsia="ja-JP"/>
        </w:rPr>
      </w:pPr>
      <w:r>
        <w:rPr>
          <w:lang w:eastAsia="ja-JP"/>
        </w:rPr>
        <w:t>Now you would follow the import pathway by answering the import questions according to the scenario.</w:t>
      </w:r>
    </w:p>
    <w:p w14:paraId="21FF0850" w14:textId="6FB22144" w:rsidR="00911316" w:rsidRDefault="00911316" w:rsidP="0045557D">
      <w:pPr>
        <w:rPr>
          <w:noProof/>
          <w:lang w:eastAsia="en-AU"/>
        </w:rPr>
      </w:pPr>
      <w:r>
        <w:rPr>
          <w:noProof/>
          <w:lang w:eastAsia="en-AU"/>
        </w:rPr>
        <w:t>We are in posession of all required documentation including risk level evidence.</w:t>
      </w:r>
    </w:p>
    <w:p w14:paraId="158CF7EC" w14:textId="178A93AC" w:rsidR="00435797" w:rsidRDefault="00435797" w:rsidP="0018519A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The BICON onshore outcomes indicates an inspection is required.</w:t>
      </w:r>
    </w:p>
    <w:p w14:paraId="0528B73F" w14:textId="0AF8498B" w:rsidR="00435797" w:rsidRDefault="006A1AD6" w:rsidP="0018519A">
      <w:pPr>
        <w:rPr>
          <w:rStyle w:val="IntenseEmphasis"/>
          <w:i w:val="0"/>
          <w:color w:val="auto"/>
        </w:rPr>
      </w:pPr>
      <w:r>
        <w:rPr>
          <w:rStyle w:val="IntenseEmphasis"/>
        </w:rPr>
        <w:t>Slide 7</w:t>
      </w:r>
    </w:p>
    <w:p w14:paraId="5DEA22FA" w14:textId="285E6668" w:rsidR="00435797" w:rsidRDefault="00435797" w:rsidP="00435797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The AEPCOMM section displays the AEPCOMM code INS. </w:t>
      </w:r>
    </w:p>
    <w:p w14:paraId="70FCC986" w14:textId="77777777" w:rsidR="00565CE5" w:rsidRDefault="00803C20" w:rsidP="0018519A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T</w:t>
      </w:r>
      <w:r w:rsidR="004609D3">
        <w:rPr>
          <w:rStyle w:val="IntenseEmphasis"/>
          <w:i w:val="0"/>
          <w:color w:val="auto"/>
        </w:rPr>
        <w:t>his code needs to be entered</w:t>
      </w:r>
      <w:r w:rsidR="00301CA3">
        <w:rPr>
          <w:rStyle w:val="IntenseEmphasis"/>
          <w:i w:val="0"/>
          <w:color w:val="auto"/>
        </w:rPr>
        <w:t xml:space="preserve"> against the relevant line in the AEP processing type field</w:t>
      </w:r>
      <w:r w:rsidR="00D15F5A">
        <w:rPr>
          <w:rStyle w:val="IntenseEmphasis"/>
          <w:i w:val="0"/>
          <w:color w:val="auto"/>
        </w:rPr>
        <w:t xml:space="preserve"> of the Integrated cargo system (or ICS). </w:t>
      </w:r>
    </w:p>
    <w:p w14:paraId="2F668BD1" w14:textId="3AB8D351" w:rsidR="00D64F80" w:rsidRDefault="0018519A" w:rsidP="0018519A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>Additionally,</w:t>
      </w:r>
      <w:r w:rsidR="00566910">
        <w:rPr>
          <w:rStyle w:val="IntenseEmphasis"/>
          <w:i w:val="0"/>
          <w:color w:val="auto"/>
        </w:rPr>
        <w:t xml:space="preserve"> BICON indicates</w:t>
      </w:r>
      <w:r w:rsidR="00803C20">
        <w:rPr>
          <w:rStyle w:val="IntenseEmphasis"/>
          <w:i w:val="0"/>
          <w:color w:val="auto"/>
        </w:rPr>
        <w:t xml:space="preserve"> that</w:t>
      </w:r>
      <w:r>
        <w:rPr>
          <w:rStyle w:val="IntenseEmphasis"/>
          <w:i w:val="0"/>
          <w:color w:val="auto"/>
        </w:rPr>
        <w:t xml:space="preserve"> this subgroup also requires you to </w:t>
      </w:r>
      <w:r w:rsidR="00826F5E">
        <w:rPr>
          <w:rStyle w:val="IntenseEmphasis"/>
          <w:i w:val="0"/>
          <w:color w:val="auto"/>
        </w:rPr>
        <w:t>enter</w:t>
      </w:r>
      <w:r>
        <w:rPr>
          <w:rStyle w:val="IntenseEmphasis"/>
          <w:i w:val="0"/>
          <w:color w:val="auto"/>
        </w:rPr>
        <w:t xml:space="preserve"> </w:t>
      </w:r>
      <w:r w:rsidRPr="0032742C">
        <w:rPr>
          <w:rStyle w:val="IntenseEmphasis"/>
          <w:i w:val="0"/>
          <w:color w:val="auto"/>
        </w:rPr>
        <w:t>the ACC code FTR2 (for fertiliser risk category 2)</w:t>
      </w:r>
      <w:r w:rsidR="00D83751">
        <w:rPr>
          <w:rStyle w:val="IntenseEmphasis"/>
          <w:i w:val="0"/>
          <w:color w:val="auto"/>
        </w:rPr>
        <w:t xml:space="preserve"> </w:t>
      </w:r>
      <w:r w:rsidRPr="0032742C">
        <w:rPr>
          <w:rStyle w:val="IntenseEmphasis"/>
          <w:i w:val="0"/>
          <w:color w:val="auto"/>
        </w:rPr>
        <w:t>in the AQIS commodity code field in the ICS.</w:t>
      </w:r>
      <w:r w:rsidR="003148E1" w:rsidRPr="0032742C">
        <w:rPr>
          <w:rStyle w:val="IntenseEmphasis"/>
          <w:i w:val="0"/>
          <w:color w:val="auto"/>
        </w:rPr>
        <w:t xml:space="preserve"> </w:t>
      </w:r>
    </w:p>
    <w:p w14:paraId="14862CFD" w14:textId="0C0EA3A6" w:rsidR="0018519A" w:rsidRDefault="003148E1" w:rsidP="0018519A">
      <w:pPr>
        <w:rPr>
          <w:rStyle w:val="IntenseEmphasis"/>
          <w:i w:val="0"/>
          <w:color w:val="auto"/>
        </w:rPr>
      </w:pPr>
      <w:r w:rsidRPr="0032742C">
        <w:rPr>
          <w:rStyle w:val="IntenseEmphasis"/>
          <w:i w:val="0"/>
          <w:color w:val="auto"/>
        </w:rPr>
        <w:t>As mentioned before, the ACC code is a critical field for managing fertilisers classified at risk level 1 and 2</w:t>
      </w:r>
      <w:r w:rsidR="00C31138" w:rsidRPr="0032742C">
        <w:rPr>
          <w:rStyle w:val="IntenseEmphasis"/>
          <w:i w:val="0"/>
          <w:color w:val="auto"/>
        </w:rPr>
        <w:t xml:space="preserve"> adequately</w:t>
      </w:r>
      <w:r w:rsidRPr="0032742C">
        <w:rPr>
          <w:rStyle w:val="IntenseEmphasis"/>
          <w:i w:val="0"/>
          <w:color w:val="auto"/>
        </w:rPr>
        <w:t>.</w:t>
      </w:r>
      <w:r>
        <w:rPr>
          <w:rStyle w:val="IntenseEmphasis"/>
          <w:i w:val="0"/>
          <w:color w:val="auto"/>
        </w:rPr>
        <w:t xml:space="preserve"> </w:t>
      </w:r>
    </w:p>
    <w:p w14:paraId="7A78A4B2" w14:textId="77777777" w:rsidR="00BF719A" w:rsidRDefault="00323368" w:rsidP="0045557D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As you are expecting an inspection direction to be generated by the system, you are also required to </w:t>
      </w:r>
      <w:r w:rsidR="00826F5E">
        <w:rPr>
          <w:rStyle w:val="IntenseEmphasis"/>
          <w:i w:val="0"/>
          <w:color w:val="auto"/>
        </w:rPr>
        <w:t>enter</w:t>
      </w:r>
      <w:r>
        <w:rPr>
          <w:rStyle w:val="IntenseEmphasis"/>
          <w:i w:val="0"/>
          <w:color w:val="auto"/>
        </w:rPr>
        <w:t xml:space="preserve"> an appropriate A</w:t>
      </w:r>
      <w:r w:rsidR="00A15816">
        <w:rPr>
          <w:rStyle w:val="IntenseEmphasis"/>
          <w:i w:val="0"/>
          <w:color w:val="auto"/>
        </w:rPr>
        <w:t>A site number</w:t>
      </w:r>
      <w:r>
        <w:rPr>
          <w:rStyle w:val="IntenseEmphasis"/>
          <w:i w:val="0"/>
          <w:color w:val="auto"/>
        </w:rPr>
        <w:t xml:space="preserve"> (as shown here) in the </w:t>
      </w:r>
      <w:r w:rsidR="00A15816">
        <w:rPr>
          <w:rStyle w:val="IntenseEmphasis"/>
          <w:i w:val="0"/>
          <w:color w:val="auto"/>
        </w:rPr>
        <w:t xml:space="preserve">AQIS premises </w:t>
      </w:r>
      <w:r>
        <w:rPr>
          <w:rStyle w:val="IntenseEmphasis"/>
          <w:i w:val="0"/>
          <w:color w:val="auto"/>
        </w:rPr>
        <w:t>ID field in the ICS.</w:t>
      </w:r>
    </w:p>
    <w:p w14:paraId="693C0E31" w14:textId="642B4257" w:rsidR="004A203E" w:rsidRDefault="004A203E" w:rsidP="004A203E">
      <w:pPr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When lodging the import declaration you also need to ensure that you answer Community </w:t>
      </w:r>
      <w:r w:rsidR="008A1B06">
        <w:rPr>
          <w:rStyle w:val="IntenseEmphasis"/>
          <w:i w:val="0"/>
          <w:color w:val="auto"/>
        </w:rPr>
        <w:t xml:space="preserve">Protection (CP) profile </w:t>
      </w:r>
      <w:r>
        <w:rPr>
          <w:rStyle w:val="IntenseEmphasis"/>
          <w:i w:val="0"/>
          <w:color w:val="auto"/>
        </w:rPr>
        <w:t>questions in relation to the type and pack</w:t>
      </w:r>
      <w:r w:rsidR="008A1B06">
        <w:rPr>
          <w:rStyle w:val="IntenseEmphasis"/>
          <w:i w:val="0"/>
          <w:color w:val="auto"/>
        </w:rPr>
        <w:t>ag</w:t>
      </w:r>
      <w:r>
        <w:rPr>
          <w:rStyle w:val="IntenseEmphasis"/>
          <w:i w:val="0"/>
          <w:color w:val="auto"/>
        </w:rPr>
        <w:t xml:space="preserve">ing of the fertiliser accurately, as the appropriate answers will allow the system to process the declaration </w:t>
      </w:r>
      <w:r w:rsidR="002875A0">
        <w:rPr>
          <w:rStyle w:val="IntenseEmphasis"/>
          <w:i w:val="0"/>
          <w:color w:val="auto"/>
        </w:rPr>
        <w:t xml:space="preserve">correctly </w:t>
      </w:r>
      <w:r>
        <w:rPr>
          <w:rStyle w:val="IntenseEmphasis"/>
          <w:i w:val="0"/>
          <w:color w:val="auto"/>
        </w:rPr>
        <w:t>through AEPCOMM.</w:t>
      </w:r>
    </w:p>
    <w:p w14:paraId="1837E6A3" w14:textId="77777777" w:rsidR="00D83751" w:rsidRDefault="00D83751" w:rsidP="0045557D">
      <w:pPr>
        <w:rPr>
          <w:rStyle w:val="IntenseEmphasis"/>
        </w:rPr>
      </w:pPr>
    </w:p>
    <w:p w14:paraId="7328882B" w14:textId="3978A5EB" w:rsidR="008256FA" w:rsidRDefault="008D159A" w:rsidP="0045557D">
      <w:pPr>
        <w:rPr>
          <w:rStyle w:val="IntenseEmphasis"/>
          <w:i w:val="0"/>
          <w:color w:val="auto"/>
        </w:rPr>
      </w:pPr>
      <w:r>
        <w:rPr>
          <w:rStyle w:val="IntenseEmphasis"/>
        </w:rPr>
        <w:t>Slide</w:t>
      </w:r>
      <w:r w:rsidR="006A1AD6">
        <w:rPr>
          <w:rStyle w:val="IntenseEmphasis"/>
        </w:rPr>
        <w:t xml:space="preserve"> 8</w:t>
      </w:r>
    </w:p>
    <w:p w14:paraId="74FCC105" w14:textId="5B74E6CA" w:rsidR="0075015F" w:rsidRDefault="0075015F" w:rsidP="00905F94">
      <w:pPr>
        <w:rPr>
          <w:lang w:eastAsia="ja-JP"/>
        </w:rPr>
      </w:pPr>
      <w:r>
        <w:rPr>
          <w:lang w:eastAsia="ja-JP"/>
        </w:rPr>
        <w:lastRenderedPageBreak/>
        <w:t xml:space="preserve">Once the lodgement is completed, and </w:t>
      </w:r>
      <w:r w:rsidR="00D41B98">
        <w:rPr>
          <w:lang w:eastAsia="ja-JP"/>
        </w:rPr>
        <w:t xml:space="preserve">if </w:t>
      </w:r>
      <w:r>
        <w:rPr>
          <w:lang w:eastAsia="ja-JP"/>
        </w:rPr>
        <w:t xml:space="preserve">the import declaration is not selected for a document assessment verification by the </w:t>
      </w:r>
      <w:r w:rsidR="00E602E4">
        <w:rPr>
          <w:lang w:eastAsia="ja-JP"/>
        </w:rPr>
        <w:t>system</w:t>
      </w:r>
      <w:r>
        <w:rPr>
          <w:lang w:eastAsia="ja-JP"/>
        </w:rPr>
        <w:t>, the Agriculture import management system (or AIMS)</w:t>
      </w:r>
      <w:r w:rsidR="00D83751">
        <w:rPr>
          <w:lang w:eastAsia="ja-JP"/>
        </w:rPr>
        <w:t xml:space="preserve"> </w:t>
      </w:r>
      <w:r>
        <w:rPr>
          <w:lang w:eastAsia="ja-JP"/>
        </w:rPr>
        <w:t>will generate a</w:t>
      </w:r>
      <w:r w:rsidR="00BD7144">
        <w:rPr>
          <w:lang w:eastAsia="ja-JP"/>
        </w:rPr>
        <w:t>n i</w:t>
      </w:r>
      <w:r w:rsidR="00113520">
        <w:rPr>
          <w:lang w:eastAsia="ja-JP"/>
        </w:rPr>
        <w:t>nspection</w:t>
      </w:r>
      <w:r>
        <w:rPr>
          <w:lang w:eastAsia="ja-JP"/>
        </w:rPr>
        <w:t xml:space="preserve"> direction and email it to your company’s nominated address.</w:t>
      </w:r>
    </w:p>
    <w:p w14:paraId="1F85DBAC" w14:textId="77777777" w:rsidR="0075015F" w:rsidRDefault="0075015F" w:rsidP="00905F94">
      <w:pPr>
        <w:rPr>
          <w:lang w:eastAsia="ja-JP"/>
        </w:rPr>
      </w:pPr>
      <w:r>
        <w:rPr>
          <w:lang w:eastAsia="ja-JP"/>
        </w:rPr>
        <w:t>If you have any AEP related questions please contact AEPsupport@awe.gov.au</w:t>
      </w:r>
    </w:p>
    <w:p w14:paraId="6D491CE3" w14:textId="77777777" w:rsidR="0075015F" w:rsidRDefault="0075015F" w:rsidP="00905F94">
      <w:pPr>
        <w:rPr>
          <w:lang w:eastAsia="ja-JP"/>
        </w:rPr>
      </w:pPr>
    </w:p>
    <w:p w14:paraId="28E634A4" w14:textId="77777777" w:rsidR="00D91C89" w:rsidRDefault="00D91C89" w:rsidP="00905F94">
      <w:pPr>
        <w:rPr>
          <w:lang w:eastAsia="ja-JP"/>
        </w:rPr>
      </w:pPr>
    </w:p>
    <w:p w14:paraId="227E3AF1" w14:textId="77777777" w:rsidR="00EB2A60" w:rsidRDefault="00EB2A60" w:rsidP="00905F94">
      <w:pPr>
        <w:rPr>
          <w:lang w:eastAsia="ja-JP"/>
        </w:rPr>
      </w:pPr>
    </w:p>
    <w:p w14:paraId="5FA7EE57" w14:textId="77777777" w:rsidR="00107454" w:rsidRDefault="00107454" w:rsidP="00905F94">
      <w:pPr>
        <w:rPr>
          <w:lang w:eastAsia="ja-JP"/>
        </w:rPr>
      </w:pPr>
      <w:r>
        <w:rPr>
          <w:lang w:eastAsia="ja-JP"/>
        </w:rPr>
        <w:t xml:space="preserve"> </w:t>
      </w:r>
    </w:p>
    <w:sectPr w:rsidR="00107454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7BE5" w14:textId="77777777" w:rsidR="00E35F29" w:rsidRDefault="00E35F29">
      <w:r>
        <w:separator/>
      </w:r>
    </w:p>
  </w:endnote>
  <w:endnote w:type="continuationSeparator" w:id="0">
    <w:p w14:paraId="21A66F8A" w14:textId="77777777" w:rsidR="00E35F29" w:rsidRDefault="00E35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1AB36" w14:textId="77777777" w:rsidR="00C6669A" w:rsidRDefault="00C6669A" w:rsidP="00C6669A">
        <w:pPr>
          <w:pStyle w:val="Footer"/>
          <w:jc w:val="right"/>
        </w:pPr>
        <w:r>
          <w:t>Department of Agriculture</w:t>
        </w:r>
        <w:r w:rsidR="00484EEC">
          <w:t>, Water and the Environment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6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07A5D" w14:textId="77777777" w:rsidR="00E35F29" w:rsidRDefault="00E35F29">
      <w:r>
        <w:separator/>
      </w:r>
    </w:p>
  </w:footnote>
  <w:footnote w:type="continuationSeparator" w:id="0">
    <w:p w14:paraId="43B695D0" w14:textId="77777777" w:rsidR="00E35F29" w:rsidRDefault="00E35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AFFE8" w14:textId="77777777" w:rsidR="00484EEC" w:rsidRDefault="00484EEC">
    <w:pPr>
      <w:pStyle w:val="Header"/>
    </w:pPr>
    <w:r>
      <w:rPr>
        <w:noProof/>
      </w:rPr>
      <w:drawing>
        <wp:inline distT="0" distB="0" distL="0" distR="0" wp14:anchorId="6BBA5784" wp14:editId="66BC57B0">
          <wp:extent cx="2123264" cy="63724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aster_Inline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3264" cy="637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0060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37"/>
    <w:rsid w:val="00002384"/>
    <w:rsid w:val="00004718"/>
    <w:rsid w:val="00010CB8"/>
    <w:rsid w:val="000263A9"/>
    <w:rsid w:val="00026C87"/>
    <w:rsid w:val="000F6220"/>
    <w:rsid w:val="00107454"/>
    <w:rsid w:val="00113520"/>
    <w:rsid w:val="00113EC4"/>
    <w:rsid w:val="00114C5C"/>
    <w:rsid w:val="00121C23"/>
    <w:rsid w:val="00123C37"/>
    <w:rsid w:val="0012536B"/>
    <w:rsid w:val="001425C1"/>
    <w:rsid w:val="00173566"/>
    <w:rsid w:val="0018519A"/>
    <w:rsid w:val="001903D2"/>
    <w:rsid w:val="001C2127"/>
    <w:rsid w:val="001D266D"/>
    <w:rsid w:val="0020750D"/>
    <w:rsid w:val="00220834"/>
    <w:rsid w:val="00244D4A"/>
    <w:rsid w:val="00253DC6"/>
    <w:rsid w:val="002604C8"/>
    <w:rsid w:val="00264FE9"/>
    <w:rsid w:val="00271E1B"/>
    <w:rsid w:val="00277D72"/>
    <w:rsid w:val="002875A0"/>
    <w:rsid w:val="00293123"/>
    <w:rsid w:val="002B2EFA"/>
    <w:rsid w:val="00301CA3"/>
    <w:rsid w:val="003148E1"/>
    <w:rsid w:val="00323368"/>
    <w:rsid w:val="0032742C"/>
    <w:rsid w:val="00372498"/>
    <w:rsid w:val="00376CBE"/>
    <w:rsid w:val="00387C1B"/>
    <w:rsid w:val="003A19B0"/>
    <w:rsid w:val="003F226D"/>
    <w:rsid w:val="003F74DE"/>
    <w:rsid w:val="00410F79"/>
    <w:rsid w:val="00412F39"/>
    <w:rsid w:val="0042079A"/>
    <w:rsid w:val="00435797"/>
    <w:rsid w:val="00437823"/>
    <w:rsid w:val="00441002"/>
    <w:rsid w:val="00442576"/>
    <w:rsid w:val="00452BE5"/>
    <w:rsid w:val="0045557D"/>
    <w:rsid w:val="004609D3"/>
    <w:rsid w:val="00461807"/>
    <w:rsid w:val="00465819"/>
    <w:rsid w:val="00484EEC"/>
    <w:rsid w:val="00487533"/>
    <w:rsid w:val="004A203E"/>
    <w:rsid w:val="004C68A6"/>
    <w:rsid w:val="00537B70"/>
    <w:rsid w:val="0054747E"/>
    <w:rsid w:val="005525AE"/>
    <w:rsid w:val="00565CE5"/>
    <w:rsid w:val="00566910"/>
    <w:rsid w:val="005F0980"/>
    <w:rsid w:val="0060199E"/>
    <w:rsid w:val="00610155"/>
    <w:rsid w:val="00626E31"/>
    <w:rsid w:val="0064305B"/>
    <w:rsid w:val="00654F60"/>
    <w:rsid w:val="006A1AD6"/>
    <w:rsid w:val="006F0D63"/>
    <w:rsid w:val="00700EE4"/>
    <w:rsid w:val="00703128"/>
    <w:rsid w:val="0073402B"/>
    <w:rsid w:val="00744079"/>
    <w:rsid w:val="0075015F"/>
    <w:rsid w:val="007805C7"/>
    <w:rsid w:val="007E1BC9"/>
    <w:rsid w:val="008032E0"/>
    <w:rsid w:val="00803C20"/>
    <w:rsid w:val="008256FA"/>
    <w:rsid w:val="00826F5E"/>
    <w:rsid w:val="00831A35"/>
    <w:rsid w:val="00851C20"/>
    <w:rsid w:val="00896FC4"/>
    <w:rsid w:val="008A000C"/>
    <w:rsid w:val="008A1B06"/>
    <w:rsid w:val="008D159A"/>
    <w:rsid w:val="008E74FA"/>
    <w:rsid w:val="00905F94"/>
    <w:rsid w:val="00911316"/>
    <w:rsid w:val="00927134"/>
    <w:rsid w:val="00932B57"/>
    <w:rsid w:val="00987BCF"/>
    <w:rsid w:val="009C136B"/>
    <w:rsid w:val="00A03B4F"/>
    <w:rsid w:val="00A15816"/>
    <w:rsid w:val="00A17FC6"/>
    <w:rsid w:val="00A2684C"/>
    <w:rsid w:val="00A34456"/>
    <w:rsid w:val="00A45C54"/>
    <w:rsid w:val="00A564CD"/>
    <w:rsid w:val="00AA4B88"/>
    <w:rsid w:val="00AC3B35"/>
    <w:rsid w:val="00AD4D9B"/>
    <w:rsid w:val="00AE144F"/>
    <w:rsid w:val="00B21813"/>
    <w:rsid w:val="00B462D7"/>
    <w:rsid w:val="00B57188"/>
    <w:rsid w:val="00B82A8F"/>
    <w:rsid w:val="00B9237B"/>
    <w:rsid w:val="00BD7144"/>
    <w:rsid w:val="00BD7E10"/>
    <w:rsid w:val="00BF719A"/>
    <w:rsid w:val="00C20BB4"/>
    <w:rsid w:val="00C31138"/>
    <w:rsid w:val="00C4501B"/>
    <w:rsid w:val="00C6669A"/>
    <w:rsid w:val="00C93B84"/>
    <w:rsid w:val="00CB014C"/>
    <w:rsid w:val="00CD6606"/>
    <w:rsid w:val="00CF5098"/>
    <w:rsid w:val="00D15C8A"/>
    <w:rsid w:val="00D15F5A"/>
    <w:rsid w:val="00D1669F"/>
    <w:rsid w:val="00D351E2"/>
    <w:rsid w:val="00D41B98"/>
    <w:rsid w:val="00D64F80"/>
    <w:rsid w:val="00D74B3A"/>
    <w:rsid w:val="00D83751"/>
    <w:rsid w:val="00D91C89"/>
    <w:rsid w:val="00DE6B3D"/>
    <w:rsid w:val="00DE7598"/>
    <w:rsid w:val="00E3214D"/>
    <w:rsid w:val="00E35F29"/>
    <w:rsid w:val="00E53B7E"/>
    <w:rsid w:val="00E602E4"/>
    <w:rsid w:val="00E96589"/>
    <w:rsid w:val="00EA229A"/>
    <w:rsid w:val="00EA6CB3"/>
    <w:rsid w:val="00EB2A60"/>
    <w:rsid w:val="00EF0853"/>
    <w:rsid w:val="00EF1D09"/>
    <w:rsid w:val="00F0328C"/>
    <w:rsid w:val="00F10F43"/>
    <w:rsid w:val="00F14605"/>
    <w:rsid w:val="00F14E61"/>
    <w:rsid w:val="00F306D6"/>
    <w:rsid w:val="00F54E85"/>
    <w:rsid w:val="00F60BB1"/>
    <w:rsid w:val="00F86FB5"/>
    <w:rsid w:val="00FE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E4362"/>
  <w15:chartTrackingRefBased/>
  <w15:docId w15:val="{6C7BB762-B7E7-4154-BC07-68DB56B9F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23C3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E1BC9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BC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IntenseEmphasis">
    <w:name w:val="Intense Emphasis"/>
    <w:basedOn w:val="DefaultParagraphFont"/>
    <w:uiPriority w:val="21"/>
    <w:qFormat/>
    <w:rsid w:val="007E1BC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A5F3E-5DB0-4651-B525-A13A14931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AEPCOMM video tutorial Fertiliser</dc:title>
  <dc:subject/>
  <dc:creator>Department of Agriculture, Water and the Environment</dc:creator>
  <cp:keywords/>
  <dc:description/>
  <cp:lastModifiedBy>Dang, Van</cp:lastModifiedBy>
  <cp:revision>77</cp:revision>
  <cp:lastPrinted>2015-08-14T05:36:00Z</cp:lastPrinted>
  <dcterms:created xsi:type="dcterms:W3CDTF">2020-06-19T03:47:00Z</dcterms:created>
  <dcterms:modified xsi:type="dcterms:W3CDTF">2020-08-11T05:03:00Z</dcterms:modified>
</cp:coreProperties>
</file>