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CA53E" w14:textId="3DC912E9" w:rsidR="004A0FA3" w:rsidRDefault="008D3799">
      <w:pPr>
        <w:pStyle w:val="Heading1"/>
        <w:spacing w:before="240"/>
      </w:pPr>
      <w:r>
        <w:t xml:space="preserve">Review of risks associated with </w:t>
      </w:r>
      <w:r w:rsidR="00AE5F05">
        <w:t>Glanders (</w:t>
      </w:r>
      <w:proofErr w:type="spellStart"/>
      <w:r>
        <w:rPr>
          <w:i/>
        </w:rPr>
        <w:t>Burkholderia</w:t>
      </w:r>
      <w:proofErr w:type="spellEnd"/>
      <w:r>
        <w:rPr>
          <w:i/>
        </w:rPr>
        <w:t xml:space="preserve"> mallei</w:t>
      </w:r>
      <w:r w:rsidR="00AE5F05">
        <w:t>)</w:t>
      </w:r>
      <w:r>
        <w:t xml:space="preserve"> in </w:t>
      </w:r>
      <w:r w:rsidR="00DB6111">
        <w:t>horse</w:t>
      </w:r>
      <w:r w:rsidR="00984CFE">
        <w:t>s</w:t>
      </w:r>
      <w:r w:rsidR="00DB6111">
        <w:t xml:space="preserve"> and </w:t>
      </w:r>
      <w:r w:rsidR="00896A8A">
        <w:t xml:space="preserve">horse </w:t>
      </w:r>
      <w:r w:rsidR="00DB6111">
        <w:t>semen</w:t>
      </w:r>
    </w:p>
    <w:p w14:paraId="72650320" w14:textId="4EAD15C8" w:rsidR="00D17F4D" w:rsidRPr="006868A7" w:rsidRDefault="00356289" w:rsidP="00D17F4D">
      <w:pPr>
        <w:pStyle w:val="Subtitle"/>
      </w:pPr>
      <w:r>
        <w:t>Final</w:t>
      </w:r>
      <w:r w:rsidR="00D17F4D">
        <w:t xml:space="preserve"> report</w:t>
      </w:r>
    </w:p>
    <w:p w14:paraId="6A6C2146" w14:textId="62AD3799" w:rsidR="004A0FA3" w:rsidRDefault="00505418">
      <w:pPr>
        <w:pStyle w:val="Publicationdate"/>
      </w:pPr>
      <w:r>
        <w:t>September</w:t>
      </w:r>
      <w:r w:rsidR="006868A7" w:rsidRPr="00505418">
        <w:t xml:space="preserve"> </w:t>
      </w:r>
      <w:r w:rsidR="008D3799" w:rsidRPr="00505418">
        <w:t>202</w:t>
      </w:r>
      <w:r w:rsidR="00FB60F1" w:rsidRPr="00505418">
        <w:t>2</w:t>
      </w:r>
    </w:p>
    <w:p w14:paraId="51456E0B" w14:textId="77777777" w:rsidR="004A0FA3" w:rsidRDefault="006868A7">
      <w:pPr>
        <w:pStyle w:val="Picture"/>
      </w:pPr>
      <w:r>
        <w:drawing>
          <wp:inline distT="0" distB="0" distL="0" distR="0" wp14:anchorId="731F8C6A" wp14:editId="1C5AADB4">
            <wp:extent cx="5268917" cy="5216056"/>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278845" cy="5225884"/>
                    </a:xfrm>
                    <a:prstGeom prst="rect">
                      <a:avLst/>
                    </a:prstGeom>
                    <a:noFill/>
                    <a:ln w="9525">
                      <a:noFill/>
                      <a:miter lim="800000"/>
                      <a:headEnd/>
                      <a:tailEnd/>
                    </a:ln>
                  </pic:spPr>
                </pic:pic>
              </a:graphicData>
            </a:graphic>
          </wp:inline>
        </w:drawing>
      </w:r>
    </w:p>
    <w:p w14:paraId="6F9B803F" w14:textId="77777777" w:rsidR="004A0FA3" w:rsidRDefault="004A0FA3">
      <w:pPr>
        <w:pStyle w:val="Picture"/>
        <w:sectPr w:rsidR="004A0FA3">
          <w:headerReference w:type="default" r:id="rId12"/>
          <w:footerReference w:type="default" r:id="rId13"/>
          <w:type w:val="oddPage"/>
          <w:pgSz w:w="11906" w:h="16838"/>
          <w:pgMar w:top="1418" w:right="1418" w:bottom="1418" w:left="1418" w:header="567" w:footer="283" w:gutter="0"/>
          <w:cols w:space="708"/>
          <w:docGrid w:linePitch="360"/>
        </w:sectPr>
      </w:pPr>
    </w:p>
    <w:p w14:paraId="3B93F270" w14:textId="4CB29BD7" w:rsidR="004A0FA3" w:rsidRDefault="006868A7">
      <w:pPr>
        <w:pStyle w:val="Picture"/>
        <w:rPr>
          <w:noProof w:val="0"/>
          <w:sz w:val="18"/>
          <w:lang w:eastAsia="en-US"/>
        </w:rPr>
      </w:pPr>
      <w:r>
        <w:rPr>
          <w:noProof w:val="0"/>
          <w:sz w:val="18"/>
          <w:lang w:eastAsia="en-US"/>
        </w:rPr>
        <w:lastRenderedPageBreak/>
        <w:t xml:space="preserve">© Commonwealth of Australia </w:t>
      </w:r>
      <w:r w:rsidR="008D3799" w:rsidRPr="008D3799">
        <w:rPr>
          <w:noProof w:val="0"/>
          <w:sz w:val="18"/>
          <w:lang w:eastAsia="en-US"/>
        </w:rPr>
        <w:t>202</w:t>
      </w:r>
      <w:r w:rsidR="001C2248">
        <w:rPr>
          <w:noProof w:val="0"/>
          <w:sz w:val="18"/>
          <w:lang w:eastAsia="en-US"/>
        </w:rPr>
        <w:t>2</w:t>
      </w:r>
    </w:p>
    <w:p w14:paraId="35C88EC6" w14:textId="77777777" w:rsidR="004A0FA3" w:rsidRDefault="006868A7">
      <w:pPr>
        <w:pStyle w:val="Normalsmall"/>
        <w:spacing w:after="60"/>
        <w:rPr>
          <w:rStyle w:val="Strong"/>
        </w:rPr>
      </w:pPr>
      <w:r>
        <w:rPr>
          <w:rStyle w:val="Strong"/>
        </w:rPr>
        <w:t>Ownership of intellectual property rights</w:t>
      </w:r>
    </w:p>
    <w:p w14:paraId="6A1A24D5" w14:textId="77777777" w:rsidR="004A0FA3" w:rsidRDefault="006868A7">
      <w:pPr>
        <w:pStyle w:val="Normalsmall"/>
      </w:pPr>
      <w:r>
        <w:t>Unless otherwise noted, copyright (and any other intellectual property rights, if any) in this publication is owned by the Commonwealth of Australia (referred to as the Commonwealth).</w:t>
      </w:r>
    </w:p>
    <w:p w14:paraId="0803F698" w14:textId="77777777" w:rsidR="004A0FA3" w:rsidRDefault="006868A7">
      <w:pPr>
        <w:pStyle w:val="Normalsmall"/>
        <w:spacing w:after="60"/>
        <w:rPr>
          <w:rStyle w:val="Strong"/>
        </w:rPr>
      </w:pPr>
      <w:r>
        <w:rPr>
          <w:rStyle w:val="Strong"/>
        </w:rPr>
        <w:t>Creative Commons licence</w:t>
      </w:r>
    </w:p>
    <w:p w14:paraId="1B17D853" w14:textId="77777777" w:rsidR="004A0FA3" w:rsidRDefault="006868A7">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CD296FB" w14:textId="69F98AB6" w:rsidR="004A0FA3" w:rsidRDefault="006868A7">
      <w:pPr>
        <w:pStyle w:val="Normalsmall"/>
      </w:pPr>
      <w:r>
        <w:t xml:space="preserve">Inquiries about the licence and any use of this document should be emailed to </w:t>
      </w:r>
      <w:hyperlink r:id="rId15" w:history="1">
        <w:r w:rsidR="004A5325" w:rsidRPr="004A5325">
          <w:rPr>
            <w:rStyle w:val="Hyperlink"/>
          </w:rPr>
          <w:t>copyright@agriculture.gov.au</w:t>
        </w:r>
      </w:hyperlink>
      <w:r>
        <w:t>.</w:t>
      </w:r>
    </w:p>
    <w:p w14:paraId="35F7092E" w14:textId="77777777" w:rsidR="004A0FA3" w:rsidRDefault="006868A7">
      <w:pPr>
        <w:pStyle w:val="Normalsmall"/>
      </w:pPr>
      <w:r>
        <w:rPr>
          <w:noProof/>
          <w:lang w:eastAsia="en-AU"/>
        </w:rPr>
        <w:drawing>
          <wp:inline distT="0" distB="0" distL="0" distR="0" wp14:anchorId="5DC69B25" wp14:editId="273AC29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27F610" w14:textId="77777777" w:rsidR="004A0FA3" w:rsidRDefault="006868A7">
      <w:pPr>
        <w:pStyle w:val="Normalsmall"/>
        <w:spacing w:after="60"/>
        <w:rPr>
          <w:rStyle w:val="Strong"/>
        </w:rPr>
      </w:pPr>
      <w:r>
        <w:rPr>
          <w:rStyle w:val="Strong"/>
        </w:rPr>
        <w:t>Cataloguing data</w:t>
      </w:r>
    </w:p>
    <w:p w14:paraId="5517A12C" w14:textId="1EB18E1A" w:rsidR="004A0FA3" w:rsidRPr="00BE3E83" w:rsidRDefault="006868A7">
      <w:pPr>
        <w:pStyle w:val="Normalsmall"/>
      </w:pPr>
      <w:r>
        <w:t>This publication (and any material sourced from it) should be attributed as</w:t>
      </w:r>
      <w:r w:rsidRPr="00BE3E83">
        <w:t>: Department of Agriculture</w:t>
      </w:r>
      <w:r w:rsidR="00E24066" w:rsidRPr="00BE3E83">
        <w:t xml:space="preserve">, </w:t>
      </w:r>
      <w:r w:rsidR="001C2248">
        <w:t>Fisheries and Forestry</w:t>
      </w:r>
      <w:r w:rsidRPr="00BE3E83">
        <w:t xml:space="preserve"> </w:t>
      </w:r>
      <w:r w:rsidR="008D3799" w:rsidRPr="00BE3E83">
        <w:t>202</w:t>
      </w:r>
      <w:r w:rsidR="001C2248">
        <w:t>2</w:t>
      </w:r>
      <w:r w:rsidRPr="00BE3E83">
        <w:t xml:space="preserve">, </w:t>
      </w:r>
      <w:r w:rsidR="008D3799" w:rsidRPr="00BE3E83">
        <w:rPr>
          <w:i/>
        </w:rPr>
        <w:t xml:space="preserve">Review of risks associated with </w:t>
      </w:r>
      <w:proofErr w:type="spellStart"/>
      <w:r w:rsidR="008D3799" w:rsidRPr="00BE3E83">
        <w:rPr>
          <w:i/>
        </w:rPr>
        <w:t>Burkholderia</w:t>
      </w:r>
      <w:proofErr w:type="spellEnd"/>
      <w:r w:rsidR="008D3799" w:rsidRPr="00BE3E83">
        <w:rPr>
          <w:i/>
        </w:rPr>
        <w:t xml:space="preserve"> mallei (glanders) in </w:t>
      </w:r>
      <w:r w:rsidR="00DB6111">
        <w:rPr>
          <w:i/>
        </w:rPr>
        <w:t xml:space="preserve">horses and </w:t>
      </w:r>
      <w:r w:rsidR="00896A8A">
        <w:rPr>
          <w:i/>
        </w:rPr>
        <w:t xml:space="preserve">horse </w:t>
      </w:r>
      <w:r w:rsidR="00DB6111">
        <w:rPr>
          <w:i/>
        </w:rPr>
        <w:t>semen</w:t>
      </w:r>
      <w:r w:rsidR="008D3799" w:rsidRPr="00BE3E83">
        <w:rPr>
          <w:i/>
        </w:rPr>
        <w:t>.</w:t>
      </w:r>
      <w:r w:rsidRPr="00BE3E83">
        <w:t xml:space="preserve"> Canberra, </w:t>
      </w:r>
      <w:r w:rsidR="00BE3E83" w:rsidRPr="00BE3E83">
        <w:t>July</w:t>
      </w:r>
      <w:r w:rsidRPr="00BE3E83">
        <w:t>. CC BY 4.0.</w:t>
      </w:r>
    </w:p>
    <w:p w14:paraId="068EFB44" w14:textId="34E60A1F" w:rsidR="004A0FA3" w:rsidRDefault="006868A7">
      <w:pPr>
        <w:pStyle w:val="TableText"/>
        <w:spacing w:after="240"/>
      </w:pPr>
      <w:r w:rsidRPr="00BE3E83">
        <w:t xml:space="preserve">This publication is available at </w:t>
      </w:r>
      <w:hyperlink r:id="rId17" w:history="1">
        <w:r w:rsidR="001C2248">
          <w:rPr>
            <w:rStyle w:val="Hyperlink"/>
          </w:rPr>
          <w:t>agriculture</w:t>
        </w:r>
        <w:r w:rsidR="001C2248" w:rsidRPr="00BE3E83">
          <w:rPr>
            <w:rStyle w:val="Hyperlink"/>
          </w:rPr>
          <w:t>.gov.au</w:t>
        </w:r>
      </w:hyperlink>
      <w:r w:rsidRPr="00BE3E83">
        <w:t>.</w:t>
      </w:r>
    </w:p>
    <w:p w14:paraId="364A10DB" w14:textId="67512F17" w:rsidR="004A0FA3" w:rsidRDefault="006868A7">
      <w:pPr>
        <w:pStyle w:val="Normalsmall"/>
        <w:spacing w:after="0"/>
      </w:pPr>
      <w:r>
        <w:t>Department of Agriculture</w:t>
      </w:r>
      <w:r w:rsidR="001C2248">
        <w:t xml:space="preserve"> Fisheries and Forestry </w:t>
      </w:r>
    </w:p>
    <w:p w14:paraId="52758164" w14:textId="77777777" w:rsidR="004A0FA3" w:rsidRDefault="006868A7">
      <w:pPr>
        <w:pStyle w:val="Normalsmall"/>
        <w:spacing w:after="0"/>
      </w:pPr>
      <w:r>
        <w:t>GPO Box 858 Canberra ACT 2601</w:t>
      </w:r>
    </w:p>
    <w:p w14:paraId="00F1BF62" w14:textId="77777777" w:rsidR="004A0FA3" w:rsidRDefault="006868A7">
      <w:pPr>
        <w:pStyle w:val="Normalsmall"/>
        <w:spacing w:after="0"/>
      </w:pPr>
      <w:r>
        <w:t>Telephone 1800 900 090</w:t>
      </w:r>
    </w:p>
    <w:p w14:paraId="5547D536" w14:textId="0A27F9D0" w:rsidR="004A0FA3" w:rsidRDefault="006868A7">
      <w:pPr>
        <w:pStyle w:val="Normalsmall"/>
      </w:pPr>
      <w:r>
        <w:t xml:space="preserve">Web </w:t>
      </w:r>
      <w:hyperlink r:id="rId18" w:history="1">
        <w:r w:rsidR="001C2248">
          <w:rPr>
            <w:rStyle w:val="Hyperlink"/>
          </w:rPr>
          <w:t>agriculture.gov.au</w:t>
        </w:r>
      </w:hyperlink>
    </w:p>
    <w:p w14:paraId="3FCB64D1" w14:textId="5136CD6A" w:rsidR="004A0FA3" w:rsidRDefault="006868A7">
      <w:pPr>
        <w:pStyle w:val="Normalsmall"/>
      </w:pPr>
      <w:bookmarkStart w:id="0" w:name="_Hlk39583412"/>
      <w:r>
        <w:t>The Australian Government acting through the Department of Agriculture</w:t>
      </w:r>
      <w:r w:rsidR="00E24066">
        <w:t xml:space="preserve">, </w:t>
      </w:r>
      <w:r w:rsidR="001C2248">
        <w:t>Fisheries and Forestry</w:t>
      </w:r>
      <w:r>
        <w:t xml:space="preserve"> has exercised due care and skill in preparing and compiling the information and data in this publication. Notwithstanding, the Department of Agriculture</w:t>
      </w:r>
      <w:r w:rsidR="00E24066">
        <w:t xml:space="preserve">, </w:t>
      </w:r>
      <w:r w:rsidR="001C2248">
        <w:t>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bookmarkEnd w:id="0"/>
    </w:p>
    <w:p w14:paraId="247B5E33" w14:textId="5CF02A32" w:rsidR="008D3799" w:rsidRDefault="008D3799">
      <w:pPr>
        <w:pStyle w:val="Normalsmall"/>
      </w:pPr>
    </w:p>
    <w:p w14:paraId="42C3646B" w14:textId="77777777" w:rsidR="008D3799" w:rsidRDefault="008D3799">
      <w:pPr>
        <w:pStyle w:val="Normalsmall"/>
      </w:pPr>
    </w:p>
    <w:p w14:paraId="1547B4AA" w14:textId="77777777" w:rsidR="008D3799" w:rsidRDefault="008D3799">
      <w:pPr>
        <w:pStyle w:val="Normalsmall"/>
      </w:pPr>
    </w:p>
    <w:p w14:paraId="10618BEF" w14:textId="77777777" w:rsidR="008D3799" w:rsidRDefault="008D3799">
      <w:pPr>
        <w:pStyle w:val="Normalsmall"/>
      </w:pPr>
    </w:p>
    <w:p w14:paraId="2D439A97" w14:textId="77777777" w:rsidR="008D3799" w:rsidRDefault="008D3799">
      <w:pPr>
        <w:pStyle w:val="Normalsmall"/>
      </w:pPr>
    </w:p>
    <w:p w14:paraId="686E484E" w14:textId="77777777" w:rsidR="008D3799" w:rsidRDefault="008D3799">
      <w:pPr>
        <w:pStyle w:val="Normalsmall"/>
      </w:pPr>
    </w:p>
    <w:p w14:paraId="5F22C0C5" w14:textId="77777777" w:rsidR="008D3799" w:rsidRDefault="008D3799">
      <w:pPr>
        <w:pStyle w:val="Normalsmall"/>
      </w:pPr>
    </w:p>
    <w:p w14:paraId="0041759B" w14:textId="77777777" w:rsidR="008D3799" w:rsidRDefault="008D3799">
      <w:pPr>
        <w:pStyle w:val="Normalsmall"/>
      </w:pPr>
    </w:p>
    <w:p w14:paraId="645BED66" w14:textId="77777777" w:rsidR="008D3799" w:rsidRDefault="008D3799">
      <w:pPr>
        <w:pStyle w:val="Normalsmall"/>
      </w:pPr>
    </w:p>
    <w:p w14:paraId="428AC595" w14:textId="77777777" w:rsidR="008D3799" w:rsidRDefault="008D3799">
      <w:pPr>
        <w:pStyle w:val="Normalsmall"/>
      </w:pPr>
    </w:p>
    <w:p w14:paraId="7C32AD29" w14:textId="77777777" w:rsidR="008D3799" w:rsidRDefault="008D3799">
      <w:pPr>
        <w:pStyle w:val="Normalsmall"/>
      </w:pPr>
    </w:p>
    <w:p w14:paraId="4AE6C712" w14:textId="77777777" w:rsidR="008D3799" w:rsidRDefault="008D3799">
      <w:pPr>
        <w:pStyle w:val="Normalsmall"/>
      </w:pPr>
    </w:p>
    <w:p w14:paraId="360617B3" w14:textId="77777777" w:rsidR="008D3799" w:rsidRDefault="008D3799">
      <w:pPr>
        <w:pStyle w:val="Normalsmall"/>
      </w:pPr>
    </w:p>
    <w:p w14:paraId="7500A653" w14:textId="77777777" w:rsidR="008D3799" w:rsidRDefault="008D3799">
      <w:pPr>
        <w:pStyle w:val="Normalsmall"/>
      </w:pPr>
    </w:p>
    <w:p w14:paraId="0C3B6DCD" w14:textId="77777777" w:rsidR="008D3799" w:rsidRDefault="008D3799">
      <w:pPr>
        <w:pStyle w:val="Normalsmall"/>
      </w:pPr>
    </w:p>
    <w:p w14:paraId="29371161" w14:textId="77777777" w:rsidR="008D3799" w:rsidRDefault="008D3799">
      <w:pPr>
        <w:pStyle w:val="Normalsmall"/>
      </w:pPr>
    </w:p>
    <w:p w14:paraId="1D3D6FF2" w14:textId="77777777" w:rsidR="008D3799" w:rsidRDefault="008D3799">
      <w:pPr>
        <w:pStyle w:val="Normalsmall"/>
      </w:pPr>
    </w:p>
    <w:p w14:paraId="1E112C04" w14:textId="77777777" w:rsidR="008D3799" w:rsidRDefault="008D3799">
      <w:pPr>
        <w:pStyle w:val="Normalsmall"/>
      </w:pPr>
    </w:p>
    <w:sdt>
      <w:sdtPr>
        <w:rPr>
          <w:rFonts w:ascii="Cambria" w:eastAsiaTheme="minorHAnsi" w:hAnsi="Cambria" w:cstheme="minorBidi"/>
          <w:b w:val="0"/>
          <w:bCs w:val="0"/>
          <w:color w:val="auto"/>
          <w:sz w:val="22"/>
          <w:szCs w:val="22"/>
          <w:lang w:val="en-AU"/>
        </w:rPr>
        <w:id w:val="1970627701"/>
        <w:docPartObj>
          <w:docPartGallery w:val="Table of Contents"/>
          <w:docPartUnique/>
        </w:docPartObj>
      </w:sdtPr>
      <w:sdtContent>
        <w:p w14:paraId="35E32243" w14:textId="1E3272A0" w:rsidR="00C61A7B" w:rsidRDefault="00C61A7B" w:rsidP="0090018F">
          <w:pPr>
            <w:pStyle w:val="TOCHeading"/>
            <w:spacing w:line="276" w:lineRule="auto"/>
          </w:pPr>
          <w:r>
            <w:t>Contents</w:t>
          </w:r>
        </w:p>
        <w:p w14:paraId="65A625C0" w14:textId="5E9A8C55" w:rsidR="00C61A7B" w:rsidRPr="00C61A7B" w:rsidRDefault="00C61A7B" w:rsidP="0090018F">
          <w:pPr>
            <w:pStyle w:val="TOC1"/>
            <w:spacing w:line="276" w:lineRule="auto"/>
            <w:rPr>
              <w:rFonts w:asciiTheme="majorHAnsi" w:hAnsiTheme="majorHAnsi"/>
            </w:rPr>
          </w:pPr>
          <w:r w:rsidRPr="00C61A7B">
            <w:rPr>
              <w:rFonts w:asciiTheme="majorHAnsi" w:hAnsiTheme="majorHAnsi"/>
              <w:bCs/>
            </w:rPr>
            <w:t>Summary</w:t>
          </w:r>
          <w:r w:rsidRPr="00C61A7B">
            <w:rPr>
              <w:rFonts w:asciiTheme="majorHAnsi" w:hAnsiTheme="majorHAnsi"/>
            </w:rPr>
            <w:ptab w:relativeTo="margin" w:alignment="right" w:leader="dot"/>
          </w:r>
          <w:r w:rsidR="0090018F">
            <w:rPr>
              <w:rFonts w:asciiTheme="majorHAnsi" w:hAnsiTheme="majorHAnsi"/>
              <w:bCs/>
            </w:rPr>
            <w:t>4</w:t>
          </w:r>
        </w:p>
        <w:p w14:paraId="67BC4065" w14:textId="6A92D20C" w:rsidR="00C61A7B" w:rsidRDefault="00C61A7B" w:rsidP="0090018F">
          <w:pPr>
            <w:pStyle w:val="TOC1"/>
            <w:spacing w:line="276" w:lineRule="auto"/>
          </w:pPr>
          <w:r w:rsidRPr="00C61A7B">
            <w:rPr>
              <w:rFonts w:asciiTheme="majorHAnsi" w:hAnsiTheme="majorHAnsi"/>
              <w:bCs/>
            </w:rPr>
            <w:t>Glanders</w:t>
          </w:r>
          <w:r>
            <w:ptab w:relativeTo="margin" w:alignment="right" w:leader="dot"/>
          </w:r>
          <w:r w:rsidR="0090018F">
            <w:rPr>
              <w:bCs/>
            </w:rPr>
            <w:t>5</w:t>
          </w:r>
        </w:p>
        <w:p w14:paraId="3BFF51F6" w14:textId="6903E5E0" w:rsidR="00C61A7B" w:rsidRDefault="00C61A7B" w:rsidP="0090018F">
          <w:pPr>
            <w:pStyle w:val="TOC2"/>
            <w:spacing w:after="0" w:line="276" w:lineRule="auto"/>
            <w:ind w:left="216"/>
          </w:pPr>
          <w:r w:rsidRPr="00C61A7B">
            <w:rPr>
              <w:rFonts w:asciiTheme="majorHAnsi" w:hAnsiTheme="majorHAnsi"/>
            </w:rPr>
            <w:t>Background</w:t>
          </w:r>
          <w:r w:rsidRPr="00C61A7B">
            <w:rPr>
              <w:rFonts w:asciiTheme="majorHAnsi" w:hAnsiTheme="majorHAnsi"/>
            </w:rPr>
            <w:ptab w:relativeTo="margin" w:alignment="right" w:leader="dot"/>
          </w:r>
          <w:r w:rsidRPr="00C61A7B">
            <w:rPr>
              <w:rFonts w:asciiTheme="majorHAnsi" w:hAnsiTheme="majorHAnsi"/>
            </w:rPr>
            <w:t>5</w:t>
          </w:r>
        </w:p>
        <w:p w14:paraId="5CBA2934" w14:textId="24182EEC" w:rsidR="00C61A7B" w:rsidRDefault="00C61A7B" w:rsidP="0090018F">
          <w:pPr>
            <w:spacing w:after="0"/>
            <w:ind w:left="641"/>
          </w:pPr>
          <w:r>
            <w:t>Technical information………………………………………………………………………………………………</w:t>
          </w:r>
          <w:proofErr w:type="gramStart"/>
          <w:r>
            <w:t>…..</w:t>
          </w:r>
          <w:proofErr w:type="gramEnd"/>
          <w:r>
            <w:t>6</w:t>
          </w:r>
        </w:p>
        <w:p w14:paraId="4FB5E72E" w14:textId="6913FD11" w:rsidR="00C61A7B" w:rsidRDefault="00C61A7B" w:rsidP="0090018F">
          <w:pPr>
            <w:spacing w:after="0"/>
            <w:ind w:left="641"/>
          </w:pPr>
          <w:r>
            <w:t>Epidemiology……………………………………………………………………………………………………………….7</w:t>
          </w:r>
        </w:p>
        <w:p w14:paraId="087902FC" w14:textId="631338B0" w:rsidR="00C61A7B" w:rsidRDefault="00C61A7B" w:rsidP="0090018F">
          <w:pPr>
            <w:spacing w:after="0"/>
            <w:ind w:left="641"/>
          </w:pPr>
          <w:r>
            <w:t>Pathogenesis……………………………………………………………………………………………………………</w:t>
          </w:r>
          <w:proofErr w:type="gramStart"/>
          <w:r>
            <w:t>…..</w:t>
          </w:r>
          <w:proofErr w:type="gramEnd"/>
          <w:r>
            <w:t>8</w:t>
          </w:r>
        </w:p>
        <w:p w14:paraId="257436DE" w14:textId="18E291AD" w:rsidR="00C61A7B" w:rsidRDefault="00C61A7B" w:rsidP="0090018F">
          <w:pPr>
            <w:spacing w:after="0"/>
            <w:ind w:left="641"/>
          </w:pPr>
          <w:r>
            <w:t>Diagnosis…………………………………………………………………………………………………………………</w:t>
          </w:r>
          <w:proofErr w:type="gramStart"/>
          <w:r>
            <w:t>…..</w:t>
          </w:r>
          <w:proofErr w:type="gramEnd"/>
          <w:r>
            <w:t>9</w:t>
          </w:r>
        </w:p>
        <w:p w14:paraId="512EBC0E" w14:textId="10516455" w:rsidR="00C61A7B" w:rsidRDefault="00C61A7B" w:rsidP="0090018F">
          <w:pPr>
            <w:spacing w:after="0"/>
            <w:ind w:left="641"/>
          </w:pPr>
          <w:r>
            <w:t>Treatment………………………………………………………………………………………………………………….13</w:t>
          </w:r>
        </w:p>
        <w:p w14:paraId="2CAE3D40" w14:textId="48AF19E5" w:rsidR="00C61A7B" w:rsidRDefault="00C61A7B" w:rsidP="0090018F">
          <w:pPr>
            <w:spacing w:after="0"/>
            <w:ind w:left="641"/>
          </w:pPr>
          <w:r>
            <w:t>Control………………………………………………………………………………………………………………………13</w:t>
          </w:r>
        </w:p>
        <w:p w14:paraId="19A2FA9D" w14:textId="5D0D1DE9" w:rsidR="00C61A7B" w:rsidRDefault="00C61A7B" w:rsidP="0090018F">
          <w:pPr>
            <w:spacing w:after="0"/>
            <w:ind w:left="641"/>
          </w:pPr>
          <w:r>
            <w:t>Cu</w:t>
          </w:r>
          <w:r w:rsidR="00064EFB">
            <w:t>r</w:t>
          </w:r>
          <w:r>
            <w:t>rent biosecurity measures</w:t>
          </w:r>
          <w:proofErr w:type="gramStart"/>
          <w:r w:rsidR="00064EFB">
            <w:t>…..</w:t>
          </w:r>
          <w:proofErr w:type="gramEnd"/>
          <w:r>
            <w:t>…………………………………………………………………………………14</w:t>
          </w:r>
        </w:p>
        <w:p w14:paraId="52D51F18" w14:textId="1E58CBD8" w:rsidR="00C61A7B" w:rsidRDefault="00C61A7B" w:rsidP="0090018F">
          <w:pPr>
            <w:spacing w:after="0"/>
            <w:ind w:left="641"/>
          </w:pPr>
          <w:r>
            <w:t>Risk assessment…………………………………………………………………………………………………………14</w:t>
          </w:r>
        </w:p>
        <w:p w14:paraId="1F6F4F15" w14:textId="14ECE47C" w:rsidR="00F81CC9" w:rsidRDefault="00F81CC9" w:rsidP="0090018F">
          <w:pPr>
            <w:spacing w:after="0"/>
            <w:ind w:left="641"/>
          </w:pPr>
          <w:r>
            <w:t>Risk estimation ………………………………………………………………………………………………………….22</w:t>
          </w:r>
        </w:p>
        <w:p w14:paraId="6678FB81" w14:textId="70A928DA" w:rsidR="00C61A7B" w:rsidRPr="00C61A7B" w:rsidRDefault="00C61A7B" w:rsidP="0090018F">
          <w:pPr>
            <w:spacing w:after="0"/>
            <w:ind w:left="641"/>
          </w:pPr>
          <w:r>
            <w:t>Conclusion</w:t>
          </w:r>
          <w:r w:rsidR="0090018F">
            <w:t>…………………………………………………………………………………………………………………</w:t>
          </w:r>
          <w:r w:rsidR="007F7EA9">
            <w:t>2</w:t>
          </w:r>
          <w:r w:rsidR="00F81CC9">
            <w:t>2</w:t>
          </w:r>
        </w:p>
        <w:p w14:paraId="058FA0B3" w14:textId="24911E1F" w:rsidR="00301101" w:rsidRDefault="00301101" w:rsidP="0090018F">
          <w:pPr>
            <w:pStyle w:val="TOC3"/>
            <w:spacing w:line="276" w:lineRule="auto"/>
            <w:ind w:firstLine="0"/>
            <w:rPr>
              <w:rFonts w:asciiTheme="majorHAnsi" w:hAnsiTheme="majorHAnsi"/>
              <w:b/>
            </w:rPr>
          </w:pPr>
          <w:r>
            <w:rPr>
              <w:rFonts w:asciiTheme="majorHAnsi" w:hAnsiTheme="majorHAnsi"/>
              <w:b/>
            </w:rPr>
            <w:t>Appendix</w:t>
          </w:r>
          <w:r w:rsidR="006C0235">
            <w:rPr>
              <w:rFonts w:asciiTheme="majorHAnsi" w:hAnsiTheme="majorHAnsi"/>
              <w:b/>
            </w:rPr>
            <w:t xml:space="preserve"> 1…</w:t>
          </w:r>
          <w:r>
            <w:rPr>
              <w:rFonts w:asciiTheme="majorHAnsi" w:hAnsiTheme="majorHAnsi"/>
              <w:b/>
            </w:rPr>
            <w:t>……………………………………………………………………………………………………………………</w:t>
          </w:r>
          <w:r w:rsidR="007F7EA9">
            <w:rPr>
              <w:rFonts w:asciiTheme="majorHAnsi" w:hAnsiTheme="majorHAnsi"/>
              <w:b/>
            </w:rPr>
            <w:t>2</w:t>
          </w:r>
          <w:r w:rsidR="006C0235">
            <w:rPr>
              <w:rFonts w:asciiTheme="majorHAnsi" w:hAnsiTheme="majorHAnsi"/>
              <w:b/>
            </w:rPr>
            <w:t>5</w:t>
          </w:r>
        </w:p>
        <w:p w14:paraId="03E891E2" w14:textId="69A9F0B7" w:rsidR="006C0235" w:rsidRDefault="006C0235" w:rsidP="0090018F">
          <w:pPr>
            <w:pStyle w:val="TOC3"/>
            <w:spacing w:line="276" w:lineRule="auto"/>
            <w:ind w:firstLine="0"/>
            <w:rPr>
              <w:rFonts w:asciiTheme="majorHAnsi" w:hAnsiTheme="majorHAnsi"/>
              <w:b/>
            </w:rPr>
          </w:pPr>
          <w:r>
            <w:rPr>
              <w:rFonts w:asciiTheme="majorHAnsi" w:hAnsiTheme="majorHAnsi"/>
              <w:b/>
            </w:rPr>
            <w:t>Appendix 2 ……………………………………………………………………………………………………………………..27</w:t>
          </w:r>
        </w:p>
        <w:p w14:paraId="63B7A813" w14:textId="6E3D4687" w:rsidR="00C61A7B" w:rsidRPr="0090018F" w:rsidRDefault="00C61A7B" w:rsidP="0090018F">
          <w:pPr>
            <w:pStyle w:val="TOC3"/>
            <w:spacing w:line="276" w:lineRule="auto"/>
            <w:ind w:firstLine="0"/>
            <w:rPr>
              <w:b/>
            </w:rPr>
          </w:pPr>
          <w:r w:rsidRPr="00C61A7B">
            <w:rPr>
              <w:rFonts w:asciiTheme="majorHAnsi" w:hAnsiTheme="majorHAnsi"/>
              <w:b/>
            </w:rPr>
            <w:t>Glossary</w:t>
          </w:r>
          <w:r w:rsidRPr="0090018F">
            <w:rPr>
              <w:rFonts w:asciiTheme="majorHAnsi" w:hAnsiTheme="majorHAnsi"/>
              <w:b/>
            </w:rPr>
            <w:ptab w:relativeTo="margin" w:alignment="right" w:leader="dot"/>
          </w:r>
          <w:r w:rsidR="007F7EA9">
            <w:rPr>
              <w:rFonts w:asciiTheme="majorHAnsi" w:hAnsiTheme="majorHAnsi"/>
              <w:b/>
            </w:rPr>
            <w:t>2</w:t>
          </w:r>
          <w:r w:rsidR="00B10F67">
            <w:rPr>
              <w:rFonts w:asciiTheme="majorHAnsi" w:hAnsiTheme="majorHAnsi"/>
              <w:b/>
            </w:rPr>
            <w:t>8</w:t>
          </w:r>
        </w:p>
        <w:p w14:paraId="4CF81A17" w14:textId="3FC79CE2" w:rsidR="00C61A7B" w:rsidRPr="0090018F" w:rsidRDefault="00C61A7B" w:rsidP="0090018F">
          <w:pPr>
            <w:rPr>
              <w:b/>
            </w:rPr>
          </w:pPr>
          <w:r w:rsidRPr="0090018F">
            <w:rPr>
              <w:b/>
            </w:rPr>
            <w:t>References……………………………………………………………………………………………………………………</w:t>
          </w:r>
          <w:r w:rsidR="0090018F" w:rsidRPr="0090018F">
            <w:rPr>
              <w:b/>
            </w:rPr>
            <w:t>…</w:t>
          </w:r>
          <w:r w:rsidR="00B10F67">
            <w:rPr>
              <w:b/>
            </w:rPr>
            <w:t>30</w:t>
          </w:r>
        </w:p>
      </w:sdtContent>
    </w:sdt>
    <w:p w14:paraId="7A3A8464" w14:textId="78E45B35" w:rsidR="004A0FA3" w:rsidRDefault="004A0FA3">
      <w:pPr>
        <w:pStyle w:val="TableofFigures"/>
      </w:pPr>
    </w:p>
    <w:p w14:paraId="31F5E1C5" w14:textId="77777777" w:rsidR="004A0FA3" w:rsidRDefault="004A0FA3">
      <w:pPr>
        <w:sectPr w:rsidR="004A0FA3">
          <w:headerReference w:type="default" r:id="rId19"/>
          <w:footerReference w:type="default" r:id="rId20"/>
          <w:pgSz w:w="11906" w:h="16838"/>
          <w:pgMar w:top="1418" w:right="1418" w:bottom="1418" w:left="1418" w:header="567" w:footer="283" w:gutter="0"/>
          <w:pgNumType w:fmt="lowerRoman"/>
          <w:cols w:space="708"/>
          <w:docGrid w:linePitch="360"/>
        </w:sectPr>
      </w:pPr>
    </w:p>
    <w:p w14:paraId="40E31CB5" w14:textId="5D6B5D7C" w:rsidR="004A0FA3" w:rsidRDefault="006868A7">
      <w:pPr>
        <w:pStyle w:val="Heading2"/>
        <w:numPr>
          <w:ilvl w:val="0"/>
          <w:numId w:val="0"/>
        </w:numPr>
      </w:pPr>
      <w:bookmarkStart w:id="1" w:name="_Toc11849518"/>
      <w:r>
        <w:lastRenderedPageBreak/>
        <w:t>Summary</w:t>
      </w:r>
      <w:bookmarkEnd w:id="1"/>
    </w:p>
    <w:p w14:paraId="66D04A17" w14:textId="35C9A178" w:rsidR="004A0FA3" w:rsidRPr="00761A64" w:rsidRDefault="009C54EF">
      <w:pPr>
        <w:rPr>
          <w:i/>
        </w:rPr>
      </w:pPr>
      <w:r>
        <w:t>Due to</w:t>
      </w:r>
      <w:r w:rsidR="009348AB">
        <w:t xml:space="preserve"> stakeholder interest in potential new source countries and changes to the glanders case occurrence patterns in some parts of the world, t</w:t>
      </w:r>
      <w:r w:rsidR="006868A7" w:rsidRPr="00761A64">
        <w:t>he Department of Agriculture</w:t>
      </w:r>
      <w:r w:rsidR="003B7427" w:rsidRPr="00761A64">
        <w:t xml:space="preserve">, </w:t>
      </w:r>
      <w:r w:rsidR="00DB584C">
        <w:t>Fisheries and Forestry</w:t>
      </w:r>
      <w:r w:rsidR="006868A7" w:rsidRPr="00761A64">
        <w:t xml:space="preserve"> has </w:t>
      </w:r>
      <w:r w:rsidR="00FE44E4" w:rsidRPr="00761A64">
        <w:t>reviewed the level of biosecurity risk in relation to glanders (</w:t>
      </w:r>
      <w:proofErr w:type="spellStart"/>
      <w:r w:rsidR="00FE44E4" w:rsidRPr="00761A64">
        <w:rPr>
          <w:i/>
        </w:rPr>
        <w:t>Burkholderia</w:t>
      </w:r>
      <w:proofErr w:type="spellEnd"/>
      <w:r w:rsidR="00FE44E4" w:rsidRPr="00761A64">
        <w:rPr>
          <w:i/>
        </w:rPr>
        <w:t xml:space="preserve"> mallei</w:t>
      </w:r>
      <w:r w:rsidR="00FE44E4" w:rsidRPr="00761A64">
        <w:t xml:space="preserve">) </w:t>
      </w:r>
      <w:r w:rsidR="004C3FC4">
        <w:t xml:space="preserve">to determine if it </w:t>
      </w:r>
      <w:r w:rsidR="00FE44E4" w:rsidRPr="00761A64">
        <w:t xml:space="preserve">has changed since the completion of the </w:t>
      </w:r>
      <w:r w:rsidR="004C3FC4">
        <w:rPr>
          <w:i/>
        </w:rPr>
        <w:t>I</w:t>
      </w:r>
      <w:r w:rsidR="00FE44E4" w:rsidRPr="00761A64">
        <w:rPr>
          <w:i/>
        </w:rPr>
        <w:t>mport risk analysis report for horses from approved countries</w:t>
      </w:r>
      <w:r w:rsidR="004C3FC4">
        <w:rPr>
          <w:i/>
        </w:rPr>
        <w:t>: Final report</w:t>
      </w:r>
      <w:r w:rsidR="00FE44E4" w:rsidRPr="00761A64">
        <w:rPr>
          <w:i/>
        </w:rPr>
        <w:t xml:space="preserve"> (</w:t>
      </w:r>
      <w:r w:rsidR="00FE44E4" w:rsidRPr="00761A64">
        <w:t xml:space="preserve">the </w:t>
      </w:r>
      <w:r w:rsidR="00FE44E4" w:rsidRPr="00DB6111">
        <w:t>Horse IRA), released</w:t>
      </w:r>
      <w:r w:rsidR="00FE44E4" w:rsidRPr="00761A64">
        <w:t xml:space="preserve"> in </w:t>
      </w:r>
      <w:r w:rsidR="004C3FC4">
        <w:t>March 2010</w:t>
      </w:r>
      <w:r w:rsidR="00FE44E4" w:rsidRPr="00761A64">
        <w:t xml:space="preserve"> and the </w:t>
      </w:r>
      <w:r w:rsidR="00FE44E4" w:rsidRPr="00761A64">
        <w:rPr>
          <w:i/>
        </w:rPr>
        <w:t>Import risk analysis report for horses from approved countries: Final policy review (</w:t>
      </w:r>
      <w:r w:rsidR="00FE44E4" w:rsidRPr="00761A64">
        <w:t xml:space="preserve">the </w:t>
      </w:r>
      <w:r w:rsidR="00FE44E4" w:rsidRPr="00DB6111">
        <w:t>Horse Review),</w:t>
      </w:r>
      <w:r w:rsidR="00FE44E4" w:rsidRPr="00761A64">
        <w:t xml:space="preserve"> released in August 2013. The</w:t>
      </w:r>
      <w:r w:rsidR="00761A64" w:rsidRPr="00761A64">
        <w:t>se</w:t>
      </w:r>
      <w:r w:rsidR="00FE44E4" w:rsidRPr="00761A64">
        <w:t xml:space="preserve"> </w:t>
      </w:r>
      <w:r w:rsidR="00F366D7">
        <w:t>reports</w:t>
      </w:r>
      <w:r w:rsidR="00F366D7" w:rsidRPr="00761A64">
        <w:rPr>
          <w:i/>
        </w:rPr>
        <w:t xml:space="preserve"> </w:t>
      </w:r>
      <w:r w:rsidR="00FE44E4" w:rsidRPr="00761A64">
        <w:t xml:space="preserve">considered the biosecurity risks for Australia associated with the importation of live horses from approved countries. </w:t>
      </w:r>
      <w:r w:rsidR="00FE2493">
        <w:t>As</w:t>
      </w:r>
      <w:r w:rsidR="0033687F">
        <w:t xml:space="preserve"> glanders was not present in approved countries,</w:t>
      </w:r>
      <w:r w:rsidR="00FE2493">
        <w:t xml:space="preserve"> </w:t>
      </w:r>
      <w:r w:rsidR="00F366D7">
        <w:t>Australia adopted risk management measures in accordance with the World Organisation of Animal Health (</w:t>
      </w:r>
      <w:r w:rsidR="003C6D77">
        <w:t>WOAH</w:t>
      </w:r>
      <w:r w:rsidR="00F366D7">
        <w:t>) recommendations.</w:t>
      </w:r>
      <w:r w:rsidR="00173962">
        <w:t xml:space="preserve"> ‘Horse’ refers to horse</w:t>
      </w:r>
      <w:r w:rsidR="000A6D77">
        <w:t>s</w:t>
      </w:r>
      <w:r w:rsidR="00173962">
        <w:t>, donkeys and mules unless otherwise specified.</w:t>
      </w:r>
    </w:p>
    <w:p w14:paraId="5BE3ED0C" w14:textId="0D5074AA" w:rsidR="009B7F19" w:rsidRDefault="009B7F19">
      <w:r>
        <w:t xml:space="preserve">The </w:t>
      </w:r>
      <w:r w:rsidR="0033687F">
        <w:t xml:space="preserve">policy </w:t>
      </w:r>
      <w:r>
        <w:t xml:space="preserve">review </w:t>
      </w:r>
      <w:r w:rsidR="00CF5572">
        <w:t xml:space="preserve">analyses the unrestricted risk and </w:t>
      </w:r>
      <w:proofErr w:type="gramStart"/>
      <w:r w:rsidR="006868A7" w:rsidRPr="00761A64">
        <w:t>takes into account</w:t>
      </w:r>
      <w:proofErr w:type="gramEnd"/>
      <w:r w:rsidR="006868A7" w:rsidRPr="00761A64">
        <w:t xml:space="preserve"> new and relevant peer-reviewed scientific information, advice from international scientific experts, and relevant changes in industry practices and operational practicalities.</w:t>
      </w:r>
      <w:r w:rsidR="00353E13">
        <w:t xml:space="preserve"> </w:t>
      </w:r>
    </w:p>
    <w:p w14:paraId="0EE2457E" w14:textId="0B23B0A0" w:rsidR="00B16A03" w:rsidRPr="003C5050" w:rsidRDefault="00B16A03" w:rsidP="00B16A03">
      <w:pPr>
        <w:rPr>
          <w:rFonts w:eastAsia="Calibri" w:cs="Times New Roman"/>
        </w:rPr>
      </w:pPr>
      <w:r w:rsidRPr="003C5050">
        <w:rPr>
          <w:rFonts w:cs="Times New Roman"/>
        </w:rPr>
        <w:t xml:space="preserve">This final report from the review </w:t>
      </w:r>
      <w:proofErr w:type="gramStart"/>
      <w:r w:rsidRPr="003C5050">
        <w:rPr>
          <w:rFonts w:cs="Times New Roman"/>
        </w:rPr>
        <w:t>takes into account</w:t>
      </w:r>
      <w:proofErr w:type="gramEnd"/>
      <w:r w:rsidRPr="003C5050">
        <w:rPr>
          <w:rFonts w:cs="Times New Roman"/>
        </w:rPr>
        <w:t xml:space="preserve"> all stakeholder comments submitted during the </w:t>
      </w:r>
      <w:r w:rsidR="006F3CA2">
        <w:rPr>
          <w:rFonts w:cs="Times New Roman"/>
        </w:rPr>
        <w:t xml:space="preserve">30-day </w:t>
      </w:r>
      <w:r w:rsidRPr="003C5050">
        <w:rPr>
          <w:rFonts w:cs="Times New Roman"/>
        </w:rPr>
        <w:t xml:space="preserve">review period of the draft report. One submission was </w:t>
      </w:r>
      <w:r w:rsidR="003C5050" w:rsidRPr="003C5050">
        <w:rPr>
          <w:rFonts w:cs="Times New Roman"/>
        </w:rPr>
        <w:t>received,</w:t>
      </w:r>
      <w:r w:rsidRPr="003C5050">
        <w:rPr>
          <w:rFonts w:cs="Times New Roman"/>
        </w:rPr>
        <w:t xml:space="preserve"> and minor revisions were made accordingly. There was no change to the recommended import conditions in the draft report.</w:t>
      </w:r>
    </w:p>
    <w:p w14:paraId="17704F06" w14:textId="3F9BE2BC" w:rsidR="004A0FA3" w:rsidRPr="00DB6111" w:rsidRDefault="006868A7">
      <w:r w:rsidRPr="00761A64">
        <w:t xml:space="preserve">This </w:t>
      </w:r>
      <w:r w:rsidR="00FE44E4" w:rsidRPr="00761A64">
        <w:t>policy</w:t>
      </w:r>
      <w:r w:rsidRPr="00761A64">
        <w:t xml:space="preserve"> review recommends that the</w:t>
      </w:r>
      <w:r w:rsidR="00454769">
        <w:t xml:space="preserve"> import conditions for</w:t>
      </w:r>
      <w:r w:rsidRPr="00761A64">
        <w:t xml:space="preserve"> importation of </w:t>
      </w:r>
      <w:r w:rsidR="00FE44E4" w:rsidRPr="00761A64">
        <w:t>horses</w:t>
      </w:r>
      <w:r w:rsidR="00454769">
        <w:t xml:space="preserve"> and </w:t>
      </w:r>
      <w:r w:rsidR="000A6D77">
        <w:t>horse</w:t>
      </w:r>
      <w:r w:rsidR="00454769">
        <w:t xml:space="preserve"> semen</w:t>
      </w:r>
      <w:r w:rsidR="00FE44E4" w:rsidRPr="00761A64">
        <w:t xml:space="preserve"> </w:t>
      </w:r>
      <w:r w:rsidRPr="00761A64">
        <w:t xml:space="preserve">to Australia from </w:t>
      </w:r>
      <w:r w:rsidR="00FE44E4" w:rsidRPr="00761A64">
        <w:t>approved countries be st</w:t>
      </w:r>
      <w:r w:rsidR="00B153F9">
        <w:t>andardised</w:t>
      </w:r>
      <w:r w:rsidR="00FE44E4" w:rsidRPr="00761A64">
        <w:t xml:space="preserve"> for glanders</w:t>
      </w:r>
      <w:r w:rsidR="009449D2">
        <w:t xml:space="preserve"> and continue to </w:t>
      </w:r>
      <w:r w:rsidR="00454769">
        <w:t>align with the</w:t>
      </w:r>
      <w:r w:rsidR="009449D2">
        <w:t xml:space="preserve"> </w:t>
      </w:r>
      <w:r w:rsidR="003C6D77">
        <w:t>WOAH</w:t>
      </w:r>
      <w:r w:rsidR="00B547DC">
        <w:t xml:space="preserve"> </w:t>
      </w:r>
      <w:r w:rsidR="009449D2">
        <w:t>recommendations</w:t>
      </w:r>
      <w:r w:rsidR="00454769">
        <w:t xml:space="preserve"> for importation from countries free from glanders</w:t>
      </w:r>
      <w:r w:rsidR="00FE44E4" w:rsidRPr="00761A64">
        <w:t xml:space="preserve">. This policy review replaces the former glanders chapters in </w:t>
      </w:r>
      <w:r w:rsidR="00FE44E4" w:rsidRPr="00DB6111">
        <w:t xml:space="preserve">the </w:t>
      </w:r>
      <w:r w:rsidR="00761A64" w:rsidRPr="00DB6111">
        <w:t>Horse IRA</w:t>
      </w:r>
      <w:r w:rsidR="004C3FC4" w:rsidRPr="00DB6111">
        <w:t xml:space="preserve"> </w:t>
      </w:r>
      <w:r w:rsidR="00761A64" w:rsidRPr="00DB6111">
        <w:t xml:space="preserve">and the Horse Review. </w:t>
      </w:r>
    </w:p>
    <w:p w14:paraId="210D2BF6" w14:textId="77777777" w:rsidR="00FE44E4" w:rsidRPr="00761A64" w:rsidRDefault="00FE44E4"/>
    <w:p w14:paraId="115C4EF1" w14:textId="77777777" w:rsidR="00FE44E4" w:rsidRPr="00761A64" w:rsidRDefault="00FE44E4"/>
    <w:p w14:paraId="1D4D2D79" w14:textId="77777777" w:rsidR="00FE44E4" w:rsidRDefault="00FE44E4"/>
    <w:p w14:paraId="34D63E18" w14:textId="77777777" w:rsidR="00FE44E4" w:rsidRDefault="00FE44E4"/>
    <w:p w14:paraId="1A18EEF8" w14:textId="77777777" w:rsidR="00FE44E4" w:rsidRDefault="00FE44E4"/>
    <w:p w14:paraId="4994682D" w14:textId="77777777" w:rsidR="00FE44E4" w:rsidRDefault="00FE44E4"/>
    <w:p w14:paraId="5D6D5625" w14:textId="77777777" w:rsidR="00FE44E4" w:rsidRDefault="00FE44E4"/>
    <w:p w14:paraId="468EB470" w14:textId="77777777" w:rsidR="00FE44E4" w:rsidRDefault="00FE44E4"/>
    <w:p w14:paraId="6BAD1536" w14:textId="77777777" w:rsidR="00FE44E4" w:rsidRDefault="00FE44E4"/>
    <w:p w14:paraId="6A13A15D" w14:textId="257E618A" w:rsidR="009348AB" w:rsidRDefault="009348AB">
      <w:pPr>
        <w:spacing w:after="0" w:line="240" w:lineRule="auto"/>
        <w:rPr>
          <w:rFonts w:ascii="Calibri" w:eastAsiaTheme="majorEastAsia" w:hAnsi="Calibri" w:cstheme="majorBidi"/>
          <w:b/>
          <w:bCs/>
          <w:color w:val="C6281C"/>
          <w:sz w:val="34"/>
          <w:szCs w:val="26"/>
        </w:rPr>
      </w:pPr>
      <w:r>
        <w:br w:type="page"/>
      </w:r>
    </w:p>
    <w:p w14:paraId="6FFE205B" w14:textId="6600F335" w:rsidR="004A0FA3" w:rsidRDefault="003D3B90" w:rsidP="003D3B90">
      <w:pPr>
        <w:pStyle w:val="Heading2"/>
        <w:numPr>
          <w:ilvl w:val="0"/>
          <w:numId w:val="0"/>
        </w:numPr>
        <w:ind w:left="794" w:hanging="794"/>
      </w:pPr>
      <w:r>
        <w:lastRenderedPageBreak/>
        <w:t>Glanders</w:t>
      </w:r>
    </w:p>
    <w:p w14:paraId="1F2151A9" w14:textId="77777777" w:rsidR="004A0FA3" w:rsidRDefault="006868A7" w:rsidP="003D3B90">
      <w:pPr>
        <w:pStyle w:val="Heading4"/>
        <w:numPr>
          <w:ilvl w:val="0"/>
          <w:numId w:val="0"/>
        </w:numPr>
        <w:ind w:left="794" w:hanging="794"/>
      </w:pPr>
      <w:r>
        <w:t>Background</w:t>
      </w:r>
    </w:p>
    <w:p w14:paraId="17DFD598" w14:textId="6BD0E80E" w:rsidR="001474C4" w:rsidRDefault="001474C4" w:rsidP="00761A64">
      <w:r w:rsidRPr="00C646EE">
        <w:t xml:space="preserve">To protect Australia’s unique biosecurity status, the Department of Agriculture, </w:t>
      </w:r>
      <w:r w:rsidR="00DB584C">
        <w:t>Fisheries and Forestry</w:t>
      </w:r>
      <w:r w:rsidRPr="00C646EE">
        <w:t xml:space="preserve"> imposes strict import conditions</w:t>
      </w:r>
      <w:r>
        <w:t xml:space="preserve"> </w:t>
      </w:r>
      <w:r w:rsidRPr="00C646EE">
        <w:t>that must be met before horses can be imported into Australia.</w:t>
      </w:r>
      <w:r>
        <w:t xml:space="preserve"> </w:t>
      </w:r>
      <w:r w:rsidRPr="00C646EE">
        <w:t xml:space="preserve">The last 60 days of residence must be spent in a country approved to export horses directly to Australia. Currently, horses must reside in a glanders free country for </w:t>
      </w:r>
      <w:r>
        <w:t>180 days</w:t>
      </w:r>
      <w:r w:rsidRPr="00C646EE">
        <w:t xml:space="preserve"> prior to export to Australia. </w:t>
      </w:r>
      <w:r>
        <w:t>C</w:t>
      </w:r>
      <w:r w:rsidRPr="00C646EE">
        <w:t xml:space="preserve">ountries must be free from glanders for at least three years </w:t>
      </w:r>
      <w:proofErr w:type="gramStart"/>
      <w:r w:rsidRPr="00C646EE">
        <w:t>in order to</w:t>
      </w:r>
      <w:proofErr w:type="gramEnd"/>
      <w:r w:rsidRPr="00C646EE">
        <w:t xml:space="preserve"> export horses to Australia or provide sufficient evidence of country freedom in accordance with the </w:t>
      </w:r>
      <w:r w:rsidR="003C6D77">
        <w:t>WOAH</w:t>
      </w:r>
      <w:r w:rsidR="009348AB">
        <w:t xml:space="preserve"> </w:t>
      </w:r>
      <w:r w:rsidRPr="00C646EE">
        <w:t xml:space="preserve">Code. These conditions are in accordance with </w:t>
      </w:r>
      <w:r w:rsidR="003C6D77">
        <w:t>WOAH</w:t>
      </w:r>
      <w:r w:rsidR="009348AB">
        <w:t xml:space="preserve"> </w:t>
      </w:r>
      <w:r w:rsidRPr="00C646EE">
        <w:t xml:space="preserve">Code recommendations that horses reside in a glanders free country </w:t>
      </w:r>
      <w:r>
        <w:t>or zone, in which there have been no cases of glanders during the past three years, for six months immediately prior to export (</w:t>
      </w:r>
      <w:r w:rsidR="003C6D77">
        <w:t>WOAH</w:t>
      </w:r>
      <w:r w:rsidR="00080A19">
        <w:t>,</w:t>
      </w:r>
      <w:r>
        <w:t xml:space="preserve"> 2021).</w:t>
      </w:r>
    </w:p>
    <w:p w14:paraId="54EF4318" w14:textId="719CB58A" w:rsidR="00761A64" w:rsidRPr="00C646EE" w:rsidRDefault="00761A64" w:rsidP="00761A64">
      <w:r w:rsidRPr="00C646EE">
        <w:t xml:space="preserve">Glanders is a highly contagious bacterial disease of horses, </w:t>
      </w:r>
      <w:proofErr w:type="gramStart"/>
      <w:r w:rsidRPr="00C646EE">
        <w:t>donkeys</w:t>
      </w:r>
      <w:proofErr w:type="gramEnd"/>
      <w:r w:rsidRPr="00C646EE">
        <w:t xml:space="preserve"> and mules (Dvorak and </w:t>
      </w:r>
      <w:proofErr w:type="spellStart"/>
      <w:r w:rsidRPr="00C646EE">
        <w:t>Spickler</w:t>
      </w:r>
      <w:proofErr w:type="spellEnd"/>
      <w:r w:rsidRPr="00C646EE">
        <w:t xml:space="preserve">, 2008; Hungerford, 2007). The causative agent of glanders is </w:t>
      </w:r>
      <w:proofErr w:type="spellStart"/>
      <w:r w:rsidRPr="00C646EE">
        <w:rPr>
          <w:i/>
        </w:rPr>
        <w:t>Burkholderia</w:t>
      </w:r>
      <w:proofErr w:type="spellEnd"/>
      <w:r w:rsidRPr="00C646EE">
        <w:rPr>
          <w:i/>
        </w:rPr>
        <w:t xml:space="preserve"> mallei</w:t>
      </w:r>
      <w:r w:rsidRPr="00C646EE">
        <w:t xml:space="preserve"> (formerly </w:t>
      </w:r>
      <w:r w:rsidRPr="00C646EE">
        <w:rPr>
          <w:i/>
        </w:rPr>
        <w:t>Pseudomonas mallei</w:t>
      </w:r>
      <w:r w:rsidRPr="00C646EE">
        <w:t>), a small gram negative, non-spor</w:t>
      </w:r>
      <w:r w:rsidR="005A14F4">
        <w:t>ulat</w:t>
      </w:r>
      <w:r w:rsidRPr="00C646EE">
        <w:t xml:space="preserve">ing bacillus (Hungerford, 2007). </w:t>
      </w:r>
      <w:r w:rsidRPr="00C646EE">
        <w:rPr>
          <w:i/>
        </w:rPr>
        <w:t>B. mallei</w:t>
      </w:r>
      <w:r w:rsidRPr="00C646EE">
        <w:t xml:space="preserve"> is closely related to </w:t>
      </w:r>
      <w:r w:rsidRPr="00C646EE">
        <w:rPr>
          <w:i/>
        </w:rPr>
        <w:t xml:space="preserve">B. </w:t>
      </w:r>
      <w:proofErr w:type="spellStart"/>
      <w:r w:rsidRPr="00C646EE">
        <w:rPr>
          <w:i/>
        </w:rPr>
        <w:t>pseudomallei</w:t>
      </w:r>
      <w:proofErr w:type="spellEnd"/>
      <w:r w:rsidRPr="00C646EE">
        <w:t>, the causative agent of melioidosis (</w:t>
      </w:r>
      <w:r w:rsidR="004F27E9">
        <w:t>p</w:t>
      </w:r>
      <w:r w:rsidRPr="00C646EE">
        <w:t>seudoglanders, Whitmore disease) in humans and animals (</w:t>
      </w:r>
      <w:proofErr w:type="spellStart"/>
      <w:r w:rsidR="004A3327" w:rsidRPr="00C646EE">
        <w:t>Spickler</w:t>
      </w:r>
      <w:proofErr w:type="spellEnd"/>
      <w:r w:rsidR="004A3327" w:rsidRPr="00C646EE">
        <w:t>, 2018</w:t>
      </w:r>
      <w:r w:rsidRPr="00C646EE">
        <w:t>). Glanders is a World Organisation for Animal Health (</w:t>
      </w:r>
      <w:r w:rsidR="003C6D77">
        <w:t>WOAH</w:t>
      </w:r>
      <w:r w:rsidRPr="00C646EE">
        <w:t xml:space="preserve">) listed disease which is exotic to Australia and nationally notifiable. Glanders is a zoonotic disease and is considered a bioterrorism agent by the United States </w:t>
      </w:r>
      <w:proofErr w:type="spellStart"/>
      <w:r w:rsidRPr="00C646EE">
        <w:t>Centers</w:t>
      </w:r>
      <w:proofErr w:type="spellEnd"/>
      <w:r w:rsidRPr="00C646EE">
        <w:t xml:space="preserve"> for Disease Control and Prevention (CDC, 2017).</w:t>
      </w:r>
    </w:p>
    <w:p w14:paraId="79EDC9A1" w14:textId="535367D6" w:rsidR="00761A64" w:rsidRPr="00C646EE" w:rsidRDefault="00761A64" w:rsidP="00761A64">
      <w:r w:rsidRPr="00C646EE">
        <w:t>After an initial spike in cases at the time of identification of</w:t>
      </w:r>
      <w:r w:rsidR="002B129C">
        <w:t xml:space="preserve"> </w:t>
      </w:r>
      <w:r w:rsidR="000A6D77">
        <w:t xml:space="preserve">the </w:t>
      </w:r>
      <w:r w:rsidR="002B129C">
        <w:t>bacterial aetiology of</w:t>
      </w:r>
      <w:r w:rsidRPr="00C646EE">
        <w:t xml:space="preserve"> glanders</w:t>
      </w:r>
      <w:r w:rsidR="002B129C">
        <w:t xml:space="preserve"> in 1882</w:t>
      </w:r>
      <w:r w:rsidRPr="00C646EE">
        <w:t>, the incidence of disease dropped globally (</w:t>
      </w:r>
      <w:r w:rsidR="003C6D77">
        <w:t>WOAH</w:t>
      </w:r>
      <w:r w:rsidR="00B547DC">
        <w:t>)</w:t>
      </w:r>
      <w:r w:rsidR="003C6D77" w:rsidRPr="00C646EE">
        <w:t xml:space="preserve"> </w:t>
      </w:r>
      <w:r w:rsidR="004A3327" w:rsidRPr="00C646EE">
        <w:t>Technical disease cards, 2020</w:t>
      </w:r>
      <w:r w:rsidRPr="00C646EE">
        <w:t>). This is likely due to the introduction of eradication policies (</w:t>
      </w:r>
      <w:r w:rsidR="003C6D77">
        <w:t>WOAH</w:t>
      </w:r>
      <w:r w:rsidR="00B547DC">
        <w:t>)</w:t>
      </w:r>
      <w:r w:rsidR="003C6D77" w:rsidRPr="00C646EE">
        <w:t xml:space="preserve"> </w:t>
      </w:r>
      <w:r w:rsidR="004A3327" w:rsidRPr="00C646EE">
        <w:t>Technical disease cards, 2020</w:t>
      </w:r>
      <w:r w:rsidRPr="00C646EE">
        <w:t>). Glanders is considered a re-emerging disease in India and the Middle East due to a steady increase in the number of cases after years of minimal to no case detections (Khan et al, 2013; Anderson, 2013).</w:t>
      </w:r>
    </w:p>
    <w:p w14:paraId="325D247E" w14:textId="73291568" w:rsidR="00761A64" w:rsidRPr="00C646EE" w:rsidRDefault="00761A64" w:rsidP="00761A64">
      <w:r w:rsidRPr="00C646EE">
        <w:t xml:space="preserve">Glanders has been reported in carnivores that have consumed infected horse meat (Hungerford, 2007; Khaki et al, 2012). Rare cases have been reported in camels, </w:t>
      </w:r>
      <w:proofErr w:type="gramStart"/>
      <w:r w:rsidRPr="00C646EE">
        <w:t>goats</w:t>
      </w:r>
      <w:proofErr w:type="gramEnd"/>
      <w:r w:rsidRPr="00C646EE">
        <w:t xml:space="preserve"> and sheep (Dvorak and </w:t>
      </w:r>
      <w:proofErr w:type="spellStart"/>
      <w:r w:rsidRPr="00C646EE">
        <w:t>Spick</w:t>
      </w:r>
      <w:r w:rsidR="004A3327" w:rsidRPr="00C646EE">
        <w:t>l</w:t>
      </w:r>
      <w:r w:rsidRPr="00C646EE">
        <w:t>er</w:t>
      </w:r>
      <w:proofErr w:type="spellEnd"/>
      <w:r w:rsidRPr="00C646EE">
        <w:t xml:space="preserve">, 2008; </w:t>
      </w:r>
      <w:proofErr w:type="spellStart"/>
      <w:r w:rsidRPr="00C646EE">
        <w:t>Wernery</w:t>
      </w:r>
      <w:proofErr w:type="spellEnd"/>
      <w:r w:rsidRPr="00C646EE">
        <w:t xml:space="preserve"> et al, 2011). Dvorak and </w:t>
      </w:r>
      <w:proofErr w:type="spellStart"/>
      <w:r w:rsidRPr="00C646EE">
        <w:t>Spick</w:t>
      </w:r>
      <w:r w:rsidR="005A14F4">
        <w:t>l</w:t>
      </w:r>
      <w:r w:rsidRPr="00C646EE">
        <w:t>er</w:t>
      </w:r>
      <w:proofErr w:type="spellEnd"/>
      <w:r w:rsidRPr="00C646EE">
        <w:t xml:space="preserve"> (2008) found that a variety of mammals could be infected experimentally. However, cattle, pigs, </w:t>
      </w:r>
      <w:proofErr w:type="gramStart"/>
      <w:r w:rsidRPr="00C646EE">
        <w:t>rats</w:t>
      </w:r>
      <w:proofErr w:type="gramEnd"/>
      <w:r w:rsidRPr="00C646EE">
        <w:t xml:space="preserve"> and birds are relatively resistant to experimental infection (Dvorak and </w:t>
      </w:r>
      <w:proofErr w:type="spellStart"/>
      <w:r w:rsidRPr="00C646EE">
        <w:t>Spick</w:t>
      </w:r>
      <w:r w:rsidR="005A14F4">
        <w:t>l</w:t>
      </w:r>
      <w:r w:rsidRPr="00C646EE">
        <w:t>er</w:t>
      </w:r>
      <w:proofErr w:type="spellEnd"/>
      <w:r w:rsidRPr="00C646EE">
        <w:t xml:space="preserve">, 2008). </w:t>
      </w:r>
    </w:p>
    <w:p w14:paraId="3A4DCB1E" w14:textId="655FAF6C" w:rsidR="00761A64" w:rsidRPr="00C646EE" w:rsidRDefault="00761A64" w:rsidP="00761A64">
      <w:r w:rsidRPr="00C646EE">
        <w:t xml:space="preserve">In </w:t>
      </w:r>
      <w:r w:rsidR="00D0233C">
        <w:t>horses</w:t>
      </w:r>
      <w:r w:rsidR="00D0233C" w:rsidRPr="00C646EE">
        <w:t xml:space="preserve"> </w:t>
      </w:r>
      <w:r w:rsidRPr="00C646EE">
        <w:t xml:space="preserve">the disease can manifest in acute, </w:t>
      </w:r>
      <w:proofErr w:type="gramStart"/>
      <w:r w:rsidRPr="00C646EE">
        <w:t>chronic</w:t>
      </w:r>
      <w:proofErr w:type="gramEnd"/>
      <w:r w:rsidRPr="00C646EE">
        <w:t xml:space="preserve"> and latent forms. The acute form results in septicaemia and death within few days (Hungerford, 2007). The chronic form results in ulcerating, purulent nodules developing in the respiratory tract, </w:t>
      </w:r>
      <w:proofErr w:type="gramStart"/>
      <w:r w:rsidRPr="00C646EE">
        <w:t>skin</w:t>
      </w:r>
      <w:proofErr w:type="gramEnd"/>
      <w:r w:rsidRPr="00C646EE">
        <w:t xml:space="preserve"> and lymph nodes (Hungerford, 2007). Chronic illness can last for months before death or recovery to become a carrier (Hungerford, 2007). Latent infections are difficult to detect with current diagnostic tests (Kettle and </w:t>
      </w:r>
      <w:proofErr w:type="spellStart"/>
      <w:r w:rsidRPr="00C646EE">
        <w:t>Wernery</w:t>
      </w:r>
      <w:proofErr w:type="spellEnd"/>
      <w:r w:rsidRPr="00C646EE">
        <w:t xml:space="preserve">, 2016). </w:t>
      </w:r>
    </w:p>
    <w:p w14:paraId="55761377" w14:textId="28B74867" w:rsidR="00761A64" w:rsidRPr="00C646EE" w:rsidRDefault="00761A64" w:rsidP="00761A64">
      <w:r w:rsidRPr="00C646EE">
        <w:t>There has been one reported occurrence of glanders in Australia in 1891 (</w:t>
      </w:r>
      <w:proofErr w:type="spellStart"/>
      <w:r w:rsidRPr="00C646EE">
        <w:t>Geering</w:t>
      </w:r>
      <w:proofErr w:type="spellEnd"/>
      <w:r w:rsidRPr="00C646EE">
        <w:t xml:space="preserve"> et al, 1995). This incident involved circus horses imported from the United States</w:t>
      </w:r>
      <w:r w:rsidR="008C62DD">
        <w:t xml:space="preserve"> </w:t>
      </w:r>
      <w:r w:rsidRPr="00C646EE">
        <w:t>into a quarantine facility in Sydney (</w:t>
      </w:r>
      <w:proofErr w:type="spellStart"/>
      <w:r w:rsidRPr="00C646EE">
        <w:t>Geering</w:t>
      </w:r>
      <w:proofErr w:type="spellEnd"/>
      <w:r w:rsidRPr="00C646EE">
        <w:t xml:space="preserve"> et al. 1995). All infected horses and their contacts were </w:t>
      </w:r>
      <w:proofErr w:type="spellStart"/>
      <w:r w:rsidRPr="00C646EE">
        <w:t>euthanased</w:t>
      </w:r>
      <w:proofErr w:type="spellEnd"/>
      <w:r w:rsidRPr="00C646EE">
        <w:t>, and the remaining horses exported back to the United States</w:t>
      </w:r>
      <w:r w:rsidR="008C62DD">
        <w:t xml:space="preserve"> </w:t>
      </w:r>
      <w:r w:rsidRPr="00C646EE">
        <w:t xml:space="preserve">(Ellis, 2020). </w:t>
      </w:r>
    </w:p>
    <w:p w14:paraId="16FA56A0" w14:textId="3FE71E94" w:rsidR="004A0FA3" w:rsidRPr="00C646EE" w:rsidRDefault="006868A7" w:rsidP="003D3B90">
      <w:pPr>
        <w:pStyle w:val="Heading4"/>
        <w:numPr>
          <w:ilvl w:val="0"/>
          <w:numId w:val="0"/>
        </w:numPr>
        <w:ind w:left="794" w:hanging="794"/>
      </w:pPr>
      <w:r w:rsidRPr="00C646EE">
        <w:lastRenderedPageBreak/>
        <w:t>Technical information</w:t>
      </w:r>
    </w:p>
    <w:p w14:paraId="1CD9F0EC" w14:textId="4CB10933" w:rsidR="004A0FA3" w:rsidRPr="00C646EE" w:rsidRDefault="000D738A">
      <w:pPr>
        <w:pStyle w:val="Heading5"/>
      </w:pPr>
      <w:r w:rsidRPr="00C646EE">
        <w:t>Agent properties</w:t>
      </w:r>
    </w:p>
    <w:p w14:paraId="6F806ABB" w14:textId="25E35A79" w:rsidR="00761A64" w:rsidRPr="00C646EE" w:rsidRDefault="00761A64" w:rsidP="00761A64">
      <w:r w:rsidRPr="00C646EE">
        <w:rPr>
          <w:i/>
        </w:rPr>
        <w:t>B. mallei</w:t>
      </w:r>
      <w:r w:rsidRPr="00C646EE">
        <w:t xml:space="preserve"> is a gram negative, non-motile </w:t>
      </w:r>
      <w:r w:rsidRPr="005A14F4">
        <w:t>and non-</w:t>
      </w:r>
      <w:r w:rsidR="005A14F4">
        <w:t>sporulating</w:t>
      </w:r>
      <w:r w:rsidRPr="005A14F4">
        <w:t xml:space="preserve"> bacillus</w:t>
      </w:r>
      <w:r w:rsidRPr="00C646EE">
        <w:t xml:space="preserve"> of the family </w:t>
      </w:r>
      <w:proofErr w:type="spellStart"/>
      <w:r w:rsidRPr="00C646EE">
        <w:rPr>
          <w:i/>
        </w:rPr>
        <w:t>Burkholderiaceae</w:t>
      </w:r>
      <w:proofErr w:type="spellEnd"/>
      <w:r w:rsidRPr="00C646EE">
        <w:t xml:space="preserve"> </w:t>
      </w:r>
      <w:r w:rsidR="004A3327" w:rsidRPr="00C646EE">
        <w:t>(</w:t>
      </w:r>
      <w:r w:rsidR="003C6D77">
        <w:t>WOAH</w:t>
      </w:r>
      <w:r w:rsidR="004A3327" w:rsidRPr="00C646EE">
        <w:t xml:space="preserve"> Technical disease cards, 2020</w:t>
      </w:r>
      <w:r w:rsidRPr="00C646EE">
        <w:t xml:space="preserve">). Unlike other members of the </w:t>
      </w:r>
      <w:proofErr w:type="spellStart"/>
      <w:r w:rsidRPr="00C646EE">
        <w:rPr>
          <w:i/>
        </w:rPr>
        <w:t>Burholderiaceae</w:t>
      </w:r>
      <w:proofErr w:type="spellEnd"/>
      <w:r w:rsidRPr="00C646EE">
        <w:rPr>
          <w:i/>
        </w:rPr>
        <w:t xml:space="preserve"> </w:t>
      </w:r>
      <w:r w:rsidRPr="00C646EE">
        <w:t xml:space="preserve">family, it is a </w:t>
      </w:r>
      <w:proofErr w:type="gramStart"/>
      <w:r w:rsidRPr="00C646EE">
        <w:t>facultative intracellular obligate bacteria</w:t>
      </w:r>
      <w:proofErr w:type="gramEnd"/>
      <w:r w:rsidRPr="00C646EE">
        <w:t xml:space="preserve"> that relies on host transmission for dispersal (</w:t>
      </w:r>
      <w:proofErr w:type="spellStart"/>
      <w:r w:rsidRPr="00C646EE">
        <w:t>Timoney</w:t>
      </w:r>
      <w:proofErr w:type="spellEnd"/>
      <w:r w:rsidRPr="00C646EE">
        <w:t xml:space="preserve">, 2014). </w:t>
      </w:r>
      <w:r w:rsidRPr="00C646EE">
        <w:rPr>
          <w:i/>
        </w:rPr>
        <w:t>B. mallei</w:t>
      </w:r>
      <w:r w:rsidRPr="00C646EE">
        <w:t xml:space="preserve"> has a polysaccharide capsule to enhance environmental survival and virulence (</w:t>
      </w:r>
      <w:proofErr w:type="spellStart"/>
      <w:r w:rsidRPr="00C646EE">
        <w:t>Timoney</w:t>
      </w:r>
      <w:proofErr w:type="spellEnd"/>
      <w:r w:rsidRPr="00C646EE">
        <w:t xml:space="preserve">, 2014). </w:t>
      </w:r>
    </w:p>
    <w:p w14:paraId="2C8B8C42" w14:textId="0F47F30A" w:rsidR="00761A64" w:rsidRPr="00C646EE" w:rsidRDefault="00761A64" w:rsidP="00761A64">
      <w:r w:rsidRPr="00C646EE">
        <w:rPr>
          <w:i/>
        </w:rPr>
        <w:t xml:space="preserve">B. mallei </w:t>
      </w:r>
      <w:r w:rsidRPr="00C646EE">
        <w:t xml:space="preserve">can survive outside of host species under specific environmental conditions found in tropical environments </w:t>
      </w:r>
      <w:r w:rsidR="004A3327" w:rsidRPr="00C646EE">
        <w:t>(</w:t>
      </w:r>
      <w:r w:rsidR="003C6D77">
        <w:t>WOAH</w:t>
      </w:r>
      <w:r w:rsidR="004A3327" w:rsidRPr="00C646EE">
        <w:t xml:space="preserve"> Technical disease cards, 2020</w:t>
      </w:r>
      <w:r w:rsidRPr="00C646EE">
        <w:t xml:space="preserve">). </w:t>
      </w:r>
      <w:r w:rsidRPr="00C646EE">
        <w:rPr>
          <w:i/>
        </w:rPr>
        <w:t>B. mallei</w:t>
      </w:r>
      <w:r w:rsidRPr="00C646EE">
        <w:t xml:space="preserve"> is susceptible to intense </w:t>
      </w:r>
      <w:r w:rsidRPr="005A14F4">
        <w:t xml:space="preserve">heat, direct </w:t>
      </w:r>
      <w:proofErr w:type="gramStart"/>
      <w:r w:rsidRPr="005A14F4">
        <w:t>sunlight</w:t>
      </w:r>
      <w:proofErr w:type="gramEnd"/>
      <w:r w:rsidRPr="005A14F4">
        <w:t xml:space="preserve"> and disinfectants (</w:t>
      </w:r>
      <w:proofErr w:type="spellStart"/>
      <w:r w:rsidRPr="005A14F4">
        <w:t>Timoney</w:t>
      </w:r>
      <w:proofErr w:type="spellEnd"/>
      <w:r w:rsidRPr="005A14F4">
        <w:t>, 2014</w:t>
      </w:r>
      <w:r w:rsidRPr="00C646EE">
        <w:t xml:space="preserve">). Direct sunlight inactivates </w:t>
      </w:r>
      <w:r w:rsidRPr="00C646EE">
        <w:rPr>
          <w:i/>
        </w:rPr>
        <w:t>B. mallei</w:t>
      </w:r>
      <w:r w:rsidRPr="00C646EE">
        <w:t xml:space="preserve"> within 24 hours, and it is destroyed when exposed to temperatures over 55</w:t>
      </w:r>
      <w:r w:rsidRPr="00C646EE">
        <w:rPr>
          <w:rFonts w:cstheme="minorHAnsi"/>
        </w:rPr>
        <w:t>˚</w:t>
      </w:r>
      <w:r w:rsidRPr="00C646EE">
        <w:t xml:space="preserve">C for more than 10 minutes </w:t>
      </w:r>
      <w:r w:rsidR="004A3327" w:rsidRPr="00C646EE">
        <w:t>(</w:t>
      </w:r>
      <w:r w:rsidR="003C6D77">
        <w:t>WOAH</w:t>
      </w:r>
      <w:r w:rsidR="004A3327" w:rsidRPr="00C646EE">
        <w:t xml:space="preserve"> Technical disease cards, 2020</w:t>
      </w:r>
      <w:r w:rsidRPr="00C646EE">
        <w:t xml:space="preserve">). However, Dvorak and </w:t>
      </w:r>
      <w:proofErr w:type="spellStart"/>
      <w:r w:rsidRPr="00C646EE">
        <w:t>Spickler</w:t>
      </w:r>
      <w:proofErr w:type="spellEnd"/>
      <w:r w:rsidRPr="00C646EE">
        <w:t xml:space="preserve"> (2008) found that the bacteria could remain viable in water at room temperature (20</w:t>
      </w:r>
      <w:r w:rsidRPr="00C646EE">
        <w:rPr>
          <w:rFonts w:cstheme="minorHAnsi"/>
        </w:rPr>
        <w:t>˚</w:t>
      </w:r>
      <w:r w:rsidRPr="00C646EE">
        <w:t>C</w:t>
      </w:r>
      <w:r w:rsidR="008D58F4">
        <w:t xml:space="preserve"> to </w:t>
      </w:r>
      <w:r w:rsidRPr="00C646EE">
        <w:t>25</w:t>
      </w:r>
      <w:r w:rsidRPr="00C646EE">
        <w:rPr>
          <w:rFonts w:cstheme="minorHAnsi"/>
        </w:rPr>
        <w:t>˚</w:t>
      </w:r>
      <w:r w:rsidRPr="00C646EE">
        <w:t xml:space="preserve">C) for up to one month. Some studies have found that the bacteria could remain viable in contaminated stables for up to six weeks in humid or wet conditions out of direct sunlight </w:t>
      </w:r>
      <w:r w:rsidR="004A3327" w:rsidRPr="00C646EE">
        <w:t>(</w:t>
      </w:r>
      <w:r w:rsidR="003C6D77">
        <w:t>WOAH</w:t>
      </w:r>
      <w:r w:rsidR="004A3327" w:rsidRPr="00C646EE">
        <w:t xml:space="preserve"> Technical disease cards, 2020</w:t>
      </w:r>
      <w:r w:rsidRPr="00C646EE">
        <w:t xml:space="preserve">; Verma et al, 2014). </w:t>
      </w:r>
      <w:proofErr w:type="spellStart"/>
      <w:r w:rsidR="004E723C" w:rsidRPr="00D44EA6">
        <w:rPr>
          <w:i/>
        </w:rPr>
        <w:t>Burkholderia</w:t>
      </w:r>
      <w:proofErr w:type="spellEnd"/>
      <w:r w:rsidR="004E723C" w:rsidRPr="00D44EA6">
        <w:rPr>
          <w:i/>
        </w:rPr>
        <w:t xml:space="preserve"> </w:t>
      </w:r>
      <w:proofErr w:type="spellStart"/>
      <w:r w:rsidR="004E723C" w:rsidRPr="00D44EA6">
        <w:rPr>
          <w:i/>
        </w:rPr>
        <w:t>pseudomallei</w:t>
      </w:r>
      <w:proofErr w:type="spellEnd"/>
      <w:r w:rsidR="004E723C">
        <w:t xml:space="preserve"> is present in northern Australia and a small area of Western Australia (near Perth). Conditions in these areas may also be conducive for </w:t>
      </w:r>
      <w:r w:rsidR="00D44EA6">
        <w:rPr>
          <w:i/>
        </w:rPr>
        <w:t>B.</w:t>
      </w:r>
      <w:r w:rsidR="00DF042F">
        <w:rPr>
          <w:i/>
        </w:rPr>
        <w:t xml:space="preserve"> </w:t>
      </w:r>
      <w:r w:rsidR="00D44EA6">
        <w:rPr>
          <w:i/>
        </w:rPr>
        <w:t xml:space="preserve">mallei </w:t>
      </w:r>
      <w:r w:rsidR="00D44EA6">
        <w:t>to</w:t>
      </w:r>
      <w:r w:rsidR="004E723C">
        <w:t xml:space="preserve"> be sustained within the environment. </w:t>
      </w:r>
      <w:r w:rsidRPr="00C646EE">
        <w:rPr>
          <w:i/>
        </w:rPr>
        <w:t>B. mallei</w:t>
      </w:r>
      <w:r w:rsidRPr="00C646EE">
        <w:t xml:space="preserve"> is susceptible to most common disinfectants such as iodine, benzalkonium chloride (1/2000), sodium hypochlorite (500</w:t>
      </w:r>
      <w:r w:rsidR="00962F0D">
        <w:t xml:space="preserve"> </w:t>
      </w:r>
      <w:r w:rsidRPr="00C646EE">
        <w:t>ppm available chlorine)</w:t>
      </w:r>
      <w:r w:rsidR="00DF042F">
        <w:t>,</w:t>
      </w:r>
      <w:r w:rsidRPr="00C646EE">
        <w:t xml:space="preserve"> 70% ethanol and 2% glutaraldehyde (</w:t>
      </w:r>
      <w:r w:rsidR="003C6D77">
        <w:t>WOAH</w:t>
      </w:r>
      <w:r w:rsidR="004A3327" w:rsidRPr="00C646EE">
        <w:t xml:space="preserve"> Technical disease cards, 2020</w:t>
      </w:r>
      <w:r w:rsidRPr="00C646EE">
        <w:t xml:space="preserve">). </w:t>
      </w:r>
    </w:p>
    <w:p w14:paraId="77323384" w14:textId="760CDCB9" w:rsidR="004E723C" w:rsidRPr="00C646EE" w:rsidRDefault="00761A64" w:rsidP="00761A64">
      <w:r w:rsidRPr="00C646EE">
        <w:t xml:space="preserve">There is a lack of information available on the survival of </w:t>
      </w:r>
      <w:r w:rsidRPr="00C646EE">
        <w:rPr>
          <w:i/>
        </w:rPr>
        <w:t xml:space="preserve">B. mallei </w:t>
      </w:r>
      <w:r w:rsidRPr="00C646EE">
        <w:t xml:space="preserve">in refrigerated or freezer conditions.  </w:t>
      </w:r>
    </w:p>
    <w:p w14:paraId="3EBAD6EC" w14:textId="7FA04D23" w:rsidR="000D738A" w:rsidRPr="00C646EE" w:rsidRDefault="000D738A">
      <w:pPr>
        <w:pStyle w:val="Heading5"/>
      </w:pPr>
      <w:r w:rsidRPr="00C646EE">
        <w:t>Distribution</w:t>
      </w:r>
    </w:p>
    <w:p w14:paraId="6B1DB41F" w14:textId="0AAF9334" w:rsidR="000D738A" w:rsidRPr="00C646EE" w:rsidRDefault="000D738A" w:rsidP="000D738A">
      <w:r w:rsidRPr="00C646EE">
        <w:t xml:space="preserve">Once prevalent worldwide, glanders has been eradicated from many areas of the world including Canada, Western </w:t>
      </w:r>
      <w:proofErr w:type="gramStart"/>
      <w:r w:rsidRPr="00C646EE">
        <w:t>Europe</w:t>
      </w:r>
      <w:proofErr w:type="gramEnd"/>
      <w:r w:rsidRPr="00C646EE">
        <w:t xml:space="preserve"> and the United States</w:t>
      </w:r>
      <w:r w:rsidR="008C62DD">
        <w:t xml:space="preserve"> </w:t>
      </w:r>
      <w:r w:rsidRPr="00C646EE">
        <w:t xml:space="preserve">(Dvorak and </w:t>
      </w:r>
      <w:proofErr w:type="spellStart"/>
      <w:r w:rsidRPr="00C646EE">
        <w:t>Spickler</w:t>
      </w:r>
      <w:proofErr w:type="spellEnd"/>
      <w:r w:rsidRPr="00C646EE">
        <w:t xml:space="preserve"> 2008; Derbyshire, 2002). However, the disease persists in many parts of Asia, North Africa, South </w:t>
      </w:r>
      <w:proofErr w:type="gramStart"/>
      <w:r w:rsidRPr="00C646EE">
        <w:t>America</w:t>
      </w:r>
      <w:proofErr w:type="gramEnd"/>
      <w:r w:rsidRPr="00C646EE">
        <w:t xml:space="preserve"> and the Middle East (Kettle and </w:t>
      </w:r>
      <w:proofErr w:type="spellStart"/>
      <w:r w:rsidRPr="00C646EE">
        <w:t>Wernery</w:t>
      </w:r>
      <w:proofErr w:type="spellEnd"/>
      <w:r w:rsidRPr="00C646EE">
        <w:t xml:space="preserve">, 2016). Between 1996 and 2021, the </w:t>
      </w:r>
      <w:r w:rsidR="003C6D77">
        <w:t>WOAH</w:t>
      </w:r>
      <w:r w:rsidRPr="00C646EE">
        <w:t xml:space="preserve"> received reports of cases of glanders in Afghanistan, Bahrain, Belarus, Bolivia, Brazil, China, Eritrea, Ethiopia, Germany, India, Iran, Iraq, Kuwait, Lebanon, Mongolia, Nepal, </w:t>
      </w:r>
      <w:r w:rsidR="00325E04">
        <w:t xml:space="preserve">the </w:t>
      </w:r>
      <w:r w:rsidRPr="00C646EE">
        <w:t xml:space="preserve">Philippines, </w:t>
      </w:r>
      <w:proofErr w:type="gramStart"/>
      <w:r w:rsidRPr="00C646EE">
        <w:t>Russia</w:t>
      </w:r>
      <w:proofErr w:type="gramEnd"/>
      <w:r w:rsidRPr="00C646EE">
        <w:t xml:space="preserve"> and Turkey (</w:t>
      </w:r>
      <w:r w:rsidR="003C6D77">
        <w:t>WOAH</w:t>
      </w:r>
      <w:r w:rsidR="00B444B0" w:rsidRPr="00C646EE">
        <w:t xml:space="preserve"> Code</w:t>
      </w:r>
      <w:r w:rsidRPr="00C646EE">
        <w:t xml:space="preserve">, 2020; </w:t>
      </w:r>
      <w:proofErr w:type="spellStart"/>
      <w:r w:rsidRPr="00C646EE">
        <w:t>Wernery</w:t>
      </w:r>
      <w:proofErr w:type="spellEnd"/>
      <w:r w:rsidRPr="00C646EE">
        <w:t xml:space="preserve"> et al, 2011; Singha et al, 2020; </w:t>
      </w:r>
      <w:proofErr w:type="spellStart"/>
      <w:r w:rsidRPr="00C646EE">
        <w:t>Sholz</w:t>
      </w:r>
      <w:proofErr w:type="spellEnd"/>
      <w:r w:rsidRPr="00C646EE">
        <w:t xml:space="preserve"> et al, 2014). The illegal movement of horses across borders has been linked to glanders outbreaks, highlighting the importance of border control measures. In 2021, Nepal recorded its first outbreak of glanders. Evidence indicates that this was due to the illegal movement of infected horses entering Nepal from India’s Uttar Pradesh province (</w:t>
      </w:r>
      <w:proofErr w:type="spellStart"/>
      <w:r w:rsidRPr="00C646EE">
        <w:t>ProMed</w:t>
      </w:r>
      <w:proofErr w:type="spellEnd"/>
      <w:r w:rsidRPr="00C646EE">
        <w:t xml:space="preserve">, 2021; </w:t>
      </w:r>
      <w:r w:rsidR="003C6D77">
        <w:t>WOAH</w:t>
      </w:r>
      <w:r w:rsidR="00C24281" w:rsidRPr="00C646EE">
        <w:t xml:space="preserve"> </w:t>
      </w:r>
      <w:r w:rsidRPr="00C646EE">
        <w:t xml:space="preserve">WAHIS report, 2021). </w:t>
      </w:r>
    </w:p>
    <w:p w14:paraId="6D93FD77" w14:textId="4B6AB7CC" w:rsidR="000D738A" w:rsidRPr="00C646EE" w:rsidRDefault="000D738A" w:rsidP="000D738A">
      <w:r w:rsidRPr="00C646EE">
        <w:t>Glanders has previously been reported in two countries approved to export horses to Australia. The United Arab Emirates reported a case of glanders in 2004 and Germany reported one case in 2006 and one in 2014 (</w:t>
      </w:r>
      <w:proofErr w:type="spellStart"/>
      <w:r w:rsidR="004C1A14" w:rsidRPr="00C646EE">
        <w:t>ProMed</w:t>
      </w:r>
      <w:proofErr w:type="spellEnd"/>
      <w:r w:rsidRPr="00C646EE">
        <w:t xml:space="preserve">, 2004; </w:t>
      </w:r>
      <w:r w:rsidR="003C6D77">
        <w:t>WOAH</w:t>
      </w:r>
      <w:r w:rsidR="00C24281" w:rsidRPr="00C646EE">
        <w:t xml:space="preserve"> WAHIS report</w:t>
      </w:r>
      <w:r w:rsidRPr="00C646EE">
        <w:t>, 2015). In the U</w:t>
      </w:r>
      <w:r w:rsidR="00DF042F">
        <w:t xml:space="preserve">nited </w:t>
      </w:r>
      <w:r w:rsidRPr="00C646EE">
        <w:t>A</w:t>
      </w:r>
      <w:r w:rsidR="00DF042F">
        <w:t xml:space="preserve">rab </w:t>
      </w:r>
      <w:r w:rsidRPr="00C646EE">
        <w:t>E</w:t>
      </w:r>
      <w:r w:rsidR="00DF042F">
        <w:t>mirates</w:t>
      </w:r>
      <w:r w:rsidRPr="00C646EE">
        <w:t xml:space="preserve"> case, the disease was identified in an imported horse during post</w:t>
      </w:r>
      <w:r w:rsidR="00DF042F">
        <w:t>-</w:t>
      </w:r>
      <w:r w:rsidRPr="00C646EE">
        <w:t xml:space="preserve">import </w:t>
      </w:r>
      <w:r w:rsidR="008C62DD">
        <w:t xml:space="preserve">quarantine </w:t>
      </w:r>
      <w:r w:rsidRPr="00C646EE">
        <w:t xml:space="preserve">and the horse did not enter the general horse population. In the </w:t>
      </w:r>
      <w:r w:rsidR="00CB1E5A">
        <w:t xml:space="preserve">2014 </w:t>
      </w:r>
      <w:r w:rsidRPr="00C646EE">
        <w:t xml:space="preserve">German case, the horse was in the general horse population when it tested positive for glanders during routine pre-export screening for another country. This led to </w:t>
      </w:r>
      <w:r w:rsidR="00F05F85">
        <w:t>Australia</w:t>
      </w:r>
      <w:r w:rsidRPr="00C646EE">
        <w:t xml:space="preserve"> suspending the import of live horses and their semen from Germany until the occurrence was investigated and freedom from disease demonstrated. </w:t>
      </w:r>
      <w:r w:rsidR="00211645">
        <w:t>The</w:t>
      </w:r>
      <w:r w:rsidR="00211645" w:rsidRPr="00C646EE">
        <w:t xml:space="preserve"> </w:t>
      </w:r>
      <w:r w:rsidRPr="00C646EE">
        <w:t xml:space="preserve">incident was </w:t>
      </w:r>
      <w:proofErr w:type="gramStart"/>
      <w:r w:rsidRPr="00C646EE">
        <w:t>resolved</w:t>
      </w:r>
      <w:proofErr w:type="gramEnd"/>
      <w:r w:rsidRPr="00C646EE">
        <w:t xml:space="preserve"> and the department now recognises Germany as </w:t>
      </w:r>
      <w:r w:rsidRPr="00C646EE">
        <w:lastRenderedPageBreak/>
        <w:t>glanders free. There have been no other reports of glanders in any other approved countries (</w:t>
      </w:r>
      <w:r w:rsidR="003C6D77">
        <w:t>WOAH</w:t>
      </w:r>
      <w:r w:rsidR="00C24281" w:rsidRPr="00C646EE">
        <w:t xml:space="preserve"> WAHIS report</w:t>
      </w:r>
      <w:r w:rsidRPr="00C646EE">
        <w:t xml:space="preserve">, 2020). </w:t>
      </w:r>
    </w:p>
    <w:p w14:paraId="616FA4A8" w14:textId="306E1CFE" w:rsidR="000D738A" w:rsidRPr="00C646EE" w:rsidRDefault="000D738A" w:rsidP="000D738A">
      <w:r w:rsidRPr="00C646EE">
        <w:t xml:space="preserve">The department has been asked by industry about the glanders health status of Mauritius, the </w:t>
      </w:r>
      <w:bookmarkStart w:id="2" w:name="_Hlk88484557"/>
      <w:r w:rsidRPr="00C646EE">
        <w:t xml:space="preserve">Republic of South </w:t>
      </w:r>
      <w:proofErr w:type="gramStart"/>
      <w:r w:rsidRPr="00C646EE">
        <w:t>Africa</w:t>
      </w:r>
      <w:proofErr w:type="gramEnd"/>
      <w:r w:rsidRPr="00C646EE">
        <w:t xml:space="preserve"> </w:t>
      </w:r>
      <w:bookmarkEnd w:id="2"/>
      <w:r w:rsidRPr="00C646EE">
        <w:t xml:space="preserve">and South American countries. These countries have not been assessed </w:t>
      </w:r>
      <w:r w:rsidR="0082446B">
        <w:t xml:space="preserve">for glanders status </w:t>
      </w:r>
      <w:r w:rsidRPr="00C646EE">
        <w:t xml:space="preserve">by the department. </w:t>
      </w:r>
      <w:r w:rsidR="00C75E40">
        <w:t xml:space="preserve">As a result, horses from these regions must undertake </w:t>
      </w:r>
      <w:r w:rsidR="0001035B">
        <w:t xml:space="preserve">180 days </w:t>
      </w:r>
      <w:r w:rsidR="00C75E40">
        <w:t>residency in a</w:t>
      </w:r>
      <w:r w:rsidR="00173962">
        <w:t xml:space="preserve"> country considered</w:t>
      </w:r>
      <w:r w:rsidR="00C75E40">
        <w:t xml:space="preserve"> glanders free </w:t>
      </w:r>
      <w:r w:rsidR="00173962">
        <w:t>by the department</w:t>
      </w:r>
      <w:r w:rsidR="00C75E40">
        <w:t>. Due to a lack of transport routes</w:t>
      </w:r>
      <w:r w:rsidR="009449D2">
        <w:t xml:space="preserve"> and current import requirements</w:t>
      </w:r>
      <w:r w:rsidR="00C75E40">
        <w:t xml:space="preserve">, it would not currently be possible to export horses directly from any of these regions to Australia. </w:t>
      </w:r>
    </w:p>
    <w:p w14:paraId="130CA690" w14:textId="77777777" w:rsidR="000D738A" w:rsidRPr="00C646EE" w:rsidRDefault="000D738A" w:rsidP="000D738A">
      <w:pPr>
        <w:rPr>
          <w:i/>
          <w:iCs/>
        </w:rPr>
      </w:pPr>
      <w:r w:rsidRPr="00C646EE">
        <w:rPr>
          <w:i/>
          <w:iCs/>
        </w:rPr>
        <w:t>Mauritius</w:t>
      </w:r>
    </w:p>
    <w:p w14:paraId="675E9A82" w14:textId="0592D97E" w:rsidR="000D738A" w:rsidRPr="00C646EE" w:rsidRDefault="000D738A" w:rsidP="000D738A">
      <w:r w:rsidRPr="00C646EE">
        <w:t xml:space="preserve">There is insufficient evidence to indicate that Mauritius is free from glanders. Although the country has never reported a case of glanders to the </w:t>
      </w:r>
      <w:r w:rsidR="003C6D77">
        <w:t>WOAH</w:t>
      </w:r>
      <w:r w:rsidRPr="00C646EE">
        <w:t>, there is a lack of published information about</w:t>
      </w:r>
      <w:r w:rsidR="00B610B0">
        <w:t xml:space="preserve"> </w:t>
      </w:r>
      <w:r w:rsidR="00896A8A">
        <w:t>horse</w:t>
      </w:r>
      <w:r w:rsidRPr="00C646EE">
        <w:t xml:space="preserve"> diseases in Mauritius. An audit of </w:t>
      </w:r>
      <w:r w:rsidR="00896A8A">
        <w:t>horse</w:t>
      </w:r>
      <w:r w:rsidRPr="00C646EE">
        <w:t xml:space="preserve"> health systems in Mauritius was conducted by the </w:t>
      </w:r>
      <w:bookmarkStart w:id="3" w:name="_Hlk88484790"/>
      <w:r w:rsidRPr="00C646EE">
        <w:t>European Union</w:t>
      </w:r>
      <w:bookmarkEnd w:id="3"/>
      <w:r w:rsidRPr="00C646EE">
        <w:t xml:space="preserve"> in 2008 and identified ‘…</w:t>
      </w:r>
      <w:r w:rsidR="00C70639">
        <w:t xml:space="preserve"> </w:t>
      </w:r>
      <w:r w:rsidRPr="00C646EE">
        <w:t xml:space="preserve">operational and technical shortcomings, related to the export procedure of </w:t>
      </w:r>
      <w:r w:rsidR="00896A8A">
        <w:t>horse</w:t>
      </w:r>
      <w:r w:rsidR="00972EDE">
        <w:t>s</w:t>
      </w:r>
      <w:r w:rsidRPr="00C646EE">
        <w:t xml:space="preserve"> to the </w:t>
      </w:r>
      <w:r w:rsidR="00830F07" w:rsidRPr="00C646EE">
        <w:t>European Union</w:t>
      </w:r>
      <w:r w:rsidRPr="00C646EE">
        <w:t>, and systemic deficiencies related to the animal health controls and rules for import into the country</w:t>
      </w:r>
      <w:r w:rsidR="00C70639">
        <w:t xml:space="preserve"> </w:t>
      </w:r>
      <w:r w:rsidRPr="00C646EE">
        <w:t>…’ (</w:t>
      </w:r>
      <w:r w:rsidR="007E772A" w:rsidRPr="00C646EE">
        <w:t>E</w:t>
      </w:r>
      <w:r w:rsidR="007E772A">
        <w:t xml:space="preserve">uropean Commission audit report of animal health in </w:t>
      </w:r>
      <w:r w:rsidR="00C75E40">
        <w:t>Mauritius</w:t>
      </w:r>
      <w:r w:rsidRPr="00C646EE">
        <w:t>, 2009). Major export markets, such as the E</w:t>
      </w:r>
      <w:r w:rsidR="00980A07">
        <w:t xml:space="preserve">uropean </w:t>
      </w:r>
      <w:r w:rsidRPr="00C646EE">
        <w:t>U</w:t>
      </w:r>
      <w:r w:rsidR="00980A07">
        <w:t>nion</w:t>
      </w:r>
      <w:r w:rsidRPr="00C646EE">
        <w:t xml:space="preserve"> and </w:t>
      </w:r>
      <w:r w:rsidR="00980A07">
        <w:t xml:space="preserve">the </w:t>
      </w:r>
      <w:r w:rsidRPr="00C646EE">
        <w:t>U</w:t>
      </w:r>
      <w:r w:rsidR="00980A07">
        <w:t xml:space="preserve">nited </w:t>
      </w:r>
      <w:r w:rsidRPr="00C646EE">
        <w:t>S</w:t>
      </w:r>
      <w:r w:rsidR="00980A07">
        <w:t>tates</w:t>
      </w:r>
      <w:r w:rsidRPr="00C646EE">
        <w:t xml:space="preserve">, do not recognise Mauritius as glanders free and require imported horses to undergo testing. </w:t>
      </w:r>
      <w:r w:rsidR="00100F99" w:rsidRPr="00100F99">
        <w:t xml:space="preserve">Australia has not assessed any </w:t>
      </w:r>
      <w:r w:rsidR="009F097F">
        <w:t>African</w:t>
      </w:r>
      <w:r w:rsidR="00100F99" w:rsidRPr="00100F99">
        <w:t xml:space="preserve"> countries for exporting horses or their reproductive material</w:t>
      </w:r>
      <w:r w:rsidR="00100F99">
        <w:t>.</w:t>
      </w:r>
    </w:p>
    <w:p w14:paraId="335A4FE9" w14:textId="7248ACBC" w:rsidR="000D738A" w:rsidRPr="00C646EE" w:rsidRDefault="000D738A" w:rsidP="000D738A">
      <w:pPr>
        <w:rPr>
          <w:i/>
          <w:iCs/>
        </w:rPr>
      </w:pPr>
      <w:r w:rsidRPr="00C646EE">
        <w:rPr>
          <w:i/>
          <w:iCs/>
        </w:rPr>
        <w:t>R</w:t>
      </w:r>
      <w:r w:rsidR="00980A07">
        <w:rPr>
          <w:i/>
          <w:iCs/>
        </w:rPr>
        <w:t xml:space="preserve">epublic of </w:t>
      </w:r>
      <w:r w:rsidRPr="00C646EE">
        <w:rPr>
          <w:i/>
          <w:iCs/>
        </w:rPr>
        <w:t>S</w:t>
      </w:r>
      <w:r w:rsidR="00980A07">
        <w:rPr>
          <w:i/>
          <w:iCs/>
        </w:rPr>
        <w:t xml:space="preserve">outh </w:t>
      </w:r>
      <w:r w:rsidRPr="00C646EE">
        <w:rPr>
          <w:i/>
          <w:iCs/>
        </w:rPr>
        <w:t>A</w:t>
      </w:r>
      <w:r w:rsidR="00980A07">
        <w:rPr>
          <w:i/>
          <w:iCs/>
        </w:rPr>
        <w:t>frica</w:t>
      </w:r>
    </w:p>
    <w:p w14:paraId="2AB85997" w14:textId="475E245E" w:rsidR="000D738A" w:rsidRPr="00C646EE" w:rsidRDefault="000D738A" w:rsidP="000D738A">
      <w:r w:rsidRPr="00C646EE">
        <w:t xml:space="preserve">The last reported case of glanders in the </w:t>
      </w:r>
      <w:r w:rsidR="00980A07" w:rsidRPr="00C646EE">
        <w:t>Republic of South Africa</w:t>
      </w:r>
      <w:r w:rsidRPr="00C646EE">
        <w:t xml:space="preserve"> was in 1945, but glanders remains endemic in </w:t>
      </w:r>
      <w:r w:rsidR="00C75E40">
        <w:t>northern</w:t>
      </w:r>
      <w:r w:rsidRPr="00C646EE">
        <w:t xml:space="preserve"> Africa (</w:t>
      </w:r>
      <w:r w:rsidR="003C6D77">
        <w:t>WOAH</w:t>
      </w:r>
      <w:r w:rsidR="00C24281" w:rsidRPr="00C646EE">
        <w:t xml:space="preserve"> WAHIS report</w:t>
      </w:r>
      <w:r w:rsidRPr="00C646EE">
        <w:t xml:space="preserve">, 2020). A </w:t>
      </w:r>
      <w:r w:rsidR="00830F07" w:rsidRPr="00C646EE">
        <w:t>European Union</w:t>
      </w:r>
      <w:r w:rsidRPr="00C646EE">
        <w:t xml:space="preserve"> audit conducted in 2013 identified </w:t>
      </w:r>
      <w:proofErr w:type="gramStart"/>
      <w:r w:rsidRPr="00C646EE">
        <w:t>a number of</w:t>
      </w:r>
      <w:proofErr w:type="gramEnd"/>
      <w:r w:rsidRPr="00C646EE">
        <w:t xml:space="preserve"> shortcomings in the </w:t>
      </w:r>
      <w:r w:rsidR="00980A07" w:rsidRPr="00C646EE">
        <w:t>Republic of South Africa</w:t>
      </w:r>
      <w:r w:rsidRPr="00C646EE">
        <w:t xml:space="preserve">’s management and surveillance for </w:t>
      </w:r>
      <w:r w:rsidR="00896A8A">
        <w:t>horse</w:t>
      </w:r>
      <w:r w:rsidRPr="00C646EE">
        <w:t xml:space="preserve"> diseases. It stated that ‘…</w:t>
      </w:r>
      <w:r w:rsidR="00C70639">
        <w:t xml:space="preserve"> </w:t>
      </w:r>
      <w:r w:rsidRPr="00C646EE">
        <w:t xml:space="preserve">surveillance of African horse sickness and other </w:t>
      </w:r>
      <w:r w:rsidR="00896A8A">
        <w:t>horse</w:t>
      </w:r>
      <w:r w:rsidRPr="00C646EE">
        <w:t xml:space="preserve"> diseases is [further] affected by the unclear organisation of the laboratory network and significant shortcomings observed in the national laboratory</w:t>
      </w:r>
      <w:r w:rsidR="00C70639">
        <w:t xml:space="preserve"> </w:t>
      </w:r>
      <w:r w:rsidRPr="00C646EE">
        <w:t>…’ and weak disease surveillance (E</w:t>
      </w:r>
      <w:r w:rsidR="007E772A">
        <w:t>uropean Commission</w:t>
      </w:r>
      <w:r w:rsidRPr="00C646EE">
        <w:t xml:space="preserve"> </w:t>
      </w:r>
      <w:r w:rsidR="007E772A">
        <w:t xml:space="preserve">audit report of animal health in </w:t>
      </w:r>
      <w:r w:rsidR="00C75E40">
        <w:t>the Republic of South Africa</w:t>
      </w:r>
      <w:r w:rsidR="00C70639">
        <w:t>,</w:t>
      </w:r>
      <w:r w:rsidR="00C75E40" w:rsidRPr="00C646EE">
        <w:t xml:space="preserve"> </w:t>
      </w:r>
      <w:r w:rsidRPr="00C646EE">
        <w:t xml:space="preserve">2013). African horse </w:t>
      </w:r>
      <w:r w:rsidR="00972EDE" w:rsidRPr="00C646EE">
        <w:t>sickness,</w:t>
      </w:r>
      <w:r w:rsidRPr="00C646EE">
        <w:t xml:space="preserve"> another disease of significant biosecurity concern to Australia, is present in the </w:t>
      </w:r>
      <w:r w:rsidR="00980A07" w:rsidRPr="00C646EE">
        <w:t>Republic of South Africa</w:t>
      </w:r>
      <w:r w:rsidRPr="00C646EE">
        <w:t xml:space="preserve"> and limits the market access for horses from </w:t>
      </w:r>
      <w:r w:rsidR="00716EB5">
        <w:t xml:space="preserve">the </w:t>
      </w:r>
      <w:r w:rsidR="00980A07" w:rsidRPr="00C646EE">
        <w:t>Republic of South Africa</w:t>
      </w:r>
      <w:r w:rsidRPr="00C646EE">
        <w:t>. The U</w:t>
      </w:r>
      <w:r w:rsidR="00673EC8">
        <w:t xml:space="preserve">nited </w:t>
      </w:r>
      <w:r w:rsidRPr="00C646EE">
        <w:t>S</w:t>
      </w:r>
      <w:r w:rsidR="00673EC8">
        <w:t>tates</w:t>
      </w:r>
      <w:r w:rsidRPr="00C646EE">
        <w:t xml:space="preserve"> requires additional quarantine time and testing procedures for A</w:t>
      </w:r>
      <w:r w:rsidR="00D0233C">
        <w:t>frican horse sickness</w:t>
      </w:r>
      <w:r w:rsidRPr="00C646EE">
        <w:t xml:space="preserve"> and glanders for horses being imported from the </w:t>
      </w:r>
      <w:r w:rsidR="00980A07" w:rsidRPr="00C646EE">
        <w:t>Republic of South Africa</w:t>
      </w:r>
      <w:r w:rsidRPr="00C646EE">
        <w:t>.</w:t>
      </w:r>
      <w:r w:rsidR="00100F99">
        <w:t xml:space="preserve"> </w:t>
      </w:r>
      <w:r w:rsidR="00100F99" w:rsidRPr="00100F99">
        <w:t xml:space="preserve">Australia has not assessed any </w:t>
      </w:r>
      <w:r w:rsidR="009F097F">
        <w:t>African</w:t>
      </w:r>
      <w:r w:rsidR="00100F99" w:rsidRPr="00100F99">
        <w:t xml:space="preserve"> countries for exporting horses or their reproductive material</w:t>
      </w:r>
      <w:r w:rsidR="00100F99">
        <w:t>.</w:t>
      </w:r>
    </w:p>
    <w:p w14:paraId="7D51B551" w14:textId="77777777" w:rsidR="000D738A" w:rsidRPr="00C646EE" w:rsidRDefault="000D738A" w:rsidP="000D738A">
      <w:pPr>
        <w:rPr>
          <w:i/>
          <w:iCs/>
        </w:rPr>
      </w:pPr>
      <w:r w:rsidRPr="00C646EE">
        <w:rPr>
          <w:i/>
          <w:iCs/>
        </w:rPr>
        <w:t>South America</w:t>
      </w:r>
    </w:p>
    <w:p w14:paraId="20D3FD12" w14:textId="4876E532" w:rsidR="000D738A" w:rsidRPr="00C646EE" w:rsidRDefault="000D738A" w:rsidP="000D738A">
      <w:r w:rsidRPr="00C646EE">
        <w:t xml:space="preserve">Glanders is endemic in many countries in South America (Kettle &amp; </w:t>
      </w:r>
      <w:proofErr w:type="spellStart"/>
      <w:r w:rsidRPr="00C646EE">
        <w:t>Wernery</w:t>
      </w:r>
      <w:proofErr w:type="spellEnd"/>
      <w:r w:rsidRPr="00C646EE">
        <w:t xml:space="preserve">, 2016). In addition, not all South American countries routinely report to the </w:t>
      </w:r>
      <w:r w:rsidR="003C6D77">
        <w:t>WOAH</w:t>
      </w:r>
      <w:r w:rsidRPr="00C646EE">
        <w:t xml:space="preserve">. Bolivia reported 23 cases of glanders in horses to the </w:t>
      </w:r>
      <w:r w:rsidR="003C6D77">
        <w:t>WOAH</w:t>
      </w:r>
      <w:r w:rsidRPr="00C646EE">
        <w:t xml:space="preserve"> in 2001. Brazil reported more than 20 new cases of glanders to the </w:t>
      </w:r>
      <w:r w:rsidR="003C6D77">
        <w:t>WOAH</w:t>
      </w:r>
      <w:r w:rsidRPr="00C646EE">
        <w:t xml:space="preserve"> in 2019 (</w:t>
      </w:r>
      <w:r w:rsidR="003C6D77">
        <w:t>WOAH</w:t>
      </w:r>
      <w:r w:rsidR="00C24281" w:rsidRPr="00C646EE">
        <w:t xml:space="preserve"> WAHIS report</w:t>
      </w:r>
      <w:r w:rsidRPr="00C646EE">
        <w:t xml:space="preserve">, 2021). </w:t>
      </w:r>
      <w:proofErr w:type="spellStart"/>
      <w:r w:rsidRPr="00C646EE">
        <w:t>Rolim</w:t>
      </w:r>
      <w:proofErr w:type="spellEnd"/>
      <w:r w:rsidRPr="00C646EE">
        <w:t xml:space="preserve"> et al (2018) identified that the environmental conditions in South America were appropriate to support </w:t>
      </w:r>
      <w:r w:rsidRPr="00C646EE">
        <w:rPr>
          <w:i/>
        </w:rPr>
        <w:t xml:space="preserve">B. </w:t>
      </w:r>
      <w:proofErr w:type="spellStart"/>
      <w:r w:rsidRPr="00C646EE">
        <w:rPr>
          <w:i/>
        </w:rPr>
        <w:t>pseudomallei</w:t>
      </w:r>
      <w:proofErr w:type="spellEnd"/>
      <w:r w:rsidRPr="00C646EE">
        <w:t xml:space="preserve"> survival. These conditions may also be conducive to supporting the survival of </w:t>
      </w:r>
      <w:r w:rsidRPr="00C646EE">
        <w:rPr>
          <w:i/>
        </w:rPr>
        <w:t xml:space="preserve">B. mallei </w:t>
      </w:r>
      <w:r w:rsidRPr="00C646EE">
        <w:t xml:space="preserve">in the </w:t>
      </w:r>
      <w:proofErr w:type="gramStart"/>
      <w:r w:rsidRPr="00C646EE">
        <w:t>environment;</w:t>
      </w:r>
      <w:proofErr w:type="gramEnd"/>
      <w:r w:rsidRPr="00C646EE">
        <w:t xml:space="preserve"> although </w:t>
      </w:r>
      <w:r w:rsidRPr="00C646EE">
        <w:rPr>
          <w:i/>
        </w:rPr>
        <w:t xml:space="preserve">B. mallei </w:t>
      </w:r>
      <w:r w:rsidRPr="00C646EE">
        <w:t xml:space="preserve">is not as resistant to environmental conditions as </w:t>
      </w:r>
      <w:r w:rsidRPr="00C646EE">
        <w:rPr>
          <w:i/>
        </w:rPr>
        <w:t xml:space="preserve">B. </w:t>
      </w:r>
      <w:proofErr w:type="spellStart"/>
      <w:r w:rsidRPr="00C646EE">
        <w:rPr>
          <w:i/>
        </w:rPr>
        <w:t>pseudomallei</w:t>
      </w:r>
      <w:proofErr w:type="spellEnd"/>
      <w:r w:rsidRPr="00C646EE">
        <w:t xml:space="preserve">. The </w:t>
      </w:r>
      <w:r w:rsidR="00830F07" w:rsidRPr="00C646EE">
        <w:t>European Union</w:t>
      </w:r>
      <w:r w:rsidRPr="00C646EE">
        <w:t xml:space="preserve"> and U</w:t>
      </w:r>
      <w:r w:rsidR="00FC5DC7">
        <w:t xml:space="preserve">nited </w:t>
      </w:r>
      <w:r w:rsidR="00C75E40" w:rsidRPr="00C646EE">
        <w:t>S</w:t>
      </w:r>
      <w:r w:rsidR="00C75E40">
        <w:t>tates</w:t>
      </w:r>
      <w:r w:rsidR="008C62DD">
        <w:t xml:space="preserve"> </w:t>
      </w:r>
      <w:r w:rsidR="00C75E40" w:rsidRPr="00C646EE">
        <w:t>accept</w:t>
      </w:r>
      <w:r w:rsidRPr="00C646EE">
        <w:t xml:space="preserve"> horses from certain areas of South </w:t>
      </w:r>
      <w:r w:rsidRPr="00C646EE">
        <w:lastRenderedPageBreak/>
        <w:t xml:space="preserve">America but do not recognise these areas as glanders free and require imported horses to undergo testing for glanders. Australia has not assessed any South American countries for </w:t>
      </w:r>
      <w:r w:rsidR="007F1A56">
        <w:t xml:space="preserve">exporting </w:t>
      </w:r>
      <w:r w:rsidRPr="00C646EE">
        <w:t xml:space="preserve">horses or their reproductive material. </w:t>
      </w:r>
    </w:p>
    <w:p w14:paraId="78976400" w14:textId="77777777" w:rsidR="004A0FA3" w:rsidRPr="00C646EE" w:rsidRDefault="006868A7">
      <w:pPr>
        <w:pStyle w:val="Heading5"/>
      </w:pPr>
      <w:r w:rsidRPr="00C646EE">
        <w:t>Epidemiology</w:t>
      </w:r>
    </w:p>
    <w:p w14:paraId="4C08BB61" w14:textId="35E66675" w:rsidR="00761A64" w:rsidRPr="00C646EE" w:rsidRDefault="00761A64" w:rsidP="00761A64">
      <w:r w:rsidRPr="00C646EE">
        <w:rPr>
          <w:i/>
        </w:rPr>
        <w:t xml:space="preserve">B. mallei </w:t>
      </w:r>
      <w:r w:rsidRPr="00C646EE">
        <w:t xml:space="preserve">is readily transmitted by respiratory secretions, and skin exudates that can contain large numbers of infective bacteria (CFSPH, 2019). Transmission commonly occurs via direct ingestion, inhalation or skin contamination of abraded skin or mucus membranes (Dvorak &amp; </w:t>
      </w:r>
      <w:proofErr w:type="spellStart"/>
      <w:r w:rsidRPr="00C646EE">
        <w:t>Spickler</w:t>
      </w:r>
      <w:proofErr w:type="spellEnd"/>
      <w:r w:rsidRPr="00C646EE">
        <w:t xml:space="preserve">, 2008). Indirect transmission can occur by fomites such as contaminated food, water, general husbandry equipment, breeding equipment or people (Dvorak &amp; </w:t>
      </w:r>
      <w:proofErr w:type="spellStart"/>
      <w:r w:rsidRPr="00C646EE">
        <w:t>Spickler</w:t>
      </w:r>
      <w:proofErr w:type="spellEnd"/>
      <w:r w:rsidRPr="00C646EE">
        <w:t xml:space="preserve">, 2008). Vertical and venereal transmission have been suggested but not demonstrated (Khan et al, 2012; Gregory &amp; </w:t>
      </w:r>
      <w:proofErr w:type="spellStart"/>
      <w:r w:rsidRPr="00C646EE">
        <w:t>Waag</w:t>
      </w:r>
      <w:proofErr w:type="spellEnd"/>
      <w:r w:rsidRPr="00C646EE">
        <w:t xml:space="preserve">, 2007). Other potential transmission pathways have not been ruled out. </w:t>
      </w:r>
      <w:proofErr w:type="gramStart"/>
      <w:r w:rsidRPr="00C646EE">
        <w:t>Al-Ani</w:t>
      </w:r>
      <w:proofErr w:type="gramEnd"/>
      <w:r w:rsidRPr="00C646EE">
        <w:t xml:space="preserve"> et al, (1998) reported severe orchitis in two stallions infected with glanders but did not determine if </w:t>
      </w:r>
      <w:r w:rsidRPr="00C646EE">
        <w:rPr>
          <w:i/>
        </w:rPr>
        <w:t>B. mallei</w:t>
      </w:r>
      <w:r w:rsidRPr="00C646EE">
        <w:t xml:space="preserve"> was present in the semen of the affected horses. Such localised inflammation may be an extension of the cutaneous form of glanders, contracted via direct contact with contaminated bedding (</w:t>
      </w:r>
      <w:proofErr w:type="gramStart"/>
      <w:r w:rsidRPr="00C646EE">
        <w:t>Al-Ani</w:t>
      </w:r>
      <w:proofErr w:type="gramEnd"/>
      <w:r w:rsidRPr="00C646EE">
        <w:t xml:space="preserve"> et al, 1998). </w:t>
      </w:r>
    </w:p>
    <w:p w14:paraId="06095AC6" w14:textId="63EC871E" w:rsidR="00761A64" w:rsidRPr="00C646EE" w:rsidRDefault="00761A64" w:rsidP="00761A64">
      <w:r w:rsidRPr="00C646EE">
        <w:t xml:space="preserve">Chronically or latently infected animals with minimal signs of disease may serve as a pathogen reservoir and are often responsible for the maintenance and spread of disease (Dvorak and </w:t>
      </w:r>
      <w:proofErr w:type="spellStart"/>
      <w:r w:rsidRPr="00C646EE">
        <w:t>Spickler</w:t>
      </w:r>
      <w:proofErr w:type="spellEnd"/>
      <w:r w:rsidRPr="00C646EE">
        <w:t xml:space="preserve"> 2008). Chronic and </w:t>
      </w:r>
      <w:proofErr w:type="spellStart"/>
      <w:r w:rsidRPr="00C646EE">
        <w:t>subclinically</w:t>
      </w:r>
      <w:proofErr w:type="spellEnd"/>
      <w:r w:rsidRPr="00C646EE">
        <w:t xml:space="preserve"> infected cases can shed bacteria continuously or intermittently (</w:t>
      </w:r>
      <w:r w:rsidR="003C6D77">
        <w:t>WOAH</w:t>
      </w:r>
      <w:r w:rsidRPr="00C646EE">
        <w:t xml:space="preserve">, 2009). </w:t>
      </w:r>
    </w:p>
    <w:p w14:paraId="2FEC0BF0" w14:textId="77777777" w:rsidR="00761A64" w:rsidRPr="00C646EE" w:rsidRDefault="00761A64" w:rsidP="00761A64">
      <w:r w:rsidRPr="00C646EE">
        <w:rPr>
          <w:color w:val="1C1D1E"/>
        </w:rPr>
        <w:t xml:space="preserve">Infection is not influenced by age, </w:t>
      </w:r>
      <w:proofErr w:type="gramStart"/>
      <w:r w:rsidRPr="00C646EE">
        <w:rPr>
          <w:color w:val="1C1D1E"/>
        </w:rPr>
        <w:t>breed</w:t>
      </w:r>
      <w:proofErr w:type="gramEnd"/>
      <w:r w:rsidRPr="00C646EE">
        <w:rPr>
          <w:color w:val="1C1D1E"/>
        </w:rPr>
        <w:t xml:space="preserve"> and sex (Khan et al, 2012). Overcrowding, close contact with infected animals and poor hygiene practices are believed to increase the likelihood of transmission (Khan et al, 2012). </w:t>
      </w:r>
      <w:r w:rsidRPr="00C646EE">
        <w:t xml:space="preserve"> </w:t>
      </w:r>
    </w:p>
    <w:p w14:paraId="0D92BDE6" w14:textId="06EFE725" w:rsidR="00761A64" w:rsidRPr="00C646EE" w:rsidRDefault="00761A64" w:rsidP="00761A64">
      <w:r w:rsidRPr="00C646EE">
        <w:t xml:space="preserve">Big cats and other carnivores have acquired </w:t>
      </w:r>
      <w:r w:rsidRPr="00C646EE">
        <w:rPr>
          <w:i/>
        </w:rPr>
        <w:t>B. mallei</w:t>
      </w:r>
      <w:r w:rsidRPr="00C646EE">
        <w:t xml:space="preserve"> infection from eating infected horse meat (Dvorak and </w:t>
      </w:r>
      <w:proofErr w:type="spellStart"/>
      <w:r w:rsidRPr="00C646EE">
        <w:t>Spickler</w:t>
      </w:r>
      <w:proofErr w:type="spellEnd"/>
      <w:r w:rsidRPr="00C646EE">
        <w:t xml:space="preserve">, 2008; Khaki et al, 2012). Khaki et al </w:t>
      </w:r>
      <w:r w:rsidR="007F1A56">
        <w:t>(</w:t>
      </w:r>
      <w:r w:rsidRPr="00C646EE">
        <w:t>2012</w:t>
      </w:r>
      <w:r w:rsidR="007F1A56">
        <w:t>)</w:t>
      </w:r>
      <w:r w:rsidRPr="00C646EE">
        <w:t xml:space="preserve"> reported a case of lions and a tiger contracting glanders at Tehran Zoo, Iran after eating contaminated horse meat. A similar case was also reported in Turkey (Khaki et al, 2012). Small ruminants such as goats and sheep may be infected if in direct contact with infected horses (Dvorak and </w:t>
      </w:r>
      <w:proofErr w:type="spellStart"/>
      <w:r w:rsidRPr="00C646EE">
        <w:t>Spickler</w:t>
      </w:r>
      <w:proofErr w:type="spellEnd"/>
      <w:r w:rsidRPr="00C646EE">
        <w:t xml:space="preserve">, 2008; Malik et al, 2012). </w:t>
      </w:r>
    </w:p>
    <w:p w14:paraId="518BCD83" w14:textId="126C189A" w:rsidR="00761A64" w:rsidRPr="00C646EE" w:rsidRDefault="00761A64" w:rsidP="00761A64">
      <w:pPr>
        <w:rPr>
          <w:color w:val="000000"/>
        </w:rPr>
      </w:pPr>
      <w:r w:rsidRPr="00C646EE">
        <w:t xml:space="preserve">Glanders infections in humans are rare (Ulrich et al, 2005). In humans, glanders is an occupational disease that affects individuals in close contact with infected animals such as farmers, trainers, </w:t>
      </w:r>
      <w:proofErr w:type="gramStart"/>
      <w:r w:rsidRPr="00C646EE">
        <w:t>veterinarians</w:t>
      </w:r>
      <w:proofErr w:type="gramEnd"/>
      <w:r w:rsidRPr="00C646EE">
        <w:t xml:space="preserve"> and laboratory personnel (Saqib et al, 2012). The only reported human case of glanders since 1949 occurred in 2000 when a laboratory worker in the United States</w:t>
      </w:r>
      <w:r w:rsidR="008C62DD">
        <w:t xml:space="preserve"> </w:t>
      </w:r>
      <w:r w:rsidRPr="00C646EE">
        <w:t xml:space="preserve">did not wear appropriate personal protective equipment to handle a glanderous sample (Srinivasan et al, 2001). The individual recovered after long term antibiotic treatment (Srinivasan et al, 2001). </w:t>
      </w:r>
      <w:r w:rsidRPr="00C646EE">
        <w:rPr>
          <w:color w:val="000000"/>
        </w:rPr>
        <w:t>Human glanders has a 95% case fatality rate in untreated infections and a 50% case fatality rate in aggressively treated individuals (Saqib et al, 2012). Person</w:t>
      </w:r>
      <w:r w:rsidR="00820F19">
        <w:rPr>
          <w:color w:val="000000"/>
        </w:rPr>
        <w:t>-</w:t>
      </w:r>
      <w:r w:rsidRPr="00C646EE">
        <w:rPr>
          <w:color w:val="000000"/>
        </w:rPr>
        <w:t>to</w:t>
      </w:r>
      <w:r w:rsidR="00820F19">
        <w:rPr>
          <w:color w:val="000000"/>
        </w:rPr>
        <w:t>-</w:t>
      </w:r>
      <w:r w:rsidRPr="00C646EE">
        <w:rPr>
          <w:color w:val="000000"/>
        </w:rPr>
        <w:t xml:space="preserve">person transmission of glanders is also a rare event that has been primarily associated with direct contact with exudates from skin lesions, respiratory </w:t>
      </w:r>
      <w:proofErr w:type="gramStart"/>
      <w:r w:rsidRPr="00C646EE">
        <w:rPr>
          <w:color w:val="000000"/>
        </w:rPr>
        <w:t>secretions</w:t>
      </w:r>
      <w:proofErr w:type="gramEnd"/>
      <w:r w:rsidRPr="00C646EE">
        <w:rPr>
          <w:color w:val="000000"/>
        </w:rPr>
        <w:t xml:space="preserve"> or sputum of an infected individual (Verma et al, 2014). </w:t>
      </w:r>
    </w:p>
    <w:p w14:paraId="1C6AD083" w14:textId="2C55BBED" w:rsidR="004A0FA3" w:rsidRPr="00C646EE" w:rsidRDefault="000D738A">
      <w:pPr>
        <w:pStyle w:val="Heading5"/>
      </w:pPr>
      <w:r w:rsidRPr="00C646EE">
        <w:t>Pathogenesis</w:t>
      </w:r>
    </w:p>
    <w:p w14:paraId="7A282FF1" w14:textId="77777777" w:rsidR="00761A64" w:rsidRPr="00C646EE" w:rsidRDefault="00761A64" w:rsidP="00761A64">
      <w:r w:rsidRPr="00C646EE">
        <w:t xml:space="preserve">Mucus membranes of the eye, skin, respiratory and gastrointestinal tract are the preferred tissues for </w:t>
      </w:r>
      <w:r w:rsidRPr="00C646EE">
        <w:rPr>
          <w:i/>
        </w:rPr>
        <w:t>B</w:t>
      </w:r>
      <w:r w:rsidRPr="00C646EE">
        <w:rPr>
          <w:i/>
          <w:iCs/>
        </w:rPr>
        <w:t>. mallei</w:t>
      </w:r>
      <w:r w:rsidRPr="00C646EE">
        <w:t xml:space="preserve"> to enter a host (Verma et al, 2014). </w:t>
      </w:r>
      <w:r w:rsidRPr="00C646EE">
        <w:rPr>
          <w:i/>
        </w:rPr>
        <w:t xml:space="preserve">B. mallei </w:t>
      </w:r>
      <w:r w:rsidRPr="00C646EE">
        <w:t xml:space="preserve">uses the host’s lymphatic system and bloodstream to migrate to predilection sites such as the lungs (Verma et al, 2014). </w:t>
      </w:r>
    </w:p>
    <w:p w14:paraId="72C41733" w14:textId="29B982C0" w:rsidR="00761A64" w:rsidRPr="00C646EE" w:rsidRDefault="00761A64" w:rsidP="00761A64">
      <w:r w:rsidRPr="00C646EE">
        <w:rPr>
          <w:i/>
        </w:rPr>
        <w:lastRenderedPageBreak/>
        <w:t>B. mallei,</w:t>
      </w:r>
      <w:r w:rsidRPr="00C646EE">
        <w:rPr>
          <w:iCs/>
        </w:rPr>
        <w:t xml:space="preserve"> as a facultative intracellular pathogen, enters and replicates in epithelial and phagocytic cells. This is </w:t>
      </w:r>
      <w:r w:rsidRPr="00C646EE">
        <w:t xml:space="preserve">critical </w:t>
      </w:r>
      <w:r w:rsidR="00BC4045">
        <w:t>to</w:t>
      </w:r>
      <w:r w:rsidRPr="00C646EE">
        <w:t xml:space="preserve"> its success as a pathogen. Once inside the host cell, </w:t>
      </w:r>
      <w:r w:rsidRPr="00C646EE">
        <w:rPr>
          <w:i/>
        </w:rPr>
        <w:t>B. mallei</w:t>
      </w:r>
      <w:r w:rsidRPr="00C646EE">
        <w:t xml:space="preserve"> secretes proteins to disrupt the </w:t>
      </w:r>
      <w:proofErr w:type="spellStart"/>
      <w:r w:rsidRPr="00C646EE">
        <w:t>vacuolar</w:t>
      </w:r>
      <w:proofErr w:type="spellEnd"/>
      <w:r w:rsidRPr="00C646EE">
        <w:t xml:space="preserve"> membrane, escapes into the host cell cytosol and then move within the cell using actin-based motility (</w:t>
      </w:r>
      <w:proofErr w:type="spellStart"/>
      <w:r w:rsidRPr="00C646EE">
        <w:t>Gaylov</w:t>
      </w:r>
      <w:proofErr w:type="spellEnd"/>
      <w:r w:rsidRPr="00C646EE">
        <w:t xml:space="preserve"> et al, 2010). Once inside the cytosol, the bacteria </w:t>
      </w:r>
      <w:proofErr w:type="gramStart"/>
      <w:r w:rsidRPr="00C646EE">
        <w:t>moves</w:t>
      </w:r>
      <w:proofErr w:type="gramEnd"/>
      <w:r w:rsidRPr="00C646EE">
        <w:t xml:space="preserve"> into adjacent cells via membrane fusion creating multi-nucleated giant cells (</w:t>
      </w:r>
      <w:proofErr w:type="spellStart"/>
      <w:r w:rsidRPr="00C646EE">
        <w:t>Gaylov</w:t>
      </w:r>
      <w:proofErr w:type="spellEnd"/>
      <w:r w:rsidRPr="00C646EE">
        <w:t xml:space="preserve"> et al, 2010). This intracellular lifestyle and the formation of multinucleated giant cells help </w:t>
      </w:r>
      <w:r w:rsidRPr="00C646EE">
        <w:rPr>
          <w:i/>
        </w:rPr>
        <w:t xml:space="preserve">B. mallei </w:t>
      </w:r>
      <w:r w:rsidRPr="00C646EE">
        <w:t xml:space="preserve">avoid the host immune response. </w:t>
      </w:r>
    </w:p>
    <w:p w14:paraId="67BAFA08" w14:textId="2BD1BCB5" w:rsidR="00761A64" w:rsidRPr="00C646EE" w:rsidRDefault="00761A64" w:rsidP="00761A64">
      <w:pPr>
        <w:rPr>
          <w:i/>
        </w:rPr>
      </w:pPr>
      <w:r w:rsidRPr="00C646EE">
        <w:t xml:space="preserve">The pathogenesis and host immune response to </w:t>
      </w:r>
      <w:r w:rsidRPr="00C646EE">
        <w:rPr>
          <w:i/>
        </w:rPr>
        <w:t xml:space="preserve">B. </w:t>
      </w:r>
      <w:proofErr w:type="spellStart"/>
      <w:r w:rsidRPr="00C646EE">
        <w:rPr>
          <w:i/>
        </w:rPr>
        <w:t>pseudomallei</w:t>
      </w:r>
      <w:proofErr w:type="spellEnd"/>
      <w:r w:rsidRPr="00C646EE">
        <w:t xml:space="preserve"> is better understood than its response to </w:t>
      </w:r>
      <w:r w:rsidRPr="00C646EE">
        <w:rPr>
          <w:i/>
          <w:iCs/>
        </w:rPr>
        <w:t>B. mallei</w:t>
      </w:r>
      <w:r w:rsidRPr="00C646EE">
        <w:t xml:space="preserve">. An immune response is not always triggered by infection with </w:t>
      </w:r>
      <w:proofErr w:type="spellStart"/>
      <w:r w:rsidRPr="00C646EE">
        <w:rPr>
          <w:i/>
        </w:rPr>
        <w:t>Burkholderia</w:t>
      </w:r>
      <w:proofErr w:type="spellEnd"/>
      <w:r w:rsidRPr="00C646EE">
        <w:rPr>
          <w:iCs/>
        </w:rPr>
        <w:t xml:space="preserve"> spp.</w:t>
      </w:r>
      <w:r w:rsidRPr="00C646EE">
        <w:t xml:space="preserve"> Acute disease in response to </w:t>
      </w:r>
      <w:r w:rsidRPr="00C646EE">
        <w:rPr>
          <w:i/>
          <w:iCs/>
        </w:rPr>
        <w:t xml:space="preserve">B. </w:t>
      </w:r>
      <w:proofErr w:type="spellStart"/>
      <w:r w:rsidRPr="00C646EE">
        <w:rPr>
          <w:i/>
          <w:iCs/>
        </w:rPr>
        <w:t>pseudomallei</w:t>
      </w:r>
      <w:proofErr w:type="spellEnd"/>
      <w:r w:rsidRPr="00C646EE">
        <w:t xml:space="preserve"> has been proposed to be due to hyperinflammation following a breakdown in immune regulation (Gan, 2005). Chronic infections in response to </w:t>
      </w:r>
      <w:r w:rsidRPr="00C646EE">
        <w:rPr>
          <w:i/>
          <w:iCs/>
        </w:rPr>
        <w:t xml:space="preserve">B. </w:t>
      </w:r>
      <w:proofErr w:type="spellStart"/>
      <w:r w:rsidRPr="00C646EE">
        <w:rPr>
          <w:i/>
          <w:iCs/>
        </w:rPr>
        <w:t>pseudomallei</w:t>
      </w:r>
      <w:proofErr w:type="spellEnd"/>
      <w:r w:rsidRPr="00C646EE">
        <w:rPr>
          <w:i/>
          <w:iCs/>
        </w:rPr>
        <w:t xml:space="preserve"> </w:t>
      </w:r>
      <w:r w:rsidRPr="00C646EE">
        <w:t xml:space="preserve">are thought to occur when the extent of the infection is not identified by the host immune system, resulting in a progressive onset of clinical signs (Gan, 2005). Latent infection with </w:t>
      </w:r>
      <w:r w:rsidRPr="00C646EE">
        <w:rPr>
          <w:i/>
          <w:iCs/>
        </w:rPr>
        <w:t xml:space="preserve">B. </w:t>
      </w:r>
      <w:proofErr w:type="spellStart"/>
      <w:r w:rsidRPr="00C646EE">
        <w:rPr>
          <w:i/>
          <w:iCs/>
        </w:rPr>
        <w:t>pseudomallei</w:t>
      </w:r>
      <w:proofErr w:type="spellEnd"/>
      <w:r w:rsidRPr="00C646EE">
        <w:rPr>
          <w:i/>
          <w:iCs/>
        </w:rPr>
        <w:t xml:space="preserve"> </w:t>
      </w:r>
      <w:r w:rsidRPr="00C646EE">
        <w:t xml:space="preserve">may result from the organism not being recognised by the host immune system (Gan, 2005). The mechanisms by which </w:t>
      </w:r>
      <w:r w:rsidRPr="00C646EE">
        <w:rPr>
          <w:i/>
          <w:iCs/>
        </w:rPr>
        <w:t>B. mallei</w:t>
      </w:r>
      <w:r w:rsidRPr="00C646EE">
        <w:t xml:space="preserve"> causes dysregulation of the host immune system are not well defined and are thought to be </w:t>
      </w:r>
      <w:proofErr w:type="gramStart"/>
      <w:r w:rsidRPr="00C646EE">
        <w:t>similar to</w:t>
      </w:r>
      <w:proofErr w:type="gramEnd"/>
      <w:r w:rsidRPr="00C646EE">
        <w:t xml:space="preserve"> </w:t>
      </w:r>
      <w:r w:rsidRPr="00C646EE">
        <w:rPr>
          <w:i/>
        </w:rPr>
        <w:t>B.</w:t>
      </w:r>
      <w:r w:rsidR="00C70639">
        <w:rPr>
          <w:i/>
        </w:rPr>
        <w:t> </w:t>
      </w:r>
      <w:proofErr w:type="spellStart"/>
      <w:r w:rsidRPr="00C646EE">
        <w:rPr>
          <w:i/>
        </w:rPr>
        <w:t>pseudomallei</w:t>
      </w:r>
      <w:proofErr w:type="spellEnd"/>
      <w:r w:rsidRPr="00C646EE">
        <w:rPr>
          <w:i/>
        </w:rPr>
        <w:t xml:space="preserve">. </w:t>
      </w:r>
    </w:p>
    <w:p w14:paraId="214C0726" w14:textId="77777777" w:rsidR="004A0FA3" w:rsidRPr="00C646EE" w:rsidRDefault="006868A7">
      <w:pPr>
        <w:pStyle w:val="Heading5"/>
      </w:pPr>
      <w:r w:rsidRPr="00C646EE">
        <w:t>Diagnosis</w:t>
      </w:r>
    </w:p>
    <w:p w14:paraId="1D186EF0" w14:textId="77777777" w:rsidR="004A0FA3" w:rsidRPr="00C646EE" w:rsidRDefault="006868A7">
      <w:pPr>
        <w:pStyle w:val="Heading6"/>
      </w:pPr>
      <w:r w:rsidRPr="00C646EE">
        <w:t>Clinical signs</w:t>
      </w:r>
    </w:p>
    <w:p w14:paraId="3F4D076C" w14:textId="77777777" w:rsidR="00761A64" w:rsidRPr="00C646EE" w:rsidRDefault="00761A64" w:rsidP="00761A64">
      <w:pPr>
        <w:keepNext/>
        <w:keepLines/>
      </w:pPr>
      <w:r w:rsidRPr="00C646EE">
        <w:t xml:space="preserve">Horses, </w:t>
      </w:r>
      <w:proofErr w:type="gramStart"/>
      <w:r w:rsidRPr="00C646EE">
        <w:t>donkeys</w:t>
      </w:r>
      <w:proofErr w:type="gramEnd"/>
      <w:r w:rsidRPr="00C646EE">
        <w:t xml:space="preserve"> and mules can develop acute, chronic or latent forms of glanders. The chronic form is often further classified as cutaneous, </w:t>
      </w:r>
      <w:proofErr w:type="gramStart"/>
      <w:r w:rsidRPr="00C646EE">
        <w:t>nasal</w:t>
      </w:r>
      <w:proofErr w:type="gramEnd"/>
      <w:r w:rsidRPr="00C646EE">
        <w:t xml:space="preserve"> or pulmonary depending on organs involved in the infection and subsequent clinical signs. </w:t>
      </w:r>
    </w:p>
    <w:p w14:paraId="09229DF8" w14:textId="292F596A" w:rsidR="00761A64" w:rsidRPr="00C646EE" w:rsidRDefault="00761A64" w:rsidP="00761A64">
      <w:r w:rsidRPr="00C646EE">
        <w:t xml:space="preserve">Acute glanders is more frequently diagnosed in donkeys and mules than in horses (Khan et al, 2012; </w:t>
      </w:r>
      <w:proofErr w:type="spellStart"/>
      <w:r w:rsidRPr="00C646EE">
        <w:t>Mota</w:t>
      </w:r>
      <w:proofErr w:type="spellEnd"/>
      <w:r w:rsidRPr="00C646EE">
        <w:t xml:space="preserve"> et al, 2010). This form of the disease is characterised by marked pyrexia, coughing, inspiratory dyspnoea, watery unilateral or bilateral nasal discharge and deep, rapidly spreading ulcers on the nasal mucosa (Khan et al, 2012). As the disease progresses, the nasal discharge becomes a thick mucopurulent or haemorrhagic discharge which causes severe respiratory distress (Khan et al, 2012). Submaxillary lymph nodes may be </w:t>
      </w:r>
      <w:proofErr w:type="gramStart"/>
      <w:r w:rsidRPr="00C646EE">
        <w:t>swollen</w:t>
      </w:r>
      <w:proofErr w:type="gramEnd"/>
      <w:r w:rsidRPr="00C646EE">
        <w:t xml:space="preserve"> and painful, and facial lymphatic vessels thickened (Khan et al, 2012). Death usually occurs within 7-10 days of the onset of clinical signs due to bronchopneumonia and septicaemia (Kettle and </w:t>
      </w:r>
      <w:proofErr w:type="spellStart"/>
      <w:r w:rsidRPr="00C646EE">
        <w:t>Wernery</w:t>
      </w:r>
      <w:proofErr w:type="spellEnd"/>
      <w:r w:rsidRPr="00C646EE">
        <w:t>, 2016).</w:t>
      </w:r>
    </w:p>
    <w:p w14:paraId="1012DD82" w14:textId="18860ECD" w:rsidR="00761A64" w:rsidRPr="00C646EE" w:rsidRDefault="00761A64" w:rsidP="00761A64">
      <w:r w:rsidRPr="00C646EE">
        <w:t xml:space="preserve">The chronic form of glanders more commonly affects horses rather than donkeys and mules (Khan et al, 2012, </w:t>
      </w:r>
      <w:proofErr w:type="spellStart"/>
      <w:r w:rsidRPr="00C646EE">
        <w:t>Spickler</w:t>
      </w:r>
      <w:proofErr w:type="spellEnd"/>
      <w:r w:rsidRPr="00C646EE">
        <w:t xml:space="preserve">, 2018). It is insidious in onset and clinical signs may include coughing, malaise, intermittent </w:t>
      </w:r>
      <w:proofErr w:type="gramStart"/>
      <w:r w:rsidRPr="00C646EE">
        <w:t>pyrexia</w:t>
      </w:r>
      <w:proofErr w:type="gramEnd"/>
      <w:r w:rsidRPr="00C646EE">
        <w:t xml:space="preserve"> and a chronic purulent nasal discharge (usually unilateral). Other signs may include ulcers and nodules on the nasal mucosa, cutaneous lesions that rupture and ulcerate, chronic enlargement and induration of the lymphatics and lymph nodes, painful oedema of the legs and swollen joints. Chronic infection can develop over weeks to months (Dvorak and </w:t>
      </w:r>
      <w:proofErr w:type="spellStart"/>
      <w:r w:rsidRPr="00C646EE">
        <w:t>Spickler</w:t>
      </w:r>
      <w:proofErr w:type="spellEnd"/>
      <w:r w:rsidRPr="00C646EE">
        <w:t xml:space="preserve"> 2008; </w:t>
      </w:r>
      <w:proofErr w:type="spellStart"/>
      <w:r w:rsidRPr="00C646EE">
        <w:t>Spickler</w:t>
      </w:r>
      <w:proofErr w:type="spellEnd"/>
      <w:r w:rsidRPr="00C646EE">
        <w:t xml:space="preserve"> 2018). It is slowly progressive and often fatal, although animals may survive for years (</w:t>
      </w:r>
      <w:proofErr w:type="spellStart"/>
      <w:r w:rsidRPr="00C646EE">
        <w:t>Spickler</w:t>
      </w:r>
      <w:proofErr w:type="spellEnd"/>
      <w:r w:rsidRPr="00C646EE">
        <w:t xml:space="preserve"> 2018). </w:t>
      </w:r>
    </w:p>
    <w:p w14:paraId="3EC8705C" w14:textId="37F8A4A3" w:rsidR="00761A64" w:rsidRPr="00C646EE" w:rsidRDefault="00761A64" w:rsidP="00761A64">
      <w:r w:rsidRPr="00C646EE">
        <w:t xml:space="preserve">Chronic cutaneous glanders is also known as ‘farcy’ and is typified by </w:t>
      </w:r>
      <w:r w:rsidRPr="005A14F4">
        <w:t>crater-like</w:t>
      </w:r>
      <w:r w:rsidRPr="00C646EE">
        <w:t xml:space="preserve"> ulcerating lesions around the muzzle and hindlimbs (</w:t>
      </w:r>
      <w:proofErr w:type="spellStart"/>
      <w:r w:rsidRPr="00C646EE">
        <w:t>Spickler</w:t>
      </w:r>
      <w:proofErr w:type="spellEnd"/>
      <w:r w:rsidRPr="00C646EE">
        <w:t xml:space="preserve">, 2018). In some cases, lesions can be found on other areas of the body. Ulcers are often associated with lymphatic vessels and result in enlarged lymphatics known as ‘farcy </w:t>
      </w:r>
      <w:proofErr w:type="gramStart"/>
      <w:r w:rsidRPr="00C646EE">
        <w:t>chords’, and</w:t>
      </w:r>
      <w:proofErr w:type="gramEnd"/>
      <w:r w:rsidRPr="00C646EE">
        <w:t xml:space="preserve"> may produce a purulent discharge. </w:t>
      </w:r>
    </w:p>
    <w:p w14:paraId="2A8B52BD" w14:textId="41D7C627" w:rsidR="00761A64" w:rsidRPr="00C646EE" w:rsidRDefault="00761A64" w:rsidP="00761A64">
      <w:r w:rsidRPr="00C646EE">
        <w:lastRenderedPageBreak/>
        <w:t xml:space="preserve">Chronic nasal glanders is characterised by unilateral or bilateral nasal discharge with associated crusting around the nostrils (Arun et al, 1999; </w:t>
      </w:r>
      <w:proofErr w:type="spellStart"/>
      <w:r w:rsidRPr="00C646EE">
        <w:t>Spickler</w:t>
      </w:r>
      <w:proofErr w:type="spellEnd"/>
      <w:r w:rsidRPr="00C646EE">
        <w:t xml:space="preserve"> 2018). The nasal discharge is purulent</w:t>
      </w:r>
      <w:r w:rsidR="006E0283">
        <w:t>,</w:t>
      </w:r>
      <w:r w:rsidRPr="00C646EE">
        <w:t xml:space="preserve"> or haemorrhagic due to the ulcerating lesions in the nasal cavity. Inflammation and the healing of ulcers can lead to </w:t>
      </w:r>
      <w:r w:rsidRPr="006C6678">
        <w:t>stellate (star-shaped)</w:t>
      </w:r>
      <w:r w:rsidRPr="00C646EE">
        <w:t xml:space="preserve"> white scars on the nasal septum (Arun et al, 1999). Associated lymphadenopathy may be present (</w:t>
      </w:r>
      <w:proofErr w:type="spellStart"/>
      <w:r w:rsidRPr="00C646EE">
        <w:t>Spickler</w:t>
      </w:r>
      <w:proofErr w:type="spellEnd"/>
      <w:r w:rsidRPr="00C646EE">
        <w:t xml:space="preserve">, 2018). </w:t>
      </w:r>
    </w:p>
    <w:p w14:paraId="3DF1E3EB" w14:textId="77777777" w:rsidR="00761A64" w:rsidRPr="00C646EE" w:rsidRDefault="00761A64" w:rsidP="00761A64">
      <w:r w:rsidRPr="00C646EE">
        <w:t xml:space="preserve">Chronic pulmonary glanders results from the progression of nasal glanders to the lower respiratory tract (Kettle and </w:t>
      </w:r>
      <w:proofErr w:type="spellStart"/>
      <w:r w:rsidRPr="00C646EE">
        <w:t>Wernery</w:t>
      </w:r>
      <w:proofErr w:type="spellEnd"/>
      <w:r w:rsidRPr="00C646EE">
        <w:t xml:space="preserve">, 2016). Ulcers can be present in the trachea, lungs and in some cases the liver and spleen (Kettle and </w:t>
      </w:r>
      <w:proofErr w:type="spellStart"/>
      <w:r w:rsidRPr="00C646EE">
        <w:t>Wernery</w:t>
      </w:r>
      <w:proofErr w:type="spellEnd"/>
      <w:r w:rsidRPr="00C646EE">
        <w:t xml:space="preserve">, 2016; </w:t>
      </w:r>
      <w:proofErr w:type="spellStart"/>
      <w:r w:rsidRPr="00C646EE">
        <w:t>Spickler</w:t>
      </w:r>
      <w:proofErr w:type="spellEnd"/>
      <w:r w:rsidRPr="00C646EE">
        <w:t xml:space="preserve">, 2018). </w:t>
      </w:r>
    </w:p>
    <w:p w14:paraId="03C17E40" w14:textId="69F29966" w:rsidR="00761A64" w:rsidRPr="00C646EE" w:rsidRDefault="00761A64" w:rsidP="00761A64">
      <w:r w:rsidRPr="00C646EE">
        <w:t xml:space="preserve">The latent form of glanders occurs infrequently and is generally only seen in horses (Khan et al, 2012). Clinical signs, if present, include low grade, intermittent fever, intermittent nasal </w:t>
      </w:r>
      <w:proofErr w:type="gramStart"/>
      <w:r w:rsidRPr="00C646EE">
        <w:t>discharge</w:t>
      </w:r>
      <w:proofErr w:type="gramEnd"/>
      <w:r w:rsidRPr="00C646EE">
        <w:t xml:space="preserve"> and laboured breathing. Post</w:t>
      </w:r>
      <w:r w:rsidR="00F80DD6">
        <w:t>-</w:t>
      </w:r>
      <w:r w:rsidRPr="00C646EE">
        <w:t xml:space="preserve">mortem lesions can be found in the lungs. These animals can remain lifelong carriers and spread the disease via respiratory secretions (Khan et al, 2012; Dvorak and </w:t>
      </w:r>
      <w:proofErr w:type="spellStart"/>
      <w:r w:rsidRPr="00C646EE">
        <w:t>Spickler</w:t>
      </w:r>
      <w:proofErr w:type="spellEnd"/>
      <w:r w:rsidRPr="00C646EE">
        <w:t xml:space="preserve">, 2008). </w:t>
      </w:r>
    </w:p>
    <w:p w14:paraId="280A1037" w14:textId="77777777" w:rsidR="004A0FA3" w:rsidRPr="00C646EE" w:rsidRDefault="006868A7">
      <w:pPr>
        <w:pStyle w:val="Heading6"/>
      </w:pPr>
      <w:r w:rsidRPr="00C646EE">
        <w:t>Pathology</w:t>
      </w:r>
    </w:p>
    <w:p w14:paraId="2521F471" w14:textId="3FE1F0F4" w:rsidR="00761A64" w:rsidRPr="00C646EE" w:rsidRDefault="00761A64" w:rsidP="00761A64">
      <w:pPr>
        <w:keepNext/>
        <w:keepLines/>
      </w:pPr>
      <w:r w:rsidRPr="00C646EE">
        <w:t xml:space="preserve">Glanders does not have a pathognomonic pathology to allow for a definitive diagnosis via pathology. </w:t>
      </w:r>
      <w:proofErr w:type="gramStart"/>
      <w:r w:rsidRPr="00C646EE">
        <w:t>Typically</w:t>
      </w:r>
      <w:proofErr w:type="gramEnd"/>
      <w:r w:rsidRPr="00C646EE">
        <w:t xml:space="preserve"> nodules and</w:t>
      </w:r>
      <w:r w:rsidR="001B61E3">
        <w:t xml:space="preserve"> / </w:t>
      </w:r>
      <w:r w:rsidRPr="00C646EE">
        <w:t>or ulcers are found in many tissues, such as the upper respiratory tract, lungs, pleura, liver and spleen (</w:t>
      </w:r>
      <w:proofErr w:type="spellStart"/>
      <w:r w:rsidRPr="00C646EE">
        <w:t>Spickler</w:t>
      </w:r>
      <w:proofErr w:type="spellEnd"/>
      <w:r w:rsidRPr="00C646EE">
        <w:t xml:space="preserve"> 2018; </w:t>
      </w:r>
      <w:proofErr w:type="spellStart"/>
      <w:r w:rsidRPr="00C646EE">
        <w:t>Mota</w:t>
      </w:r>
      <w:proofErr w:type="spellEnd"/>
      <w:r w:rsidRPr="00C646EE">
        <w:t xml:space="preserve"> et al, 2010). Lymph nodes may be enlarged with nodules, </w:t>
      </w:r>
      <w:proofErr w:type="gramStart"/>
      <w:r w:rsidRPr="00C646EE">
        <w:t>congestion</w:t>
      </w:r>
      <w:proofErr w:type="gramEnd"/>
      <w:r w:rsidRPr="00C646EE">
        <w:t xml:space="preserve"> or fibrosis. Farcy cords may be present. Orchitis has also been reported in infected stallions (</w:t>
      </w:r>
      <w:proofErr w:type="spellStart"/>
      <w:r w:rsidRPr="00C646EE">
        <w:t>Spickler</w:t>
      </w:r>
      <w:proofErr w:type="spellEnd"/>
      <w:r w:rsidRPr="00C646EE">
        <w:t xml:space="preserve"> 2018).</w:t>
      </w:r>
    </w:p>
    <w:p w14:paraId="22AB60FA" w14:textId="4CD9BD1E" w:rsidR="00761A64" w:rsidRPr="00C646EE" w:rsidRDefault="00761A64" w:rsidP="00761A64">
      <w:r w:rsidRPr="00C646EE">
        <w:t xml:space="preserve">Cutaneous glanders is accompanied by histopathology indicating vasculitis and haemorrhage. Foci of pyogranulomatous inflammation in lymph nodes </w:t>
      </w:r>
      <w:r w:rsidR="003155AA">
        <w:t>are</w:t>
      </w:r>
      <w:r w:rsidRPr="00C646EE">
        <w:t xml:space="preserve"> also commonly present (</w:t>
      </w:r>
      <w:proofErr w:type="spellStart"/>
      <w:r w:rsidRPr="00C646EE">
        <w:t>Mota</w:t>
      </w:r>
      <w:proofErr w:type="spellEnd"/>
      <w:r w:rsidRPr="00C646EE">
        <w:t xml:space="preserve"> et al, 2010).</w:t>
      </w:r>
    </w:p>
    <w:p w14:paraId="23B42D11" w14:textId="77777777" w:rsidR="00761A64" w:rsidRPr="00C646EE" w:rsidRDefault="00761A64" w:rsidP="00761A64">
      <w:r w:rsidRPr="00C646EE">
        <w:t>Nasal glanders is associated with severe diffuse purulent inflammation, and breakdown of the nasal epithelium and septum (</w:t>
      </w:r>
      <w:proofErr w:type="spellStart"/>
      <w:r w:rsidRPr="00C646EE">
        <w:t>Mota</w:t>
      </w:r>
      <w:proofErr w:type="spellEnd"/>
      <w:r w:rsidRPr="00C646EE">
        <w:t xml:space="preserve"> et al, 2010). Haemorrhage, vasculitis and abscessation progressing to granulomatous lesions are also present in nasal glanders as in cutaneous glanders (</w:t>
      </w:r>
      <w:proofErr w:type="spellStart"/>
      <w:r w:rsidRPr="00C646EE">
        <w:t>Mota</w:t>
      </w:r>
      <w:proofErr w:type="spellEnd"/>
      <w:r w:rsidRPr="00C646EE">
        <w:t xml:space="preserve"> et al, 2010). </w:t>
      </w:r>
    </w:p>
    <w:p w14:paraId="52319B46" w14:textId="72324F02" w:rsidR="00761A64" w:rsidRPr="00C646EE" w:rsidRDefault="00761A64" w:rsidP="00761A64">
      <w:r w:rsidRPr="00C646EE">
        <w:t>Pulmonary glanders is characterised by granulomatous</w:t>
      </w:r>
      <w:r w:rsidR="006E0283">
        <w:t>,</w:t>
      </w:r>
      <w:r w:rsidRPr="00C646EE">
        <w:t xml:space="preserve"> or pyogranulomatous</w:t>
      </w:r>
      <w:r w:rsidR="006E0283">
        <w:t>,</w:t>
      </w:r>
      <w:r w:rsidRPr="00C646EE">
        <w:t xml:space="preserve"> lesions in the lungs. The lesions consist of a central area of caseous necrosis and surrounded by inflammatory cells such as macrophages, giant cells, lymphocytes and </w:t>
      </w:r>
      <w:proofErr w:type="spellStart"/>
      <w:r w:rsidRPr="00C646EE">
        <w:t>plasmocytes</w:t>
      </w:r>
      <w:proofErr w:type="spellEnd"/>
      <w:r w:rsidRPr="00C646EE">
        <w:t xml:space="preserve"> (</w:t>
      </w:r>
      <w:proofErr w:type="spellStart"/>
      <w:r w:rsidRPr="00C646EE">
        <w:t>Mota</w:t>
      </w:r>
      <w:proofErr w:type="spellEnd"/>
      <w:r w:rsidRPr="00C646EE">
        <w:t xml:space="preserve"> et al, 2010). Areas of oedema, focal haemorrhage and intra-alveolar fibrin deposits have also been noted in lung tissue of horses with pulmonary glanders (</w:t>
      </w:r>
      <w:proofErr w:type="spellStart"/>
      <w:r w:rsidRPr="00C646EE">
        <w:t>Mota</w:t>
      </w:r>
      <w:proofErr w:type="spellEnd"/>
      <w:r w:rsidRPr="00C646EE">
        <w:t xml:space="preserve"> et al, 2010). </w:t>
      </w:r>
    </w:p>
    <w:p w14:paraId="60BF976B" w14:textId="77777777" w:rsidR="004A0FA3" w:rsidRPr="00C646EE" w:rsidRDefault="006868A7">
      <w:pPr>
        <w:pStyle w:val="Heading6"/>
      </w:pPr>
      <w:r w:rsidRPr="00C646EE">
        <w:t>Testing</w:t>
      </w:r>
    </w:p>
    <w:p w14:paraId="15A7E5E1" w14:textId="368BCBF0" w:rsidR="00761A64" w:rsidRPr="00C646EE" w:rsidRDefault="00761A64" w:rsidP="00761A64">
      <w:pPr>
        <w:rPr>
          <w:rFonts w:cstheme="minorHAnsi"/>
        </w:rPr>
      </w:pPr>
      <w:r w:rsidRPr="00C646EE">
        <w:rPr>
          <w:rFonts w:cstheme="minorHAnsi"/>
        </w:rPr>
        <w:t xml:space="preserve">A variety of tests are available for the diagnosis of glanders in horses. </w:t>
      </w:r>
      <w:r w:rsidR="00CF5572" w:rsidRPr="00C646EE">
        <w:rPr>
          <w:rFonts w:cstheme="minorHAnsi"/>
        </w:rPr>
        <w:t>Bacterial culture is considered the gold standard diagnostic test. However, the complement fixation test (CFT) is the recommended test to confirm freedom from infection for the international movement of horses (</w:t>
      </w:r>
      <w:r w:rsidR="00CF5572">
        <w:rPr>
          <w:rFonts w:cstheme="minorHAnsi"/>
        </w:rPr>
        <w:t>WOAH</w:t>
      </w:r>
      <w:r w:rsidR="00CF5572" w:rsidRPr="00C646EE">
        <w:rPr>
          <w:rFonts w:cstheme="minorHAnsi"/>
        </w:rPr>
        <w:t xml:space="preserve"> Manual, 2020). </w:t>
      </w:r>
      <w:proofErr w:type="gramStart"/>
      <w:r w:rsidR="00CF5572" w:rsidRPr="00C646EE">
        <w:rPr>
          <w:rFonts w:cstheme="minorHAnsi"/>
        </w:rPr>
        <w:t>A number of</w:t>
      </w:r>
      <w:proofErr w:type="gramEnd"/>
      <w:r w:rsidR="00CF5572" w:rsidRPr="00C646EE">
        <w:rPr>
          <w:rFonts w:cstheme="minorHAnsi"/>
        </w:rPr>
        <w:t xml:space="preserve"> other serological tests have been developed to diagnose glanders in horses. </w:t>
      </w:r>
      <w:r w:rsidRPr="00C646EE">
        <w:rPr>
          <w:rFonts w:cstheme="minorHAnsi"/>
        </w:rPr>
        <w:t xml:space="preserve">All current tests have limitations that may lead to false negative results. The </w:t>
      </w:r>
      <w:r w:rsidR="003C6D77">
        <w:rPr>
          <w:rFonts w:cstheme="minorHAnsi"/>
        </w:rPr>
        <w:t>WOAH</w:t>
      </w:r>
      <w:r w:rsidRPr="00C646EE">
        <w:rPr>
          <w:rFonts w:cstheme="minorHAnsi"/>
        </w:rPr>
        <w:t xml:space="preserve"> Manual recommends diagnosis of glanders via direct agent demonstration, complemented by CFT and another test of equal or higher sensitivity and higher specificity </w:t>
      </w:r>
      <w:r w:rsidR="006C6678">
        <w:rPr>
          <w:rFonts w:cstheme="minorHAnsi"/>
        </w:rPr>
        <w:t>than</w:t>
      </w:r>
      <w:r w:rsidR="006C6678" w:rsidRPr="00C646EE">
        <w:rPr>
          <w:rFonts w:cstheme="minorHAnsi"/>
        </w:rPr>
        <w:t xml:space="preserve"> </w:t>
      </w:r>
      <w:r w:rsidRPr="00C646EE">
        <w:rPr>
          <w:rFonts w:cstheme="minorHAnsi"/>
        </w:rPr>
        <w:t>the CFT for confirmation of positive test results (</w:t>
      </w:r>
      <w:r w:rsidR="003C6D77">
        <w:rPr>
          <w:rFonts w:cstheme="minorHAnsi"/>
        </w:rPr>
        <w:t>WOAH</w:t>
      </w:r>
      <w:r w:rsidRPr="00C646EE">
        <w:rPr>
          <w:rFonts w:cstheme="minorHAnsi"/>
        </w:rPr>
        <w:t xml:space="preserve"> Manual, 2020).</w:t>
      </w:r>
    </w:p>
    <w:p w14:paraId="652AADE5" w14:textId="0D0C30DD" w:rsidR="00761A64" w:rsidRPr="00C646EE" w:rsidRDefault="00761A64" w:rsidP="00761A64">
      <w:r w:rsidRPr="00C646EE">
        <w:t>Handling of samples must be done under strict biosecurity controls to prevent human infection (</w:t>
      </w:r>
      <w:r w:rsidR="003C6D77">
        <w:t>WOAH</w:t>
      </w:r>
      <w:r w:rsidRPr="00C646EE">
        <w:t xml:space="preserve"> Manual, 2020).</w:t>
      </w:r>
    </w:p>
    <w:p w14:paraId="315E1D22" w14:textId="77777777" w:rsidR="00761A64" w:rsidRPr="00C646EE" w:rsidRDefault="00761A64" w:rsidP="00761A64">
      <w:pPr>
        <w:rPr>
          <w:i/>
          <w:iCs/>
        </w:rPr>
      </w:pPr>
      <w:r w:rsidRPr="00C646EE">
        <w:rPr>
          <w:i/>
          <w:iCs/>
        </w:rPr>
        <w:lastRenderedPageBreak/>
        <w:t>Bacterial culture</w:t>
      </w:r>
    </w:p>
    <w:p w14:paraId="02906D42" w14:textId="52B483A8" w:rsidR="00761A64" w:rsidRPr="00C646EE" w:rsidRDefault="00761A64" w:rsidP="00761A64">
      <w:r w:rsidRPr="00C646EE">
        <w:t xml:space="preserve">Isolation and identification of </w:t>
      </w:r>
      <w:r w:rsidRPr="00C646EE">
        <w:rPr>
          <w:i/>
        </w:rPr>
        <w:t>B. mallei</w:t>
      </w:r>
      <w:r w:rsidRPr="00C646EE">
        <w:t xml:space="preserve"> from the culture of samples from lesions or exudates is considered the gold standard for definitive diagnosis of glanders. Where possible, samples should be collected from uncontaminated closed lesions from suspect horses. The organism can also be grown from lymph node samples and respiratory exudates, such as nasal discharges. Samples should be incubated at 37</w:t>
      </w:r>
      <w:r w:rsidRPr="00C646EE">
        <w:rPr>
          <w:rFonts w:cstheme="minorHAnsi"/>
        </w:rPr>
        <w:t>˚</w:t>
      </w:r>
      <w:r w:rsidRPr="00C646EE">
        <w:t>C on a culture medi</w:t>
      </w:r>
      <w:r w:rsidR="00121B54">
        <w:t>um</w:t>
      </w:r>
      <w:r w:rsidRPr="00C646EE">
        <w:t xml:space="preserve"> such as glycerol agar or sheep blood agar for a minimum of 72 hours (</w:t>
      </w:r>
      <w:r w:rsidR="003C6D77">
        <w:t>WOAH</w:t>
      </w:r>
      <w:r w:rsidR="004A3327" w:rsidRPr="00C646EE">
        <w:t xml:space="preserve"> Manual</w:t>
      </w:r>
      <w:r w:rsidRPr="00C646EE">
        <w:t>, 20</w:t>
      </w:r>
      <w:r w:rsidR="004A3327" w:rsidRPr="00C646EE">
        <w:t>20</w:t>
      </w:r>
      <w:r w:rsidRPr="00C646EE">
        <w:t xml:space="preserve">). However, sheep blood agar is readily overgrown by other bacteria which may reduce the sensitivity of the test (CFSPH, 2018; </w:t>
      </w:r>
      <w:r w:rsidR="003C6D77">
        <w:t>WOAH</w:t>
      </w:r>
      <w:r w:rsidR="004A3327" w:rsidRPr="00C646EE">
        <w:t xml:space="preserve"> Manual</w:t>
      </w:r>
      <w:r w:rsidRPr="00C646EE">
        <w:t>, 20</w:t>
      </w:r>
      <w:r w:rsidR="004A3327" w:rsidRPr="00C646EE">
        <w:t>20</w:t>
      </w:r>
      <w:r w:rsidRPr="00C646EE">
        <w:t xml:space="preserve">). Once cultured, the bacteria </w:t>
      </w:r>
      <w:r w:rsidR="00121B54">
        <w:t>are</w:t>
      </w:r>
      <w:r w:rsidRPr="00C646EE">
        <w:t xml:space="preserve"> identified via biochemical reaction or by polymerase chain reaction (PCR) (</w:t>
      </w:r>
      <w:r w:rsidR="003C6D77">
        <w:t>WOAH</w:t>
      </w:r>
      <w:r w:rsidR="004A3327" w:rsidRPr="00C646EE">
        <w:t xml:space="preserve"> Manual, 2020</w:t>
      </w:r>
      <w:r w:rsidRPr="00C646EE">
        <w:t xml:space="preserve">). A limitation of culture is that it has a low sensitivity. It can be hard to isolate and culture </w:t>
      </w:r>
      <w:r w:rsidRPr="00C646EE">
        <w:rPr>
          <w:i/>
        </w:rPr>
        <w:t xml:space="preserve">B. mallei </w:t>
      </w:r>
      <w:r w:rsidRPr="00C646EE">
        <w:t xml:space="preserve">if the concentration of bacteria in tissues and exudates is low, such as early in the disease or in subclinical carriers (CFSPH, 2018). In addition, the presence of other organisms in samples may hinder isolation of </w:t>
      </w:r>
      <w:r w:rsidRPr="00C646EE">
        <w:rPr>
          <w:i/>
          <w:iCs/>
        </w:rPr>
        <w:t>B. mallei</w:t>
      </w:r>
      <w:r w:rsidRPr="00C646EE">
        <w:t xml:space="preserve"> due to bacterial overgrowth.</w:t>
      </w:r>
    </w:p>
    <w:p w14:paraId="79BC3086" w14:textId="77777777" w:rsidR="00761A64" w:rsidRPr="00C646EE" w:rsidRDefault="00761A64" w:rsidP="00954597">
      <w:pPr>
        <w:rPr>
          <w:i/>
          <w:iCs/>
        </w:rPr>
      </w:pPr>
      <w:r w:rsidRPr="00C646EE">
        <w:rPr>
          <w:i/>
          <w:iCs/>
        </w:rPr>
        <w:t xml:space="preserve">Serological testing </w:t>
      </w:r>
    </w:p>
    <w:p w14:paraId="439E83B0" w14:textId="77777777" w:rsidR="00761A64" w:rsidRPr="00C646EE" w:rsidRDefault="00761A64" w:rsidP="00954597">
      <w:pPr>
        <w:rPr>
          <w:i/>
          <w:iCs/>
          <w:u w:val="single"/>
        </w:rPr>
      </w:pPr>
      <w:proofErr w:type="spellStart"/>
      <w:r w:rsidRPr="00C646EE">
        <w:rPr>
          <w:i/>
          <w:iCs/>
          <w:u w:val="single"/>
        </w:rPr>
        <w:t>Mallein</w:t>
      </w:r>
      <w:proofErr w:type="spellEnd"/>
      <w:r w:rsidRPr="00C646EE">
        <w:rPr>
          <w:i/>
          <w:iCs/>
          <w:u w:val="single"/>
        </w:rPr>
        <w:t xml:space="preserve"> test</w:t>
      </w:r>
    </w:p>
    <w:p w14:paraId="332EBCD9" w14:textId="27306B4B" w:rsidR="00761A64" w:rsidRPr="00C646EE" w:rsidRDefault="00761A64" w:rsidP="00954597">
      <w:r w:rsidRPr="00C646EE">
        <w:t xml:space="preserve">The </w:t>
      </w:r>
      <w:proofErr w:type="spellStart"/>
      <w:r w:rsidRPr="00C646EE">
        <w:t>mallein</w:t>
      </w:r>
      <w:proofErr w:type="spellEnd"/>
      <w:r w:rsidRPr="00C646EE">
        <w:t xml:space="preserve"> test is an allergic hypersensitivity test which is inexpensive and easy to apply to large groups of animals. It is often used in countries where glanders is endemic. </w:t>
      </w:r>
      <w:proofErr w:type="spellStart"/>
      <w:r w:rsidRPr="00C646EE">
        <w:t>Mallein</w:t>
      </w:r>
      <w:proofErr w:type="spellEnd"/>
      <w:r w:rsidRPr="00C646EE">
        <w:t xml:space="preserve">, a purified protein fraction of </w:t>
      </w:r>
      <w:r w:rsidRPr="00C646EE">
        <w:rPr>
          <w:i/>
          <w:iCs/>
        </w:rPr>
        <w:t>B. mallei</w:t>
      </w:r>
      <w:r w:rsidRPr="00C646EE">
        <w:t xml:space="preserve"> is injected into the skin of the lower eyelid of a suspect infected </w:t>
      </w:r>
      <w:r w:rsidR="00896A8A">
        <w:t>horse</w:t>
      </w:r>
      <w:r w:rsidRPr="00C646EE">
        <w:t xml:space="preserve"> (</w:t>
      </w:r>
      <w:r w:rsidR="003C6D77">
        <w:t>WOAH</w:t>
      </w:r>
      <w:r w:rsidRPr="00C646EE">
        <w:t xml:space="preserve"> Manual, 2020). The protein derivative can also be administered as eye drops or subcutaneously to the middle of the </w:t>
      </w:r>
      <w:proofErr w:type="gramStart"/>
      <w:r w:rsidRPr="00C646EE">
        <w:t>neck</w:t>
      </w:r>
      <w:proofErr w:type="gramEnd"/>
      <w:r w:rsidRPr="00C646EE">
        <w:t xml:space="preserve"> but these versions of the test are less sensitive. The result of the test is interpreted 48 hours later. Positive reactions are characterised by oedematous swelling of the lower eyelid. A purulent conjunctival discharge, fever, </w:t>
      </w:r>
      <w:proofErr w:type="gramStart"/>
      <w:r w:rsidRPr="00C646EE">
        <w:t>photosensitivity</w:t>
      </w:r>
      <w:proofErr w:type="gramEnd"/>
      <w:r w:rsidRPr="00C646EE">
        <w:t xml:space="preserve"> and lacrimation may also be present. A negative reaction </w:t>
      </w:r>
      <w:r w:rsidR="00664022">
        <w:t>is characterised by</w:t>
      </w:r>
      <w:r w:rsidR="00664022" w:rsidRPr="00C646EE">
        <w:t xml:space="preserve"> </w:t>
      </w:r>
      <w:r w:rsidRPr="00C646EE">
        <w:t xml:space="preserve">no change or minor swelling. </w:t>
      </w:r>
    </w:p>
    <w:p w14:paraId="230F965E" w14:textId="347841F4" w:rsidR="00761A64" w:rsidRPr="00C646EE" w:rsidRDefault="00761A64" w:rsidP="00954597">
      <w:r w:rsidRPr="00C646EE">
        <w:t xml:space="preserve">The </w:t>
      </w:r>
      <w:proofErr w:type="spellStart"/>
      <w:r w:rsidRPr="00C646EE">
        <w:t>mallein</w:t>
      </w:r>
      <w:proofErr w:type="spellEnd"/>
      <w:r w:rsidRPr="00C646EE">
        <w:t xml:space="preserve"> test has a specificity of </w:t>
      </w:r>
      <w:r w:rsidR="00664022">
        <w:t xml:space="preserve">nearly </w:t>
      </w:r>
      <w:r w:rsidRPr="00C646EE">
        <w:t>100% but a low sensitivity of 75.7% (</w:t>
      </w:r>
      <w:proofErr w:type="spellStart"/>
      <w:r w:rsidRPr="00C646EE">
        <w:t>Naureen</w:t>
      </w:r>
      <w:proofErr w:type="spellEnd"/>
      <w:r w:rsidRPr="00C646EE">
        <w:t xml:space="preserve"> et al, 2007; Filho et al, 2012). However, false positives can occur due to infection with </w:t>
      </w:r>
      <w:r w:rsidRPr="00C646EE">
        <w:rPr>
          <w:i/>
        </w:rPr>
        <w:t xml:space="preserve">B. </w:t>
      </w:r>
      <w:proofErr w:type="spellStart"/>
      <w:r w:rsidRPr="00C646EE">
        <w:rPr>
          <w:i/>
        </w:rPr>
        <w:t>pseudomallei</w:t>
      </w:r>
      <w:proofErr w:type="spellEnd"/>
      <w:r w:rsidRPr="00C646EE">
        <w:rPr>
          <w:i/>
        </w:rPr>
        <w:t xml:space="preserve"> </w:t>
      </w:r>
      <w:r w:rsidRPr="00C646EE">
        <w:t xml:space="preserve">or inadequate purification of the </w:t>
      </w:r>
      <w:proofErr w:type="spellStart"/>
      <w:r w:rsidRPr="00C646EE">
        <w:t>mallein</w:t>
      </w:r>
      <w:proofErr w:type="spellEnd"/>
      <w:r w:rsidRPr="00C646EE">
        <w:t xml:space="preserve"> antigen (Pal et al, 2012; Filho et al, 2012). In addition, the tests can cause transient seroconversion in healthy uninfected animals (</w:t>
      </w:r>
      <w:proofErr w:type="spellStart"/>
      <w:r w:rsidRPr="00C646EE">
        <w:t>Hagebock</w:t>
      </w:r>
      <w:proofErr w:type="spellEnd"/>
      <w:r w:rsidRPr="00C646EE">
        <w:t xml:space="preserve"> et al., 1993). The high level of false negatives from this test makes it unsuitable for use when clearing horses for international movement. Although</w:t>
      </w:r>
      <w:r w:rsidR="00C45C73">
        <w:t>,</w:t>
      </w:r>
      <w:r w:rsidRPr="00C646EE">
        <w:t xml:space="preserve"> </w:t>
      </w:r>
      <w:proofErr w:type="spellStart"/>
      <w:r w:rsidR="00C75E40" w:rsidRPr="00C646EE">
        <w:t>its</w:t>
      </w:r>
      <w:proofErr w:type="spellEnd"/>
      <w:r w:rsidRPr="00C646EE">
        <w:t xml:space="preserve"> </w:t>
      </w:r>
      <w:r w:rsidR="00664022">
        <w:t xml:space="preserve">very </w:t>
      </w:r>
      <w:r w:rsidRPr="00C646EE">
        <w:t>low rate of false positives mean that it may be used in eradication programs (</w:t>
      </w:r>
      <w:r w:rsidR="003C6D77">
        <w:t>WOAH</w:t>
      </w:r>
      <w:r w:rsidRPr="00C646EE">
        <w:t xml:space="preserve"> Manual</w:t>
      </w:r>
      <w:r w:rsidR="004A3327" w:rsidRPr="00C646EE">
        <w:t>, 2020</w:t>
      </w:r>
      <w:r w:rsidRPr="00C646EE">
        <w:t xml:space="preserve">). The </w:t>
      </w:r>
      <w:r w:rsidR="003C6D77">
        <w:t>WOAH</w:t>
      </w:r>
      <w:r w:rsidRPr="00C646EE">
        <w:t xml:space="preserve"> Manual (2020) recommends that the </w:t>
      </w:r>
      <w:proofErr w:type="spellStart"/>
      <w:r w:rsidRPr="00C646EE">
        <w:t>mallein</w:t>
      </w:r>
      <w:proofErr w:type="spellEnd"/>
      <w:r w:rsidRPr="00C646EE">
        <w:t xml:space="preserve"> test may be used in remote endemic areas where sample transport and storage for other tests is not practic</w:t>
      </w:r>
      <w:r w:rsidR="00664022">
        <w:t>able</w:t>
      </w:r>
      <w:r w:rsidRPr="00C646EE">
        <w:t xml:space="preserve">. However, the test is not commonly used to diagnose glanders due to welfare implications. </w:t>
      </w:r>
    </w:p>
    <w:p w14:paraId="28085D35" w14:textId="77777777" w:rsidR="00761A64" w:rsidRPr="00C646EE" w:rsidRDefault="00761A64" w:rsidP="00456ADA">
      <w:pPr>
        <w:rPr>
          <w:i/>
          <w:iCs/>
          <w:u w:val="single"/>
        </w:rPr>
      </w:pPr>
      <w:r w:rsidRPr="00C646EE">
        <w:rPr>
          <w:i/>
          <w:iCs/>
          <w:u w:val="single"/>
        </w:rPr>
        <w:t>Strauss reaction</w:t>
      </w:r>
    </w:p>
    <w:p w14:paraId="63EC718D" w14:textId="15FFD219" w:rsidR="00761A64" w:rsidRPr="00C646EE" w:rsidRDefault="00761A64" w:rsidP="00456ADA">
      <w:r w:rsidRPr="00C646EE">
        <w:t xml:space="preserve">The Strauss reaction is another method used to diagnose glanders. This test involves injecting a serum sample from a suspect </w:t>
      </w:r>
      <w:r w:rsidRPr="00C646EE">
        <w:rPr>
          <w:i/>
        </w:rPr>
        <w:t xml:space="preserve">B. mallei </w:t>
      </w:r>
      <w:r w:rsidR="00282BA0" w:rsidRPr="00B41478">
        <w:rPr>
          <w:iCs/>
        </w:rPr>
        <w:t xml:space="preserve">infected </w:t>
      </w:r>
      <w:r w:rsidRPr="00C646EE">
        <w:t>animal intraperitoneally into a laboratory guinea pig (</w:t>
      </w:r>
      <w:proofErr w:type="spellStart"/>
      <w:r w:rsidRPr="00C646EE">
        <w:t>Elschner</w:t>
      </w:r>
      <w:proofErr w:type="spellEnd"/>
      <w:r w:rsidRPr="00C646EE">
        <w:t xml:space="preserve"> et al, 2009). Guinea pigs are highly susceptible to </w:t>
      </w:r>
      <w:r w:rsidRPr="00C646EE">
        <w:rPr>
          <w:i/>
        </w:rPr>
        <w:t>B. mallei</w:t>
      </w:r>
      <w:r w:rsidRPr="00C646EE">
        <w:t xml:space="preserve"> infection (</w:t>
      </w:r>
      <w:proofErr w:type="spellStart"/>
      <w:r w:rsidRPr="00C646EE">
        <w:t>Elschner</w:t>
      </w:r>
      <w:proofErr w:type="spellEnd"/>
      <w:r w:rsidRPr="00C646EE">
        <w:t xml:space="preserve"> et al, 2009). A positive result is characterised by acute orchitis in the guinea pig (</w:t>
      </w:r>
      <w:proofErr w:type="spellStart"/>
      <w:r w:rsidRPr="00C646EE">
        <w:t>Elschner</w:t>
      </w:r>
      <w:proofErr w:type="spellEnd"/>
      <w:r w:rsidRPr="00C646EE">
        <w:t xml:space="preserve"> et al, 2009). The Strauss reaction is a highly subjective test and has animal welfare concerns, making it unsuitable for screening animals for international trade. </w:t>
      </w:r>
    </w:p>
    <w:p w14:paraId="00CD0A04" w14:textId="19D35903" w:rsidR="00761A64" w:rsidRPr="00C646EE" w:rsidRDefault="00761A64" w:rsidP="00761A64">
      <w:pPr>
        <w:rPr>
          <w:i/>
          <w:iCs/>
          <w:u w:val="single"/>
        </w:rPr>
      </w:pPr>
      <w:r w:rsidRPr="00C646EE">
        <w:rPr>
          <w:i/>
          <w:iCs/>
          <w:u w:val="single"/>
        </w:rPr>
        <w:lastRenderedPageBreak/>
        <w:t>Complement fixation test</w:t>
      </w:r>
      <w:r w:rsidR="00282BA0">
        <w:rPr>
          <w:i/>
          <w:iCs/>
          <w:u w:val="single"/>
        </w:rPr>
        <w:t xml:space="preserve"> (CFT)</w:t>
      </w:r>
    </w:p>
    <w:p w14:paraId="5505DC1F" w14:textId="355D0BFB" w:rsidR="00761A64" w:rsidRPr="00C646EE" w:rsidRDefault="00761A64" w:rsidP="00761A64">
      <w:pPr>
        <w:autoSpaceDE w:val="0"/>
        <w:autoSpaceDN w:val="0"/>
        <w:adjustRightInd w:val="0"/>
      </w:pPr>
      <w:r w:rsidRPr="00C646EE">
        <w:t xml:space="preserve">The CFT is recommended by the </w:t>
      </w:r>
      <w:r w:rsidR="003C6D77">
        <w:t>WOAH</w:t>
      </w:r>
      <w:r w:rsidRPr="00C646EE">
        <w:t xml:space="preserve"> for confirmation of individual animal freedom from glanders prior to international movement (</w:t>
      </w:r>
      <w:r w:rsidR="003C6D77">
        <w:t>WOAH</w:t>
      </w:r>
      <w:r w:rsidRPr="00C646EE">
        <w:t xml:space="preserve"> Manual, 20</w:t>
      </w:r>
      <w:r w:rsidR="004A3327" w:rsidRPr="00C646EE">
        <w:t>20</w:t>
      </w:r>
      <w:r w:rsidRPr="00C646EE">
        <w:t xml:space="preserve">). The test has been validated in horses, </w:t>
      </w:r>
      <w:proofErr w:type="gramStart"/>
      <w:r w:rsidRPr="00C646EE">
        <w:t>mules</w:t>
      </w:r>
      <w:proofErr w:type="gramEnd"/>
      <w:r w:rsidRPr="00C646EE">
        <w:t xml:space="preserve"> and camels but not donkeys (</w:t>
      </w:r>
      <w:r w:rsidR="003C6D77">
        <w:t>WOAH</w:t>
      </w:r>
      <w:r w:rsidRPr="00C646EE">
        <w:t xml:space="preserve"> Manual, 20</w:t>
      </w:r>
      <w:r w:rsidR="004A3327" w:rsidRPr="00C646EE">
        <w:t>20</w:t>
      </w:r>
      <w:r w:rsidRPr="00C646EE">
        <w:t xml:space="preserve">). Variable efficacy has been reported for use of the CFT to detect acute, chronic and inapparent infections (Verma et al, 2014). The CFT cannot reliably detect latent infections in horses (Kettle &amp; </w:t>
      </w:r>
      <w:proofErr w:type="spellStart"/>
      <w:r w:rsidRPr="00C646EE">
        <w:t>Wernery</w:t>
      </w:r>
      <w:proofErr w:type="spellEnd"/>
      <w:r w:rsidRPr="00C646EE">
        <w:t xml:space="preserve">, 2016). </w:t>
      </w:r>
    </w:p>
    <w:p w14:paraId="5CDA7298" w14:textId="79840675" w:rsidR="00761A64" w:rsidRPr="00C646EE" w:rsidRDefault="00761A64" w:rsidP="00761A64">
      <w:pPr>
        <w:autoSpaceDE w:val="0"/>
        <w:autoSpaceDN w:val="0"/>
        <w:adjustRightInd w:val="0"/>
      </w:pPr>
      <w:r w:rsidRPr="00C646EE">
        <w:t xml:space="preserve">The sensitivity and specificity of the CFT is affected by factors such as the type of antigen used, its preparation and the production facility </w:t>
      </w:r>
      <w:r w:rsidR="004A3327" w:rsidRPr="00C646EE">
        <w:t>(</w:t>
      </w:r>
      <w:r w:rsidR="003C6D77">
        <w:t>WOAH</w:t>
      </w:r>
      <w:r w:rsidR="004A3327" w:rsidRPr="00C646EE">
        <w:t xml:space="preserve"> Manual, 2020</w:t>
      </w:r>
      <w:r w:rsidRPr="00C646EE">
        <w:t xml:space="preserve">; </w:t>
      </w:r>
      <w:proofErr w:type="spellStart"/>
      <w:r w:rsidRPr="00C646EE">
        <w:t>Eschner</w:t>
      </w:r>
      <w:proofErr w:type="spellEnd"/>
      <w:r w:rsidRPr="00C646EE">
        <w:t xml:space="preserve"> et al, 2019). While the </w:t>
      </w:r>
      <w:r w:rsidR="003C6D77">
        <w:t>WOAH</w:t>
      </w:r>
      <w:r w:rsidRPr="00C646EE">
        <w:t xml:space="preserve"> Manual includes a procedure for antigen preparation and commercial CFT antigens are also available (</w:t>
      </w:r>
      <w:r w:rsidR="003C6D77">
        <w:t>WOAH</w:t>
      </w:r>
      <w:r w:rsidRPr="00C646EE">
        <w:t xml:space="preserve"> Manual, 20</w:t>
      </w:r>
      <w:r w:rsidR="004A3327" w:rsidRPr="00C646EE">
        <w:t>20</w:t>
      </w:r>
      <w:r w:rsidRPr="00C646EE">
        <w:t xml:space="preserve">), antigens used in the CFT are often not standardised or may be crudely prepared. The incubation used during CFT can also affect the quality of results. Abreu et al (2020) identified that temperature and duration of incubation impact CFT, with cold incubation leading to greater complement fixation and increased sensitivity. </w:t>
      </w:r>
      <w:r w:rsidR="007E772A">
        <w:t>T</w:t>
      </w:r>
      <w:r w:rsidRPr="00C646EE">
        <w:t>he sensitivity of the CFT ranges from 91.4% to 98%, whilst a specificity of 96.4% to 100% has been reported (</w:t>
      </w:r>
      <w:proofErr w:type="spellStart"/>
      <w:r w:rsidRPr="00C646EE">
        <w:t>Naureen</w:t>
      </w:r>
      <w:proofErr w:type="spellEnd"/>
      <w:r w:rsidRPr="00C646EE">
        <w:t xml:space="preserve"> et al; 2007; Pal et al, 2012, Sprague et al 2009, </w:t>
      </w:r>
      <w:proofErr w:type="spellStart"/>
      <w:r w:rsidRPr="00C646EE">
        <w:t>Elschner</w:t>
      </w:r>
      <w:proofErr w:type="spellEnd"/>
      <w:r w:rsidRPr="00C646EE">
        <w:t xml:space="preserve"> et al, 2019). </w:t>
      </w:r>
    </w:p>
    <w:p w14:paraId="436B14A6" w14:textId="625B90A1" w:rsidR="00761A64" w:rsidRPr="00C646EE" w:rsidRDefault="00761A64" w:rsidP="00761A64">
      <w:pPr>
        <w:autoSpaceDE w:val="0"/>
        <w:autoSpaceDN w:val="0"/>
        <w:adjustRightInd w:val="0"/>
      </w:pPr>
      <w:r w:rsidRPr="00C646EE">
        <w:t xml:space="preserve">False negative results can occur in old, </w:t>
      </w:r>
      <w:proofErr w:type="gramStart"/>
      <w:r w:rsidRPr="00C646EE">
        <w:t>pregnant</w:t>
      </w:r>
      <w:proofErr w:type="gramEnd"/>
      <w:r w:rsidRPr="00C646EE">
        <w:t xml:space="preserve"> or emaciated horses (</w:t>
      </w:r>
      <w:proofErr w:type="spellStart"/>
      <w:r w:rsidRPr="00C646EE">
        <w:t>Elschner</w:t>
      </w:r>
      <w:proofErr w:type="spellEnd"/>
      <w:r w:rsidRPr="00C646EE">
        <w:t xml:space="preserve"> et al, 2011; Neubauer et al, 2005). </w:t>
      </w:r>
      <w:r w:rsidR="009449D2">
        <w:t>False positive results can also occur through c</w:t>
      </w:r>
      <w:r w:rsidRPr="00C646EE">
        <w:t xml:space="preserve">ross reactions with </w:t>
      </w:r>
      <w:r w:rsidRPr="00C646EE">
        <w:rPr>
          <w:i/>
        </w:rPr>
        <w:t xml:space="preserve">B. </w:t>
      </w:r>
      <w:proofErr w:type="spellStart"/>
      <w:r w:rsidRPr="00C646EE">
        <w:rPr>
          <w:i/>
        </w:rPr>
        <w:t>pseudomallei</w:t>
      </w:r>
      <w:proofErr w:type="spellEnd"/>
      <w:r w:rsidRPr="00C646EE">
        <w:rPr>
          <w:i/>
        </w:rPr>
        <w:t xml:space="preserve"> </w:t>
      </w:r>
      <w:r w:rsidRPr="00C646EE">
        <w:rPr>
          <w:iCs/>
        </w:rPr>
        <w:t xml:space="preserve">in serological tests like the CFT </w:t>
      </w:r>
      <w:r w:rsidRPr="00C646EE">
        <w:t xml:space="preserve">due to the close </w:t>
      </w:r>
      <w:proofErr w:type="spellStart"/>
      <w:r w:rsidRPr="00C646EE">
        <w:t>phylogenic</w:t>
      </w:r>
      <w:proofErr w:type="spellEnd"/>
      <w:r w:rsidRPr="00C646EE">
        <w:t xml:space="preserve"> relationship with </w:t>
      </w:r>
      <w:r w:rsidRPr="00C646EE">
        <w:rPr>
          <w:i/>
          <w:iCs/>
        </w:rPr>
        <w:t>B. mallei</w:t>
      </w:r>
      <w:r w:rsidRPr="00C646EE">
        <w:t xml:space="preserve"> (</w:t>
      </w:r>
      <w:proofErr w:type="spellStart"/>
      <w:r w:rsidRPr="00C646EE">
        <w:t>Elschner</w:t>
      </w:r>
      <w:proofErr w:type="spellEnd"/>
      <w:r w:rsidRPr="00C646EE">
        <w:t xml:space="preserve"> et al, 2019; </w:t>
      </w:r>
      <w:proofErr w:type="spellStart"/>
      <w:r w:rsidRPr="00C646EE">
        <w:t>Wernery</w:t>
      </w:r>
      <w:proofErr w:type="spellEnd"/>
      <w:r w:rsidRPr="00C646EE">
        <w:t xml:space="preserve"> 2019). </w:t>
      </w:r>
    </w:p>
    <w:p w14:paraId="7E03FF90" w14:textId="77777777" w:rsidR="00761A64" w:rsidRPr="00C646EE" w:rsidRDefault="00761A64" w:rsidP="00761A64">
      <w:pPr>
        <w:rPr>
          <w:i/>
          <w:iCs/>
          <w:u w:val="single"/>
        </w:rPr>
      </w:pPr>
      <w:r w:rsidRPr="00C646EE">
        <w:rPr>
          <w:i/>
          <w:iCs/>
          <w:u w:val="single"/>
        </w:rPr>
        <w:t>Enzyme linked immunosorbent assay (ELISA)</w:t>
      </w:r>
    </w:p>
    <w:p w14:paraId="7A7040A7" w14:textId="579F3334" w:rsidR="00761A64" w:rsidRPr="00C646EE" w:rsidRDefault="00761A64" w:rsidP="00761A64">
      <w:r w:rsidRPr="00C646EE">
        <w:t xml:space="preserve">Several ELISA tests have been developed commercially to diagnose glanders in horses. These tests have not been fully validated due to the lack of true positive sera samples to complete a </w:t>
      </w:r>
      <w:proofErr w:type="gramStart"/>
      <w:r w:rsidRPr="00C646EE">
        <w:t>large scale</w:t>
      </w:r>
      <w:proofErr w:type="gramEnd"/>
      <w:r w:rsidRPr="00C646EE">
        <w:t xml:space="preserve"> study of diagnostic tests (</w:t>
      </w:r>
      <w:proofErr w:type="spellStart"/>
      <w:r w:rsidRPr="00C646EE">
        <w:t>Elschner</w:t>
      </w:r>
      <w:proofErr w:type="spellEnd"/>
      <w:r w:rsidRPr="00C646EE">
        <w:t xml:space="preserve"> et al, 2019; </w:t>
      </w:r>
      <w:proofErr w:type="spellStart"/>
      <w:r w:rsidRPr="00C646EE">
        <w:t>Elschner</w:t>
      </w:r>
      <w:proofErr w:type="spellEnd"/>
      <w:r w:rsidRPr="00C646EE">
        <w:t xml:space="preserve"> et al, 2021). ELISA tests have limited application and are not suitable for screening prior to the international movement of horses (</w:t>
      </w:r>
      <w:r w:rsidR="003C6D77">
        <w:t>WOAH</w:t>
      </w:r>
      <w:r w:rsidRPr="00C646EE">
        <w:t xml:space="preserve"> Manual</w:t>
      </w:r>
      <w:r w:rsidR="004A3327" w:rsidRPr="00C646EE">
        <w:t>, 2020</w:t>
      </w:r>
      <w:r w:rsidRPr="00C646EE">
        <w:t xml:space="preserve">; Khan et al, 2012). Like CFT, these serological tests are not sensitive enough to differentiate between </w:t>
      </w:r>
      <w:r w:rsidRPr="00C646EE">
        <w:rPr>
          <w:i/>
        </w:rPr>
        <w:t xml:space="preserve">B. mallei </w:t>
      </w:r>
      <w:r w:rsidRPr="00C646EE">
        <w:t xml:space="preserve">and </w:t>
      </w:r>
      <w:r w:rsidRPr="00C646EE">
        <w:rPr>
          <w:i/>
        </w:rPr>
        <w:t xml:space="preserve">B. </w:t>
      </w:r>
      <w:proofErr w:type="spellStart"/>
      <w:r w:rsidRPr="00C646EE">
        <w:rPr>
          <w:i/>
        </w:rPr>
        <w:t>pseudomallei</w:t>
      </w:r>
      <w:proofErr w:type="spellEnd"/>
      <w:r w:rsidRPr="00C646EE">
        <w:rPr>
          <w:i/>
        </w:rPr>
        <w:t>,</w:t>
      </w:r>
      <w:r w:rsidRPr="00C646EE">
        <w:t xml:space="preserve"> with antibodies attaching to common epitopes of antigens</w:t>
      </w:r>
      <w:r w:rsidRPr="00C646EE">
        <w:rPr>
          <w:i/>
        </w:rPr>
        <w:t xml:space="preserve"> </w:t>
      </w:r>
      <w:r w:rsidRPr="00C646EE">
        <w:t xml:space="preserve">(Verma et al, 2014). The sensitivity and specificity of different ELISA tests range </w:t>
      </w:r>
      <w:r w:rsidR="00CA5501">
        <w:t>from</w:t>
      </w:r>
      <w:r w:rsidRPr="00C646EE">
        <w:t xml:space="preserve"> 85%</w:t>
      </w:r>
      <w:r w:rsidR="00601C72">
        <w:t xml:space="preserve"> to </w:t>
      </w:r>
      <w:r w:rsidRPr="00C646EE">
        <w:t>92.5% and 99.5%</w:t>
      </w:r>
      <w:r w:rsidR="00601C72">
        <w:t xml:space="preserve"> to </w:t>
      </w:r>
      <w:r w:rsidRPr="00C646EE">
        <w:t>100% respectively (</w:t>
      </w:r>
      <w:proofErr w:type="spellStart"/>
      <w:r w:rsidRPr="00C646EE">
        <w:t>Shakibamehr</w:t>
      </w:r>
      <w:proofErr w:type="spellEnd"/>
      <w:r w:rsidRPr="00C646EE">
        <w:t xml:space="preserve"> et al, 2021, </w:t>
      </w:r>
      <w:proofErr w:type="spellStart"/>
      <w:r w:rsidRPr="00C646EE">
        <w:t>Elschner</w:t>
      </w:r>
      <w:proofErr w:type="spellEnd"/>
      <w:r w:rsidRPr="00C646EE">
        <w:t xml:space="preserve"> et al, 2019; Sprague et al 2009). </w:t>
      </w:r>
    </w:p>
    <w:p w14:paraId="3F6D44EC" w14:textId="77777777" w:rsidR="00761A64" w:rsidRPr="00C646EE" w:rsidRDefault="00761A64" w:rsidP="00761A64">
      <w:pPr>
        <w:rPr>
          <w:i/>
        </w:rPr>
      </w:pPr>
      <w:r w:rsidRPr="00C646EE">
        <w:rPr>
          <w:i/>
        </w:rPr>
        <w:t>Molecular testing</w:t>
      </w:r>
    </w:p>
    <w:p w14:paraId="5DF9EE1F" w14:textId="77777777" w:rsidR="00761A64" w:rsidRPr="00C646EE" w:rsidRDefault="00761A64" w:rsidP="00761A64">
      <w:pPr>
        <w:rPr>
          <w:i/>
          <w:u w:val="single"/>
        </w:rPr>
      </w:pPr>
      <w:r w:rsidRPr="00C646EE">
        <w:rPr>
          <w:i/>
          <w:u w:val="single"/>
        </w:rPr>
        <w:t>Polymerase chain reaction (PCR)</w:t>
      </w:r>
    </w:p>
    <w:p w14:paraId="5830F3AD" w14:textId="29A3BA36" w:rsidR="00761A64" w:rsidRPr="00C646EE" w:rsidRDefault="00761A64" w:rsidP="00761A64">
      <w:r w:rsidRPr="00C646EE">
        <w:t xml:space="preserve">Due to the close genetic relationship between </w:t>
      </w:r>
      <w:r w:rsidRPr="00C646EE">
        <w:rPr>
          <w:i/>
          <w:iCs/>
        </w:rPr>
        <w:t>B. mallei</w:t>
      </w:r>
      <w:r w:rsidRPr="00C646EE">
        <w:t xml:space="preserve"> and </w:t>
      </w:r>
      <w:r w:rsidRPr="00C646EE">
        <w:rPr>
          <w:i/>
          <w:iCs/>
        </w:rPr>
        <w:t xml:space="preserve">B. </w:t>
      </w:r>
      <w:proofErr w:type="spellStart"/>
      <w:r w:rsidRPr="00C646EE">
        <w:rPr>
          <w:i/>
          <w:iCs/>
        </w:rPr>
        <w:t>pseudomallei</w:t>
      </w:r>
      <w:proofErr w:type="spellEnd"/>
      <w:r w:rsidRPr="00C646EE">
        <w:t xml:space="preserve">, development of molecular tests has been difficult. However, PCR assays have been developed to identify infected animals and differentiate between </w:t>
      </w:r>
      <w:r w:rsidRPr="00C646EE">
        <w:rPr>
          <w:i/>
        </w:rPr>
        <w:t xml:space="preserve">B. mallei </w:t>
      </w:r>
      <w:r w:rsidRPr="00C646EE">
        <w:t xml:space="preserve">and </w:t>
      </w:r>
      <w:r w:rsidRPr="00C646EE">
        <w:rPr>
          <w:i/>
        </w:rPr>
        <w:t xml:space="preserve">B. </w:t>
      </w:r>
      <w:proofErr w:type="spellStart"/>
      <w:r w:rsidRPr="00C646EE">
        <w:rPr>
          <w:i/>
        </w:rPr>
        <w:t>pseudomallei</w:t>
      </w:r>
      <w:proofErr w:type="spellEnd"/>
      <w:r w:rsidRPr="00C646EE">
        <w:rPr>
          <w:i/>
        </w:rPr>
        <w:t xml:space="preserve"> </w:t>
      </w:r>
      <w:r w:rsidRPr="00C646EE">
        <w:rPr>
          <w:iCs/>
        </w:rPr>
        <w:t>(Ulrich, 2006; Abreu, 2020; Lowe 2016)</w:t>
      </w:r>
      <w:r w:rsidRPr="00C646EE">
        <w:t xml:space="preserve">. Two assays are described in the </w:t>
      </w:r>
      <w:r w:rsidR="003C6D77">
        <w:t>WOAH</w:t>
      </w:r>
      <w:r w:rsidRPr="00C646EE">
        <w:t xml:space="preserve"> Manual, but neither have been fully validated or studied in different laboratories (</w:t>
      </w:r>
      <w:r w:rsidR="003C6D77">
        <w:t>WOAH</w:t>
      </w:r>
      <w:r w:rsidRPr="00C646EE">
        <w:t xml:space="preserve"> Manual, 20</w:t>
      </w:r>
      <w:r w:rsidR="004A3327" w:rsidRPr="00C646EE">
        <w:t>20</w:t>
      </w:r>
      <w:r w:rsidRPr="00C646EE">
        <w:t xml:space="preserve">). The specific genetic evolution of </w:t>
      </w:r>
      <w:r w:rsidRPr="00C646EE">
        <w:rPr>
          <w:i/>
          <w:iCs/>
        </w:rPr>
        <w:t>B.</w:t>
      </w:r>
      <w:r w:rsidR="00282BA0">
        <w:rPr>
          <w:i/>
          <w:iCs/>
        </w:rPr>
        <w:t> </w:t>
      </w:r>
      <w:r w:rsidRPr="00C646EE">
        <w:rPr>
          <w:i/>
          <w:iCs/>
        </w:rPr>
        <w:t>mallei</w:t>
      </w:r>
      <w:r w:rsidRPr="00C646EE">
        <w:t xml:space="preserve"> means that its genome may be unstable during passaging in the laboratory, rendering the test results invalid if not regularly monitored</w:t>
      </w:r>
      <w:r w:rsidRPr="00C646EE">
        <w:rPr>
          <w:iCs/>
        </w:rPr>
        <w:t xml:space="preserve"> (Ulrich et al., 2006)</w:t>
      </w:r>
      <w:r w:rsidRPr="00C646EE">
        <w:t xml:space="preserve">. The sensitivity of the available molecular assays is not well described for clinical </w:t>
      </w:r>
      <w:proofErr w:type="gramStart"/>
      <w:r w:rsidRPr="00C646EE">
        <w:t>samples,</w:t>
      </w:r>
      <w:proofErr w:type="gramEnd"/>
      <w:r w:rsidRPr="00C646EE">
        <w:t xml:space="preserve"> thus a negative result cannot be used to rule out a glanders infection (</w:t>
      </w:r>
      <w:r w:rsidR="003C6D77">
        <w:t>WOAH</w:t>
      </w:r>
      <w:r w:rsidRPr="00C646EE">
        <w:t xml:space="preserve"> Manual, 20</w:t>
      </w:r>
      <w:r w:rsidR="004A3327" w:rsidRPr="00C646EE">
        <w:t>20</w:t>
      </w:r>
      <w:r w:rsidRPr="00C646EE">
        <w:t xml:space="preserve">). The samples recommended for PCR testing are tissue samples from skin, lung, mucous membrane of the nasal </w:t>
      </w:r>
      <w:r w:rsidRPr="00C646EE">
        <w:lastRenderedPageBreak/>
        <w:t xml:space="preserve">conchae and </w:t>
      </w:r>
      <w:proofErr w:type="spellStart"/>
      <w:r w:rsidRPr="00C646EE">
        <w:t>septae</w:t>
      </w:r>
      <w:proofErr w:type="spellEnd"/>
      <w:r w:rsidRPr="00C646EE">
        <w:t>, liver or spleen, that have been inactivated and preserved in formalin</w:t>
      </w:r>
      <w:r w:rsidR="00B444B0" w:rsidRPr="00C646EE">
        <w:t xml:space="preserve"> (</w:t>
      </w:r>
      <w:r w:rsidR="003C6D77">
        <w:t>WOAH</w:t>
      </w:r>
      <w:r w:rsidR="00B444B0" w:rsidRPr="00C646EE">
        <w:t xml:space="preserve"> Manual, 2020</w:t>
      </w:r>
      <w:r w:rsidRPr="00C646EE">
        <w:t>). Serum is not a recommended sample for PCR testing. To enhance test applicability, it is recommended that PCR be run in conjunction with other tests (</w:t>
      </w:r>
      <w:r w:rsidR="003C6D77">
        <w:t>WOAH</w:t>
      </w:r>
      <w:r w:rsidRPr="00C646EE">
        <w:t xml:space="preserve"> Manual, 20</w:t>
      </w:r>
      <w:r w:rsidR="004A3327" w:rsidRPr="00C646EE">
        <w:t>20</w:t>
      </w:r>
      <w:r w:rsidRPr="00C646EE">
        <w:t xml:space="preserve">). </w:t>
      </w:r>
    </w:p>
    <w:p w14:paraId="5045DED9" w14:textId="5EEA20C6" w:rsidR="004A0FA3" w:rsidRPr="00C646EE" w:rsidRDefault="00C61A7B" w:rsidP="00761A64">
      <w:pPr>
        <w:pStyle w:val="Heading5"/>
      </w:pPr>
      <w:r w:rsidRPr="00C646EE">
        <w:t>Treatment</w:t>
      </w:r>
    </w:p>
    <w:p w14:paraId="4C626141" w14:textId="6EB90C89" w:rsidR="00761A64" w:rsidRPr="00C646EE" w:rsidRDefault="00761A64" w:rsidP="00761A64">
      <w:r w:rsidRPr="00C646EE">
        <w:t xml:space="preserve">Antibiotics are not recommended for the treatment of infected horses, </w:t>
      </w:r>
      <w:proofErr w:type="gramStart"/>
      <w:r w:rsidRPr="00C646EE">
        <w:t>donkeys</w:t>
      </w:r>
      <w:proofErr w:type="gramEnd"/>
      <w:r w:rsidRPr="00C646EE">
        <w:t xml:space="preserve"> or mules. </w:t>
      </w:r>
      <w:r w:rsidRPr="00C646EE">
        <w:rPr>
          <w:i/>
        </w:rPr>
        <w:t>B.</w:t>
      </w:r>
      <w:r w:rsidR="00FA073F">
        <w:rPr>
          <w:i/>
        </w:rPr>
        <w:t> </w:t>
      </w:r>
      <w:r w:rsidRPr="00C646EE">
        <w:rPr>
          <w:i/>
        </w:rPr>
        <w:t>mallei</w:t>
      </w:r>
      <w:r w:rsidRPr="00C646EE">
        <w:t xml:space="preserve"> is resistant to many antibiotics and requires long term administration of a combination of antibiotics. Ineffective treatment with antibiotics may also result in the development of a chronic or latent infection. </w:t>
      </w:r>
      <w:r w:rsidRPr="00C646EE">
        <w:rPr>
          <w:color w:val="000000"/>
        </w:rPr>
        <w:t xml:space="preserve">A </w:t>
      </w:r>
      <w:proofErr w:type="gramStart"/>
      <w:r w:rsidRPr="00C646EE">
        <w:rPr>
          <w:color w:val="000000"/>
        </w:rPr>
        <w:t>12</w:t>
      </w:r>
      <w:r w:rsidR="00601C72">
        <w:rPr>
          <w:color w:val="000000"/>
        </w:rPr>
        <w:t xml:space="preserve"> </w:t>
      </w:r>
      <w:r w:rsidRPr="00C646EE">
        <w:rPr>
          <w:color w:val="000000"/>
        </w:rPr>
        <w:t>week</w:t>
      </w:r>
      <w:proofErr w:type="gramEnd"/>
      <w:r w:rsidRPr="00C646EE">
        <w:rPr>
          <w:color w:val="000000"/>
        </w:rPr>
        <w:t xml:space="preserve"> treatment protocol consisting of parenteral administration of enrofloxacin and trimethoprim/sulfadiazine, followed by the oral administration of doxycycline was implemented during a confined glanders outbreak in 23 horses in Lahore, Pakistan (Saqib et al, 2012). Antibiotic treatment did not lead to recrudescence over the </w:t>
      </w:r>
      <w:proofErr w:type="gramStart"/>
      <w:r w:rsidRPr="00C646EE">
        <w:rPr>
          <w:color w:val="000000"/>
        </w:rPr>
        <w:t>360</w:t>
      </w:r>
      <w:r w:rsidR="00601C72">
        <w:rPr>
          <w:color w:val="000000"/>
        </w:rPr>
        <w:t xml:space="preserve"> </w:t>
      </w:r>
      <w:r w:rsidRPr="00C646EE">
        <w:rPr>
          <w:color w:val="000000"/>
        </w:rPr>
        <w:t>day</w:t>
      </w:r>
      <w:proofErr w:type="gramEnd"/>
      <w:r w:rsidRPr="00C646EE">
        <w:rPr>
          <w:color w:val="000000"/>
        </w:rPr>
        <w:t xml:space="preserve"> follow-up period suggesting that long term courses of antibiotics may be effective (Saqib et al, 2012). However, this treatment regime</w:t>
      </w:r>
      <w:r w:rsidR="00CA5501">
        <w:rPr>
          <w:color w:val="000000"/>
        </w:rPr>
        <w:t>n</w:t>
      </w:r>
      <w:r w:rsidRPr="00C646EE">
        <w:rPr>
          <w:color w:val="000000"/>
        </w:rPr>
        <w:t xml:space="preserve"> is expensive, and additional studies are required with larger sample sizes and </w:t>
      </w:r>
      <w:proofErr w:type="gramStart"/>
      <w:r w:rsidRPr="00C646EE">
        <w:rPr>
          <w:color w:val="000000"/>
        </w:rPr>
        <w:t>longer term</w:t>
      </w:r>
      <w:proofErr w:type="gramEnd"/>
      <w:r w:rsidRPr="00C646EE">
        <w:rPr>
          <w:color w:val="000000"/>
        </w:rPr>
        <w:t xml:space="preserve"> follow-up to determine if this antibiotic protocol is effective. Treatment of infected horses outside of endemic areas is usually not recommended due to the </w:t>
      </w:r>
      <w:r w:rsidR="006A1A71">
        <w:rPr>
          <w:color w:val="000000"/>
        </w:rPr>
        <w:t xml:space="preserve">zoonotic </w:t>
      </w:r>
      <w:r w:rsidRPr="00C646EE">
        <w:rPr>
          <w:color w:val="000000"/>
        </w:rPr>
        <w:t>potential.</w:t>
      </w:r>
    </w:p>
    <w:p w14:paraId="7681D331" w14:textId="652BC90E" w:rsidR="004A0FA3" w:rsidRPr="00C646EE" w:rsidRDefault="000D738A" w:rsidP="00761A64">
      <w:pPr>
        <w:pStyle w:val="Heading5"/>
      </w:pPr>
      <w:r w:rsidRPr="00C646EE">
        <w:t>Control</w:t>
      </w:r>
    </w:p>
    <w:p w14:paraId="192D9089" w14:textId="77777777" w:rsidR="00761A64" w:rsidRPr="00C646EE" w:rsidRDefault="00761A64" w:rsidP="00761A64">
      <w:pPr>
        <w:rPr>
          <w:i/>
          <w:u w:val="single"/>
        </w:rPr>
      </w:pPr>
      <w:r w:rsidRPr="00C646EE">
        <w:rPr>
          <w:i/>
          <w:u w:val="single"/>
        </w:rPr>
        <w:t>Vaccination</w:t>
      </w:r>
    </w:p>
    <w:p w14:paraId="040EA865" w14:textId="6EBC39CB" w:rsidR="00761A64" w:rsidRPr="00C646EE" w:rsidRDefault="00761A64" w:rsidP="00761A64">
      <w:r w:rsidRPr="00C646EE">
        <w:t xml:space="preserve">There are currently no commercial vaccines available to control </w:t>
      </w:r>
      <w:r w:rsidRPr="00C646EE">
        <w:rPr>
          <w:i/>
        </w:rPr>
        <w:t>B. mallei</w:t>
      </w:r>
      <w:r w:rsidRPr="00C646EE">
        <w:t xml:space="preserve"> infection in animals or humans. There have been no published studies evaluating a vaccine for horses. Heat-killed </w:t>
      </w:r>
      <w:r w:rsidRPr="00C646EE">
        <w:rPr>
          <w:i/>
        </w:rPr>
        <w:t>B.</w:t>
      </w:r>
      <w:r w:rsidR="00CA5501">
        <w:rPr>
          <w:i/>
        </w:rPr>
        <w:t> </w:t>
      </w:r>
      <w:r w:rsidRPr="00C646EE">
        <w:rPr>
          <w:i/>
        </w:rPr>
        <w:t xml:space="preserve">mallei </w:t>
      </w:r>
      <w:r w:rsidRPr="00C646EE">
        <w:t xml:space="preserve">vaccines have been shown to confer limited protection against infection in a mouse model </w:t>
      </w:r>
      <w:r w:rsidR="004A3327" w:rsidRPr="00C646EE">
        <w:t>(Whitlock et al,</w:t>
      </w:r>
      <w:r w:rsidRPr="00C646EE">
        <w:t xml:space="preserve"> 2008). Ulrich et al (2005) examined the ability of two live attenuated vaccines </w:t>
      </w:r>
      <w:r w:rsidRPr="00C646EE">
        <w:rPr>
          <w:iCs/>
        </w:rPr>
        <w:t xml:space="preserve">to </w:t>
      </w:r>
      <w:r w:rsidRPr="00C646EE">
        <w:t xml:space="preserve">induce immunity in mice exposed to aerosolised </w:t>
      </w:r>
      <w:r w:rsidRPr="00C646EE">
        <w:rPr>
          <w:i/>
          <w:iCs/>
        </w:rPr>
        <w:t>B. mallei</w:t>
      </w:r>
      <w:r w:rsidRPr="00C646EE">
        <w:t xml:space="preserve">. Partial immunity to aerosolised </w:t>
      </w:r>
      <w:r w:rsidRPr="00C646EE">
        <w:rPr>
          <w:i/>
        </w:rPr>
        <w:t>B. mallei</w:t>
      </w:r>
      <w:r w:rsidRPr="00C646EE">
        <w:t xml:space="preserve"> was seen with one of the vaccines administered to mice (Ulrich et al 2005). Despite this, </w:t>
      </w:r>
      <w:r w:rsidRPr="00C646EE">
        <w:rPr>
          <w:i/>
        </w:rPr>
        <w:t>B. mallei</w:t>
      </w:r>
      <w:r w:rsidRPr="00C646EE">
        <w:t xml:space="preserve"> was still detected in the splenic cells of all mice which survived the low dose </w:t>
      </w:r>
      <w:r w:rsidRPr="00C646EE">
        <w:rPr>
          <w:i/>
          <w:iCs/>
        </w:rPr>
        <w:t>B. mallei</w:t>
      </w:r>
      <w:r w:rsidRPr="00C646EE">
        <w:t xml:space="preserve"> suggesting the vaccine allowed the mice to survive a usually lethal challenge but not clear the infection (Ulrich et al, 2005). This implies that vaccinated mice could be infective and transmit glanders. </w:t>
      </w:r>
    </w:p>
    <w:p w14:paraId="415EEF40" w14:textId="77777777" w:rsidR="00761A64" w:rsidRPr="00C646EE" w:rsidRDefault="00761A64" w:rsidP="00761A64">
      <w:pPr>
        <w:rPr>
          <w:i/>
          <w:u w:val="single"/>
        </w:rPr>
      </w:pPr>
      <w:r w:rsidRPr="00C646EE">
        <w:rPr>
          <w:i/>
          <w:u w:val="single"/>
        </w:rPr>
        <w:t>Eradication</w:t>
      </w:r>
    </w:p>
    <w:p w14:paraId="720D4BCE" w14:textId="77F9C6F9" w:rsidR="00761A64" w:rsidRPr="00C646EE" w:rsidRDefault="00761A64" w:rsidP="00761A64">
      <w:r w:rsidRPr="00C646EE">
        <w:t xml:space="preserve">Stamping out procedures are common in glanders control programs. The Indian government published </w:t>
      </w:r>
      <w:r w:rsidR="00D644EC">
        <w:t>t</w:t>
      </w:r>
      <w:r w:rsidRPr="00C646EE">
        <w:t xml:space="preserve">he ‘2016 Action Plan for Control and Containment of Glanders in </w:t>
      </w:r>
      <w:r w:rsidR="00896A8A">
        <w:t>Horse</w:t>
      </w:r>
      <w:r w:rsidRPr="00C646EE">
        <w:t xml:space="preserve">s’ and the ‘2019 National Action Plan for Control and Eradication of Glanders in India’ which require all </w:t>
      </w:r>
      <w:r w:rsidR="00896A8A">
        <w:t>horses</w:t>
      </w:r>
      <w:r w:rsidRPr="00C646EE">
        <w:t xml:space="preserve"> suspected to have glanders to undergo testing and be </w:t>
      </w:r>
      <w:proofErr w:type="spellStart"/>
      <w:r w:rsidRPr="00C646EE">
        <w:t>euthanased</w:t>
      </w:r>
      <w:proofErr w:type="spellEnd"/>
      <w:r w:rsidRPr="00C646EE">
        <w:t xml:space="preserve"> to prevent spread of the disease (Indian </w:t>
      </w:r>
      <w:r w:rsidR="00AA5FC9" w:rsidRPr="00C646EE">
        <w:t>Department of Animal Husbandry, Dairying and Fisheries</w:t>
      </w:r>
      <w:r w:rsidRPr="00C646EE">
        <w:t xml:space="preserve">, 2016; Indian Department of Animal Husbandry and Dairying; 2019). In preparation for the 2016 Olympics, the Brazilian Ministry of Agriculture, Livestock and Supply updated the National </w:t>
      </w:r>
      <w:r w:rsidR="00896A8A">
        <w:t>Horse</w:t>
      </w:r>
      <w:r w:rsidRPr="00C646EE">
        <w:t xml:space="preserve"> Health Program to include glanders.</w:t>
      </w:r>
      <w:r w:rsidR="00873171">
        <w:t xml:space="preserve"> </w:t>
      </w:r>
      <w:r w:rsidRPr="00C646EE">
        <w:t>This program required the compulsory euthanasia of all glanders positive horses detected in Brazil with no owner compensation (</w:t>
      </w:r>
      <w:proofErr w:type="spellStart"/>
      <w:r w:rsidRPr="00C646EE">
        <w:t>Fonesca</w:t>
      </w:r>
      <w:proofErr w:type="spellEnd"/>
      <w:r w:rsidRPr="00C646EE">
        <w:t xml:space="preserve">-Rodriguez et al, 2019). Testing and euthanasia of glanders positive </w:t>
      </w:r>
      <w:r w:rsidR="00896A8A">
        <w:t>horses</w:t>
      </w:r>
      <w:r w:rsidRPr="00C646EE">
        <w:t xml:space="preserve"> remains in place in Brazil. In 2018, Indonesia detected 10 glanders positive horses when conducting sampling to establish a </w:t>
      </w:r>
      <w:r w:rsidR="00896A8A">
        <w:t>horse</w:t>
      </w:r>
      <w:r w:rsidRPr="00C646EE">
        <w:t xml:space="preserve"> disease free zone for the 18</w:t>
      </w:r>
      <w:r w:rsidRPr="00C646EE">
        <w:rPr>
          <w:vertAlign w:val="superscript"/>
        </w:rPr>
        <w:t>th</w:t>
      </w:r>
      <w:r w:rsidRPr="00C646EE">
        <w:t xml:space="preserve"> Asian Games (</w:t>
      </w:r>
      <w:proofErr w:type="spellStart"/>
      <w:r w:rsidRPr="00C646EE">
        <w:t>ProMed</w:t>
      </w:r>
      <w:proofErr w:type="spellEnd"/>
      <w:r w:rsidRPr="00C646EE">
        <w:t xml:space="preserve">, 2018). All 10 horses were </w:t>
      </w:r>
      <w:proofErr w:type="spellStart"/>
      <w:r w:rsidRPr="00C646EE">
        <w:t>euthanased</w:t>
      </w:r>
      <w:proofErr w:type="spellEnd"/>
      <w:r w:rsidRPr="00C646EE">
        <w:t xml:space="preserve"> (</w:t>
      </w:r>
      <w:proofErr w:type="spellStart"/>
      <w:r w:rsidRPr="00C646EE">
        <w:t>ProMed</w:t>
      </w:r>
      <w:proofErr w:type="spellEnd"/>
      <w:r w:rsidRPr="00C646EE">
        <w:t xml:space="preserve">, 2018). </w:t>
      </w:r>
    </w:p>
    <w:p w14:paraId="03220AB6" w14:textId="35E05E33" w:rsidR="00761A64" w:rsidRPr="00C646EE" w:rsidRDefault="00761A64" w:rsidP="00761A64">
      <w:r w:rsidRPr="00C646EE">
        <w:lastRenderedPageBreak/>
        <w:t>In Australia, glanders is a Category 2 disease in the Emergency Animal Disease Response Agreement (EADRA). This means that the cost of disease control would be shared 80% by government and 20% by industry (Animal Health Australia, 2018). In the event of a glanders outbreak in Australia, Australia</w:t>
      </w:r>
      <w:r w:rsidR="008924D5">
        <w:t>’s</w:t>
      </w:r>
      <w:r w:rsidRPr="00C646EE">
        <w:t xml:space="preserve"> policy </w:t>
      </w:r>
      <w:r w:rsidR="008924D5">
        <w:t xml:space="preserve">is </w:t>
      </w:r>
      <w:r w:rsidRPr="00C646EE">
        <w:t xml:space="preserve">to identify and destroy infected animals, quarantine infected </w:t>
      </w:r>
      <w:proofErr w:type="gramStart"/>
      <w:r w:rsidRPr="00C646EE">
        <w:t>premises</w:t>
      </w:r>
      <w:proofErr w:type="gramEnd"/>
      <w:r w:rsidRPr="00C646EE">
        <w:t xml:space="preserve"> and disinfect or destroy all possible fomites (A</w:t>
      </w:r>
      <w:r w:rsidR="00D644EC">
        <w:t xml:space="preserve">nimal </w:t>
      </w:r>
      <w:r w:rsidRPr="00C646EE">
        <w:t>H</w:t>
      </w:r>
      <w:r w:rsidR="00D644EC">
        <w:t xml:space="preserve">ealth </w:t>
      </w:r>
      <w:r w:rsidRPr="00C646EE">
        <w:t>A</w:t>
      </w:r>
      <w:r w:rsidR="00D644EC">
        <w:t>ustralia</w:t>
      </w:r>
      <w:r w:rsidRPr="00C646EE">
        <w:t xml:space="preserve">, 2018). This policy would be supported with movement controls, </w:t>
      </w:r>
      <w:proofErr w:type="gramStart"/>
      <w:r w:rsidRPr="00C646EE">
        <w:t>surveillance</w:t>
      </w:r>
      <w:proofErr w:type="gramEnd"/>
      <w:r w:rsidRPr="00C646EE">
        <w:t xml:space="preserve"> and public awareness campaigns (A</w:t>
      </w:r>
      <w:r w:rsidR="00D644EC">
        <w:t xml:space="preserve">nimal </w:t>
      </w:r>
      <w:r w:rsidRPr="00C646EE">
        <w:t>H</w:t>
      </w:r>
      <w:r w:rsidR="00D644EC">
        <w:t xml:space="preserve">ealth </w:t>
      </w:r>
      <w:r w:rsidRPr="00C646EE">
        <w:t>A</w:t>
      </w:r>
      <w:r w:rsidR="00D644EC">
        <w:t>ustralia</w:t>
      </w:r>
      <w:r w:rsidRPr="00C646EE">
        <w:t xml:space="preserve">, 2018). </w:t>
      </w:r>
    </w:p>
    <w:p w14:paraId="49AF2A3E" w14:textId="2B833990" w:rsidR="004A0FA3" w:rsidRPr="00C646EE" w:rsidRDefault="006868A7" w:rsidP="001474C4">
      <w:pPr>
        <w:pStyle w:val="Heading4"/>
        <w:numPr>
          <w:ilvl w:val="0"/>
          <w:numId w:val="0"/>
        </w:numPr>
        <w:tabs>
          <w:tab w:val="left" w:pos="6615"/>
        </w:tabs>
        <w:ind w:left="794" w:hanging="794"/>
      </w:pPr>
      <w:r w:rsidRPr="00C646EE">
        <w:t>Current biosecurity measures</w:t>
      </w:r>
      <w:r w:rsidR="001474C4">
        <w:tab/>
      </w:r>
    </w:p>
    <w:p w14:paraId="65AF65AB" w14:textId="18623112" w:rsidR="00761A64" w:rsidRPr="00C646EE" w:rsidRDefault="00B03A21" w:rsidP="00761A64">
      <w:pPr>
        <w:rPr>
          <w:rFonts w:cstheme="minorHAnsi"/>
        </w:rPr>
      </w:pPr>
      <w:r>
        <w:rPr>
          <w:rFonts w:cstheme="minorHAnsi"/>
        </w:rPr>
        <w:t xml:space="preserve">Australia has import conditions for horses and </w:t>
      </w:r>
      <w:r w:rsidR="00896A8A">
        <w:rPr>
          <w:rFonts w:cstheme="minorHAnsi"/>
        </w:rPr>
        <w:t>horse</w:t>
      </w:r>
      <w:r>
        <w:rPr>
          <w:rFonts w:cstheme="minorHAnsi"/>
        </w:rPr>
        <w:t xml:space="preserve"> semen. </w:t>
      </w:r>
      <w:r w:rsidR="00761A64" w:rsidRPr="00C646EE">
        <w:rPr>
          <w:rFonts w:cstheme="minorHAnsi"/>
        </w:rPr>
        <w:t xml:space="preserve">Currently, glanders is not present in any country that is approved to </w:t>
      </w:r>
      <w:r w:rsidR="00590A9B">
        <w:rPr>
          <w:rFonts w:cstheme="minorHAnsi"/>
        </w:rPr>
        <w:t>export</w:t>
      </w:r>
      <w:r w:rsidR="00590A9B" w:rsidRPr="00C646EE">
        <w:rPr>
          <w:rFonts w:cstheme="minorHAnsi"/>
        </w:rPr>
        <w:t xml:space="preserve"> </w:t>
      </w:r>
      <w:r w:rsidR="00761A64" w:rsidRPr="00C646EE">
        <w:rPr>
          <w:rFonts w:cstheme="minorHAnsi"/>
        </w:rPr>
        <w:t xml:space="preserve">horses or </w:t>
      </w:r>
      <w:r w:rsidR="00896A8A">
        <w:rPr>
          <w:rFonts w:cstheme="minorHAnsi"/>
        </w:rPr>
        <w:t>horse</w:t>
      </w:r>
      <w:r w:rsidR="00761A64" w:rsidRPr="00C646EE">
        <w:rPr>
          <w:rFonts w:cstheme="minorHAnsi"/>
        </w:rPr>
        <w:t xml:space="preserve"> semen to Australia. Australia’s current biosecurity measures are consistent with the </w:t>
      </w:r>
      <w:r w:rsidR="003C6D77">
        <w:rPr>
          <w:rFonts w:cstheme="minorHAnsi"/>
        </w:rPr>
        <w:t>WOAH</w:t>
      </w:r>
      <w:r w:rsidR="00761A64" w:rsidRPr="00C646EE">
        <w:rPr>
          <w:rFonts w:cstheme="minorHAnsi"/>
        </w:rPr>
        <w:t xml:space="preserve"> Code recommendations and require certification of country freedom from disease. </w:t>
      </w:r>
      <w:r w:rsidR="001474C4">
        <w:rPr>
          <w:rFonts w:cstheme="minorHAnsi"/>
        </w:rPr>
        <w:t>Australia’s relevant requirements are:</w:t>
      </w:r>
    </w:p>
    <w:p w14:paraId="14DC3AEC" w14:textId="77777777" w:rsidR="00761A64" w:rsidRPr="00C646EE" w:rsidRDefault="00761A64" w:rsidP="00761A64">
      <w:pPr>
        <w:rPr>
          <w:rFonts w:cstheme="minorHAnsi"/>
          <w:i/>
        </w:rPr>
      </w:pPr>
      <w:r w:rsidRPr="00C646EE">
        <w:rPr>
          <w:rFonts w:cstheme="minorHAnsi"/>
          <w:i/>
        </w:rPr>
        <w:t>Live horse clauses</w:t>
      </w:r>
    </w:p>
    <w:p w14:paraId="5FCD357E" w14:textId="77777777" w:rsidR="00761A64" w:rsidRPr="00C646EE" w:rsidRDefault="00761A64" w:rsidP="004C2F56">
      <w:pPr>
        <w:pStyle w:val="ListParagraph"/>
        <w:numPr>
          <w:ilvl w:val="0"/>
          <w:numId w:val="12"/>
        </w:numPr>
        <w:contextualSpacing/>
        <w:rPr>
          <w:rFonts w:cstheme="minorHAnsi"/>
          <w:i/>
        </w:rPr>
      </w:pPr>
      <w:r w:rsidRPr="00C646EE">
        <w:rPr>
          <w:rFonts w:cstheme="minorHAnsi"/>
          <w:i/>
        </w:rPr>
        <w:t>‘For 180 days immediately before export, or since birth if under six months of age, the horse was continuously resident and free of quarantine restriction in a country where no clinical, epidemiological or other evidence of glanders occurred during the previous three years before export and the disease is compulsorily notifiable.’</w:t>
      </w:r>
    </w:p>
    <w:p w14:paraId="5E8A00BB" w14:textId="30615ACB" w:rsidR="00761A64" w:rsidRPr="00C646EE" w:rsidRDefault="00761A64" w:rsidP="004C2F56">
      <w:pPr>
        <w:pStyle w:val="ListParagraph"/>
        <w:numPr>
          <w:ilvl w:val="0"/>
          <w:numId w:val="12"/>
        </w:numPr>
        <w:spacing w:before="100" w:beforeAutospacing="1" w:after="100" w:afterAutospacing="1" w:line="240" w:lineRule="auto"/>
        <w:contextualSpacing/>
        <w:rPr>
          <w:rFonts w:eastAsia="Times New Roman" w:cstheme="minorHAnsi"/>
          <w:i/>
          <w:lang w:eastAsia="en-AU"/>
        </w:rPr>
      </w:pPr>
      <w:r w:rsidRPr="00C646EE">
        <w:rPr>
          <w:rFonts w:eastAsia="Times New Roman" w:cstheme="minorHAnsi"/>
          <w:i/>
          <w:lang w:eastAsia="en-AU"/>
        </w:rPr>
        <w:t>‘</w:t>
      </w:r>
      <w:proofErr w:type="gramStart"/>
      <w:r w:rsidRPr="00C646EE">
        <w:rPr>
          <w:rFonts w:eastAsia="Times New Roman" w:cstheme="minorHAnsi"/>
          <w:i/>
          <w:lang w:eastAsia="en-AU"/>
        </w:rPr>
        <w:t>all</w:t>
      </w:r>
      <w:proofErr w:type="gramEnd"/>
      <w:r w:rsidRPr="00C646EE">
        <w:rPr>
          <w:rFonts w:eastAsia="Times New Roman" w:cstheme="minorHAnsi"/>
          <w:i/>
          <w:lang w:eastAsia="en-AU"/>
        </w:rPr>
        <w:t xml:space="preserve"> horses in the</w:t>
      </w:r>
      <w:r w:rsidR="00143DF8">
        <w:rPr>
          <w:rFonts w:eastAsia="Times New Roman" w:cstheme="minorHAnsi"/>
          <w:i/>
          <w:lang w:eastAsia="en-AU"/>
        </w:rPr>
        <w:t xml:space="preserve"> pre-export quarantine</w:t>
      </w:r>
      <w:r w:rsidRPr="00C646EE">
        <w:rPr>
          <w:rFonts w:eastAsia="Times New Roman" w:cstheme="minorHAnsi"/>
          <w:i/>
          <w:lang w:eastAsia="en-AU"/>
        </w:rPr>
        <w:t xml:space="preserve"> </w:t>
      </w:r>
      <w:r w:rsidR="00143DF8">
        <w:rPr>
          <w:rFonts w:eastAsia="Times New Roman" w:cstheme="minorHAnsi"/>
          <w:i/>
          <w:lang w:eastAsia="en-AU"/>
        </w:rPr>
        <w:t>(</w:t>
      </w:r>
      <w:r w:rsidRPr="00C646EE">
        <w:rPr>
          <w:rFonts w:eastAsia="Times New Roman" w:cstheme="minorHAnsi"/>
          <w:i/>
          <w:lang w:eastAsia="en-AU"/>
        </w:rPr>
        <w:t>PEQ</w:t>
      </w:r>
      <w:r w:rsidR="00143DF8">
        <w:rPr>
          <w:rFonts w:eastAsia="Times New Roman" w:cstheme="minorHAnsi"/>
          <w:i/>
          <w:lang w:eastAsia="en-AU"/>
        </w:rPr>
        <w:t>)</w:t>
      </w:r>
      <w:r w:rsidRPr="00C646EE">
        <w:rPr>
          <w:rFonts w:eastAsia="Times New Roman" w:cstheme="minorHAnsi"/>
          <w:i/>
          <w:lang w:eastAsia="en-AU"/>
        </w:rPr>
        <w:t xml:space="preserve"> facility remained free from evidence of infectious or contagious disease, and had no contact with </w:t>
      </w:r>
      <w:r w:rsidR="00896A8A">
        <w:rPr>
          <w:rFonts w:eastAsia="Times New Roman" w:cstheme="minorHAnsi"/>
          <w:i/>
          <w:lang w:eastAsia="en-AU"/>
        </w:rPr>
        <w:t>horses</w:t>
      </w:r>
      <w:r w:rsidRPr="00C646EE">
        <w:rPr>
          <w:rFonts w:eastAsia="Times New Roman" w:cstheme="minorHAnsi"/>
          <w:i/>
          <w:lang w:eastAsia="en-AU"/>
        </w:rPr>
        <w:t xml:space="preserve"> not of equivalent health status’</w:t>
      </w:r>
    </w:p>
    <w:p w14:paraId="2AEF8D22" w14:textId="77777777" w:rsidR="00761A64" w:rsidRPr="00C646EE" w:rsidRDefault="00761A64" w:rsidP="00761A64">
      <w:pPr>
        <w:spacing w:before="100" w:beforeAutospacing="1" w:after="100" w:afterAutospacing="1" w:line="240" w:lineRule="auto"/>
        <w:rPr>
          <w:rFonts w:eastAsia="Times New Roman" w:cstheme="minorHAnsi"/>
          <w:i/>
          <w:lang w:eastAsia="en-AU"/>
        </w:rPr>
      </w:pPr>
      <w:r w:rsidRPr="00C646EE">
        <w:rPr>
          <w:rFonts w:eastAsia="Times New Roman" w:cstheme="minorHAnsi"/>
          <w:i/>
          <w:lang w:eastAsia="en-AU"/>
        </w:rPr>
        <w:t>Semen clauses</w:t>
      </w:r>
    </w:p>
    <w:p w14:paraId="43060DD2" w14:textId="77777777" w:rsidR="00761A64" w:rsidRPr="00C646EE" w:rsidRDefault="00761A64" w:rsidP="004C2F56">
      <w:pPr>
        <w:pStyle w:val="ListParagraph"/>
        <w:numPr>
          <w:ilvl w:val="0"/>
          <w:numId w:val="13"/>
        </w:numPr>
        <w:spacing w:before="100" w:beforeAutospacing="1" w:after="100" w:afterAutospacing="1" w:line="240" w:lineRule="auto"/>
        <w:contextualSpacing/>
        <w:rPr>
          <w:rFonts w:eastAsia="Times New Roman" w:cstheme="minorHAnsi"/>
          <w:i/>
          <w:lang w:eastAsia="en-AU"/>
        </w:rPr>
      </w:pPr>
      <w:r w:rsidRPr="00C646EE">
        <w:rPr>
          <w:rFonts w:eastAsia="Times New Roman" w:cstheme="minorHAnsi"/>
          <w:i/>
          <w:lang w:eastAsia="en-AU"/>
        </w:rPr>
        <w:t>‘During the 2 months immediately prior to the first collection of semen for this consignment, the stallion was continuously resident in the approved country, where glanders is compulsorily notifiable and where glanders has not been reported during the 2 years immediately prior to, or during, the collection of semen for this consignment’</w:t>
      </w:r>
    </w:p>
    <w:p w14:paraId="5A4CFB2B" w14:textId="77777777" w:rsidR="00761A64" w:rsidRPr="00C646EE" w:rsidRDefault="00761A64" w:rsidP="004C2F56">
      <w:pPr>
        <w:pStyle w:val="ListParagraph"/>
        <w:numPr>
          <w:ilvl w:val="0"/>
          <w:numId w:val="13"/>
        </w:numPr>
        <w:spacing w:before="100" w:beforeAutospacing="1" w:after="100" w:afterAutospacing="1" w:line="240" w:lineRule="auto"/>
        <w:contextualSpacing/>
        <w:rPr>
          <w:rFonts w:cstheme="minorHAnsi"/>
          <w:i/>
        </w:rPr>
      </w:pPr>
      <w:r w:rsidRPr="00C646EE">
        <w:rPr>
          <w:rFonts w:cstheme="minorHAnsi"/>
          <w:i/>
        </w:rPr>
        <w:t>‘The donor stallion was examined by an approved veterinarian* on each day of collection of semen for this consignment and was clinically healthy’</w:t>
      </w:r>
      <w:r w:rsidRPr="00C646EE">
        <w:rPr>
          <w:rFonts w:cstheme="minorHAnsi"/>
          <w:vertAlign w:val="superscript"/>
        </w:rPr>
        <w:t>*An approved veterinarian is a veterinarian authorised by the government veterinary administration to supervise the semen collection centre.</w:t>
      </w:r>
    </w:p>
    <w:p w14:paraId="06C3417F" w14:textId="76814053" w:rsidR="00DD1A9E" w:rsidRPr="00DD1A9E" w:rsidRDefault="00FE537F" w:rsidP="00954597">
      <w:pPr>
        <w:rPr>
          <w:rFonts w:cstheme="minorHAnsi"/>
        </w:rPr>
      </w:pPr>
      <w:r>
        <w:rPr>
          <w:rFonts w:cstheme="minorHAnsi"/>
        </w:rPr>
        <w:t>Alternative arrangements that are e</w:t>
      </w:r>
      <w:r w:rsidR="00DD1A9E" w:rsidRPr="00DD1A9E">
        <w:rPr>
          <w:rFonts w:cstheme="minorHAnsi"/>
        </w:rPr>
        <w:t>quivalen</w:t>
      </w:r>
      <w:r>
        <w:rPr>
          <w:rFonts w:cstheme="minorHAnsi"/>
        </w:rPr>
        <w:t>t</w:t>
      </w:r>
      <w:r w:rsidR="004603AB">
        <w:rPr>
          <w:rFonts w:cstheme="minorHAnsi"/>
        </w:rPr>
        <w:t xml:space="preserve"> to these conditions</w:t>
      </w:r>
      <w:r w:rsidR="00DD1A9E" w:rsidRPr="00DD1A9E">
        <w:rPr>
          <w:rFonts w:cstheme="minorHAnsi"/>
        </w:rPr>
        <w:t xml:space="preserve"> may have been accepted by </w:t>
      </w:r>
      <w:r w:rsidR="004603AB">
        <w:rPr>
          <w:rFonts w:cstheme="minorHAnsi"/>
        </w:rPr>
        <w:t>the department</w:t>
      </w:r>
      <w:r w:rsidR="00DD1A9E" w:rsidRPr="00DD1A9E">
        <w:rPr>
          <w:rFonts w:cstheme="minorHAnsi"/>
        </w:rPr>
        <w:t xml:space="preserve"> during negotiation of specific </w:t>
      </w:r>
      <w:r w:rsidR="00DD1A9E">
        <w:rPr>
          <w:rFonts w:cstheme="minorHAnsi"/>
        </w:rPr>
        <w:t>veterinary health certificates</w:t>
      </w:r>
      <w:r w:rsidR="00DD1A9E" w:rsidRPr="00DD1A9E">
        <w:rPr>
          <w:rFonts w:cstheme="minorHAnsi"/>
        </w:rPr>
        <w:t xml:space="preserve"> with approved countries</w:t>
      </w:r>
      <w:r w:rsidR="00DD1A9E">
        <w:rPr>
          <w:rFonts w:cstheme="minorHAnsi"/>
        </w:rPr>
        <w:t>.</w:t>
      </w:r>
    </w:p>
    <w:p w14:paraId="70E48AF5" w14:textId="355130A0" w:rsidR="004A0FA3" w:rsidRPr="00C646EE" w:rsidRDefault="006868A7" w:rsidP="003D3B90">
      <w:pPr>
        <w:pStyle w:val="Heading4"/>
        <w:numPr>
          <w:ilvl w:val="0"/>
          <w:numId w:val="0"/>
        </w:numPr>
        <w:ind w:left="794" w:hanging="794"/>
      </w:pPr>
      <w:r w:rsidRPr="00C646EE">
        <w:t>Risk assessment</w:t>
      </w:r>
    </w:p>
    <w:p w14:paraId="6044145B" w14:textId="21C5043F" w:rsidR="00B86D43" w:rsidRDefault="00B86D43" w:rsidP="00761A64">
      <w:r>
        <w:t xml:space="preserve">Risk assessment is defined in the </w:t>
      </w:r>
      <w:r w:rsidR="003C6D77">
        <w:t>WOAH</w:t>
      </w:r>
      <w:r w:rsidR="00A10F82">
        <w:t xml:space="preserve"> </w:t>
      </w:r>
      <w:r>
        <w:t xml:space="preserve">Code as ‘… the evaluation of the likelihood and the biological and economic consequences of entry, establishment and spread of a hazard’. </w:t>
      </w:r>
    </w:p>
    <w:p w14:paraId="29D2222C" w14:textId="339C99E4" w:rsidR="00B86D43" w:rsidRDefault="00B86D43" w:rsidP="00761A64">
      <w:r w:rsidRPr="00B86D43">
        <w:t xml:space="preserve">Chapter 2.1 of the </w:t>
      </w:r>
      <w:r w:rsidR="003C6D77">
        <w:t>WOAH</w:t>
      </w:r>
      <w:r w:rsidR="00A10F82">
        <w:t xml:space="preserve"> </w:t>
      </w:r>
      <w:r w:rsidRPr="00B86D43">
        <w:t xml:space="preserve">Code provides recommendations for conducting </w:t>
      </w:r>
      <w:r>
        <w:t>import risk analyses</w:t>
      </w:r>
      <w:r w:rsidRPr="00B86D43">
        <w:t xml:space="preserve">, describing </w:t>
      </w:r>
      <w:r w:rsidR="00A86856">
        <w:t>the risk assessment steps in Article 2.1.4 as entry</w:t>
      </w:r>
      <w:r w:rsidRPr="00B86D43">
        <w:t>, exposure and consequence assessments and their integration into a risk estimation, producing overall outcome of the risks associated with the hazards identified at the outset.</w:t>
      </w:r>
      <w:r w:rsidR="00A86856">
        <w:t xml:space="preserve"> In this review the hazard identified is glanders.</w:t>
      </w:r>
    </w:p>
    <w:p w14:paraId="6A535302" w14:textId="26C64306" w:rsidR="00A86856" w:rsidRPr="008E01DF" w:rsidRDefault="00CD7143" w:rsidP="00601C72">
      <w:r>
        <w:t xml:space="preserve">This assessment was conducted using a qualitative approach. The likelihood that an event will occur was evaluated and reported qualitatively, using qualitative likelihood descriptors for the release and exposure assessment, and the outbreak scenario </w:t>
      </w:r>
      <w:r w:rsidR="00A86856">
        <w:t>in Table 1</w:t>
      </w:r>
      <w:r w:rsidR="000D757D">
        <w:t xml:space="preserve"> in Appendix 1</w:t>
      </w:r>
      <w:r w:rsidR="00A86856">
        <w:t>.</w:t>
      </w:r>
    </w:p>
    <w:p w14:paraId="5A48FF9F" w14:textId="067D7D0B" w:rsidR="00CD7143" w:rsidRDefault="00CD7143" w:rsidP="00A86856">
      <w:pPr>
        <w:rPr>
          <w:bCs/>
          <w:iCs/>
        </w:rPr>
      </w:pPr>
      <w:r>
        <w:rPr>
          <w:bCs/>
          <w:iCs/>
        </w:rPr>
        <w:lastRenderedPageBreak/>
        <w:t>Th</w:t>
      </w:r>
      <w:r w:rsidR="00A10F82">
        <w:rPr>
          <w:bCs/>
          <w:iCs/>
        </w:rPr>
        <w:t>is</w:t>
      </w:r>
      <w:r>
        <w:rPr>
          <w:bCs/>
          <w:iCs/>
        </w:rPr>
        <w:t xml:space="preserve"> risk assessment</w:t>
      </w:r>
      <w:r w:rsidR="00A10F82">
        <w:rPr>
          <w:bCs/>
          <w:iCs/>
        </w:rPr>
        <w:t xml:space="preserve"> for glanders followed the</w:t>
      </w:r>
      <w:r>
        <w:rPr>
          <w:bCs/>
          <w:iCs/>
        </w:rPr>
        <w:t xml:space="preserve"> </w:t>
      </w:r>
      <w:r w:rsidR="00114147">
        <w:rPr>
          <w:bCs/>
          <w:iCs/>
        </w:rPr>
        <w:t xml:space="preserve">method </w:t>
      </w:r>
      <w:r w:rsidR="00A10F82">
        <w:rPr>
          <w:bCs/>
          <w:iCs/>
        </w:rPr>
        <w:t>outline</w:t>
      </w:r>
      <w:r w:rsidR="005476B1">
        <w:rPr>
          <w:bCs/>
          <w:iCs/>
        </w:rPr>
        <w:t>d</w:t>
      </w:r>
      <w:r w:rsidR="00114147">
        <w:rPr>
          <w:bCs/>
          <w:iCs/>
        </w:rPr>
        <w:t xml:space="preserve"> in Section 3.2 Risk Assessment </w:t>
      </w:r>
      <w:r w:rsidR="005476B1">
        <w:rPr>
          <w:bCs/>
          <w:iCs/>
        </w:rPr>
        <w:t>of</w:t>
      </w:r>
      <w:r w:rsidR="00114147">
        <w:rPr>
          <w:bCs/>
          <w:iCs/>
        </w:rPr>
        <w:t xml:space="preserve"> the Horse IRA.</w:t>
      </w:r>
      <w:r w:rsidR="00A07BE3">
        <w:rPr>
          <w:bCs/>
          <w:iCs/>
        </w:rPr>
        <w:t xml:space="preserve"> Relevant tables for this risk assessment are included in Appendix 1.</w:t>
      </w:r>
    </w:p>
    <w:p w14:paraId="49F1C676" w14:textId="275A2B29" w:rsidR="00A86856" w:rsidRPr="00B41478" w:rsidRDefault="00A86856" w:rsidP="00B41478">
      <w:pPr>
        <w:spacing w:before="100" w:beforeAutospacing="1" w:after="100" w:afterAutospacing="1" w:line="240" w:lineRule="auto"/>
        <w:rPr>
          <w:rFonts w:eastAsia="Times New Roman" w:cstheme="minorHAnsi"/>
          <w:i/>
          <w:lang w:eastAsia="en-AU"/>
        </w:rPr>
      </w:pPr>
      <w:r w:rsidRPr="00B41478">
        <w:rPr>
          <w:rFonts w:eastAsia="Times New Roman" w:cstheme="minorHAnsi"/>
          <w:i/>
          <w:lang w:eastAsia="en-AU"/>
        </w:rPr>
        <w:t>Entry assessment</w:t>
      </w:r>
    </w:p>
    <w:p w14:paraId="79675AF5" w14:textId="24077D86" w:rsidR="00A215AD" w:rsidRDefault="00114147" w:rsidP="00761A64">
      <w:r w:rsidRPr="008E01DF" w:rsidDel="004F4069">
        <w:t xml:space="preserve">The entry assessment </w:t>
      </w:r>
      <w:r>
        <w:t>estimates</w:t>
      </w:r>
      <w:r w:rsidR="00A3648B">
        <w:t xml:space="preserve"> </w:t>
      </w:r>
      <w:r>
        <w:t xml:space="preserve">the likelihood that glanders would be present in </w:t>
      </w:r>
      <w:r w:rsidR="0059427F">
        <w:t>live horses</w:t>
      </w:r>
      <w:r w:rsidR="00A3648B">
        <w:t xml:space="preserve"> and</w:t>
      </w:r>
      <w:r w:rsidR="007C162F">
        <w:t xml:space="preserve"> horse</w:t>
      </w:r>
      <w:r w:rsidR="00A3648B">
        <w:t xml:space="preserve"> semen</w:t>
      </w:r>
      <w:r>
        <w:t xml:space="preserve"> imported into Australia</w:t>
      </w:r>
      <w:r w:rsidR="00423B18">
        <w:t xml:space="preserve"> from any country</w:t>
      </w:r>
      <w:r>
        <w:t xml:space="preserve">. </w:t>
      </w:r>
    </w:p>
    <w:p w14:paraId="28712C3B" w14:textId="2B2FC23D" w:rsidR="00A86856" w:rsidRDefault="00114147" w:rsidP="00761A64">
      <w:bookmarkStart w:id="4" w:name="_Hlk82781837"/>
      <w:r>
        <w:t xml:space="preserve">The following factors were </w:t>
      </w:r>
      <w:proofErr w:type="gramStart"/>
      <w:r>
        <w:t>taken into account</w:t>
      </w:r>
      <w:proofErr w:type="gramEnd"/>
      <w:r>
        <w:t xml:space="preserve"> when determining the likelihood of glanders entering Australia in an imported </w:t>
      </w:r>
      <w:r w:rsidR="00896A8A">
        <w:t>horse</w:t>
      </w:r>
      <w:r w:rsidR="00BD2506">
        <w:t xml:space="preserve"> and </w:t>
      </w:r>
      <w:r w:rsidR="00896A8A">
        <w:t>horse</w:t>
      </w:r>
      <w:r w:rsidR="00BD2506">
        <w:t xml:space="preserve"> semen</w:t>
      </w:r>
      <w:r>
        <w:t>:</w:t>
      </w:r>
    </w:p>
    <w:bookmarkEnd w:id="4"/>
    <w:p w14:paraId="53A8B37B" w14:textId="5A8A77DF" w:rsidR="00117D9B" w:rsidRDefault="00117D9B" w:rsidP="000C02EB">
      <w:pPr>
        <w:pStyle w:val="ListParagraph"/>
        <w:numPr>
          <w:ilvl w:val="0"/>
          <w:numId w:val="14"/>
        </w:numPr>
        <w:spacing w:after="160"/>
        <w:contextualSpacing/>
      </w:pPr>
      <w:r w:rsidRPr="00C646EE">
        <w:t xml:space="preserve">Glanders is </w:t>
      </w:r>
      <w:proofErr w:type="gramStart"/>
      <w:r w:rsidRPr="00C646EE">
        <w:t>an</w:t>
      </w:r>
      <w:proofErr w:type="gramEnd"/>
      <w:r w:rsidRPr="00C646EE">
        <w:t xml:space="preserve"> </w:t>
      </w:r>
      <w:r w:rsidR="003C6D77">
        <w:t>WOAH</w:t>
      </w:r>
      <w:r w:rsidRPr="00C646EE">
        <w:t xml:space="preserve"> listed disease.</w:t>
      </w:r>
    </w:p>
    <w:p w14:paraId="34D45D06" w14:textId="65E0568C" w:rsidR="00231C6C" w:rsidRPr="00C646EE" w:rsidRDefault="00231C6C" w:rsidP="00231C6C">
      <w:pPr>
        <w:pStyle w:val="ListParagraph"/>
        <w:numPr>
          <w:ilvl w:val="0"/>
          <w:numId w:val="14"/>
        </w:numPr>
        <w:spacing w:after="160"/>
        <w:contextualSpacing/>
      </w:pPr>
      <w:r w:rsidRPr="00C646EE">
        <w:t xml:space="preserve">Once prevalent worldwide, glanders has been eradicated from many countries, including Canada, Western </w:t>
      </w:r>
      <w:proofErr w:type="gramStart"/>
      <w:r w:rsidRPr="00C646EE">
        <w:t>Europe</w:t>
      </w:r>
      <w:proofErr w:type="gramEnd"/>
      <w:r w:rsidRPr="00C646EE">
        <w:t xml:space="preserve"> and the United States</w:t>
      </w:r>
      <w:r w:rsidR="008C62DD">
        <w:t xml:space="preserve"> </w:t>
      </w:r>
      <w:r w:rsidRPr="00C646EE">
        <w:t xml:space="preserve">(Dvorak and </w:t>
      </w:r>
      <w:proofErr w:type="spellStart"/>
      <w:r w:rsidRPr="00C646EE">
        <w:t>Spickler</w:t>
      </w:r>
      <w:proofErr w:type="spellEnd"/>
      <w:r w:rsidRPr="00C646EE">
        <w:t xml:space="preserve"> 2008; Derbyshire, 2002). </w:t>
      </w:r>
    </w:p>
    <w:p w14:paraId="5201918F" w14:textId="65557B09" w:rsidR="00231C6C" w:rsidRPr="00C646EE" w:rsidRDefault="00231C6C" w:rsidP="00231C6C">
      <w:pPr>
        <w:pStyle w:val="ListParagraph"/>
        <w:numPr>
          <w:ilvl w:val="0"/>
          <w:numId w:val="14"/>
        </w:numPr>
        <w:spacing w:after="160"/>
        <w:contextualSpacing/>
      </w:pPr>
      <w:r w:rsidRPr="00C646EE">
        <w:t xml:space="preserve">Since 1996, glanders outbreaks have occurred in Afghanistan, Bahrain, Belarus, Bolivia, Brazil, China, Eritrea, Ethiopia, Germany, India, Indonesia, Iran, Iraq, Kuwait, Lebanon, Mongolia, Nepal, </w:t>
      </w:r>
      <w:r w:rsidR="00D0233C">
        <w:t xml:space="preserve">the </w:t>
      </w:r>
      <w:r w:rsidRPr="00C646EE">
        <w:t xml:space="preserve">Philippines, </w:t>
      </w:r>
      <w:proofErr w:type="gramStart"/>
      <w:r w:rsidRPr="00C646EE">
        <w:t>Russia</w:t>
      </w:r>
      <w:proofErr w:type="gramEnd"/>
      <w:r w:rsidRPr="00C646EE">
        <w:t xml:space="preserve"> and Turkey (</w:t>
      </w:r>
      <w:r w:rsidR="003C6D77">
        <w:t>WOAH</w:t>
      </w:r>
      <w:r w:rsidRPr="00C646EE">
        <w:t xml:space="preserve"> Code, 2019; </w:t>
      </w:r>
      <w:proofErr w:type="spellStart"/>
      <w:r w:rsidRPr="00C646EE">
        <w:t>Wernery</w:t>
      </w:r>
      <w:proofErr w:type="spellEnd"/>
      <w:r w:rsidRPr="00C646EE">
        <w:t xml:space="preserve"> et al, 2011; Singha et al, 2020; </w:t>
      </w:r>
      <w:proofErr w:type="spellStart"/>
      <w:r w:rsidRPr="00C646EE">
        <w:t>Sholz</w:t>
      </w:r>
      <w:proofErr w:type="spellEnd"/>
      <w:r w:rsidRPr="00C646EE">
        <w:t xml:space="preserve"> et al, 2014). </w:t>
      </w:r>
    </w:p>
    <w:p w14:paraId="0A6F5626" w14:textId="77777777" w:rsidR="00231C6C" w:rsidRPr="00C646EE" w:rsidRDefault="00231C6C" w:rsidP="00231C6C">
      <w:pPr>
        <w:pStyle w:val="ListParagraph"/>
        <w:numPr>
          <w:ilvl w:val="0"/>
          <w:numId w:val="14"/>
        </w:numPr>
        <w:spacing w:after="160"/>
        <w:contextualSpacing/>
      </w:pPr>
      <w:r w:rsidRPr="00C646EE">
        <w:t xml:space="preserve">Endemic disease persists in many parts of Asia, North Africa, South </w:t>
      </w:r>
      <w:proofErr w:type="gramStart"/>
      <w:r w:rsidRPr="00C646EE">
        <w:t>America</w:t>
      </w:r>
      <w:proofErr w:type="gramEnd"/>
      <w:r w:rsidRPr="00C646EE">
        <w:t xml:space="preserve"> and the Middle East (Kettle and </w:t>
      </w:r>
      <w:proofErr w:type="spellStart"/>
      <w:r w:rsidRPr="00C646EE">
        <w:t>Wernery</w:t>
      </w:r>
      <w:proofErr w:type="spellEnd"/>
      <w:r w:rsidRPr="00C646EE">
        <w:t>, 2016).</w:t>
      </w:r>
    </w:p>
    <w:p w14:paraId="6C4897F7" w14:textId="77777777" w:rsidR="00231C6C" w:rsidRPr="00C646EE" w:rsidRDefault="00231C6C" w:rsidP="00231C6C">
      <w:pPr>
        <w:pStyle w:val="ListParagraph"/>
        <w:numPr>
          <w:ilvl w:val="0"/>
          <w:numId w:val="14"/>
        </w:numPr>
        <w:spacing w:after="160"/>
        <w:contextualSpacing/>
      </w:pPr>
      <w:r w:rsidRPr="00C646EE">
        <w:t>Glanders is considered a re-emerging disease in some countries.</w:t>
      </w:r>
    </w:p>
    <w:p w14:paraId="1D3F013E" w14:textId="77777777" w:rsidR="00231C6C" w:rsidRPr="00C646EE" w:rsidRDefault="00231C6C" w:rsidP="00231C6C">
      <w:pPr>
        <w:pStyle w:val="ListParagraph"/>
        <w:numPr>
          <w:ilvl w:val="0"/>
          <w:numId w:val="14"/>
        </w:numPr>
        <w:spacing w:after="160"/>
        <w:contextualSpacing/>
      </w:pPr>
      <w:r w:rsidRPr="00C646EE">
        <w:t xml:space="preserve">Acute glanders occurs frequently in donkeys and mules (Khan et al, 2012). Chronic glanders occurs more commonly in horses (Khan et al, 2012; </w:t>
      </w:r>
      <w:proofErr w:type="spellStart"/>
      <w:r w:rsidRPr="00C646EE">
        <w:t>Mota</w:t>
      </w:r>
      <w:proofErr w:type="spellEnd"/>
      <w:r w:rsidRPr="00C646EE">
        <w:t xml:space="preserve"> et al, 2010). </w:t>
      </w:r>
    </w:p>
    <w:p w14:paraId="151F5A54" w14:textId="77777777" w:rsidR="00231C6C" w:rsidRPr="00C646EE" w:rsidRDefault="00231C6C" w:rsidP="00231C6C">
      <w:pPr>
        <w:pStyle w:val="ListParagraph"/>
        <w:numPr>
          <w:ilvl w:val="0"/>
          <w:numId w:val="14"/>
        </w:numPr>
        <w:spacing w:after="160"/>
        <w:contextualSpacing/>
      </w:pPr>
      <w:r w:rsidRPr="00C646EE">
        <w:t xml:space="preserve">Horses can become inapparent carriers due to latent infections, which can still readily transmit the disease without displaying clinical signs of illness (Dvorak &amp; </w:t>
      </w:r>
      <w:proofErr w:type="spellStart"/>
      <w:r w:rsidRPr="00C646EE">
        <w:t>Spickler</w:t>
      </w:r>
      <w:proofErr w:type="spellEnd"/>
      <w:r w:rsidRPr="00C646EE">
        <w:t xml:space="preserve">, 2008; Khan et al, 2012). </w:t>
      </w:r>
    </w:p>
    <w:p w14:paraId="20E30761" w14:textId="77777777" w:rsidR="00231C6C" w:rsidRPr="00C646EE" w:rsidRDefault="00231C6C" w:rsidP="00231C6C">
      <w:pPr>
        <w:pStyle w:val="ListParagraph"/>
        <w:numPr>
          <w:ilvl w:val="0"/>
          <w:numId w:val="14"/>
        </w:numPr>
        <w:spacing w:after="160"/>
        <w:contextualSpacing/>
      </w:pPr>
      <w:r w:rsidRPr="00C646EE">
        <w:t>Evidence of venereal transmission of glanders is unclear.</w:t>
      </w:r>
    </w:p>
    <w:p w14:paraId="17249D93" w14:textId="77777777" w:rsidR="00231C6C" w:rsidRPr="00C646EE" w:rsidRDefault="00231C6C" w:rsidP="00231C6C">
      <w:pPr>
        <w:pStyle w:val="ListParagraph"/>
        <w:numPr>
          <w:ilvl w:val="0"/>
          <w:numId w:val="14"/>
        </w:numPr>
        <w:spacing w:after="160"/>
        <w:contextualSpacing/>
      </w:pPr>
      <w:r w:rsidRPr="00C646EE">
        <w:t xml:space="preserve">It is unclear if </w:t>
      </w:r>
      <w:r w:rsidRPr="00C646EE">
        <w:rPr>
          <w:i/>
        </w:rPr>
        <w:t>B. mallei</w:t>
      </w:r>
      <w:r w:rsidRPr="00C646EE">
        <w:t xml:space="preserve"> would survive in fresh or frozen semen or embryos. </w:t>
      </w:r>
    </w:p>
    <w:p w14:paraId="57BD94A2" w14:textId="3CE80461" w:rsidR="00231C6C" w:rsidRDefault="00231C6C" w:rsidP="00231C6C">
      <w:pPr>
        <w:pStyle w:val="ListParagraph"/>
        <w:numPr>
          <w:ilvl w:val="0"/>
          <w:numId w:val="14"/>
        </w:numPr>
        <w:spacing w:after="160"/>
        <w:contextualSpacing/>
      </w:pPr>
      <w:r w:rsidRPr="00C646EE">
        <w:t xml:space="preserve">Tests available to diagnose glanders have varying levels of sensitivity and specificity. False negatives occur to varying degrees with all available tests. </w:t>
      </w:r>
    </w:p>
    <w:p w14:paraId="2BFCDF8C" w14:textId="14AE3BBA" w:rsidR="00B03A21" w:rsidRPr="00C646EE" w:rsidRDefault="00B03A21" w:rsidP="00231C6C">
      <w:pPr>
        <w:pStyle w:val="ListParagraph"/>
        <w:numPr>
          <w:ilvl w:val="0"/>
          <w:numId w:val="14"/>
        </w:numPr>
        <w:spacing w:after="160"/>
        <w:contextualSpacing/>
      </w:pPr>
      <w:r>
        <w:t>There is no vaccine available against glanders.</w:t>
      </w:r>
    </w:p>
    <w:p w14:paraId="1C51D6BC" w14:textId="77777777" w:rsidR="00231C6C" w:rsidRPr="00C646EE" w:rsidRDefault="00231C6C" w:rsidP="00231C6C">
      <w:pPr>
        <w:pStyle w:val="ListParagraph"/>
        <w:numPr>
          <w:ilvl w:val="0"/>
          <w:numId w:val="14"/>
        </w:numPr>
        <w:spacing w:after="160"/>
        <w:contextualSpacing/>
      </w:pPr>
      <w:r w:rsidRPr="00C646EE">
        <w:t>Culture has limitations making it inappropriate as a test option for clearing horses for international trade.</w:t>
      </w:r>
    </w:p>
    <w:p w14:paraId="168EF5CD" w14:textId="4F1F924E" w:rsidR="00231C6C" w:rsidRPr="00C646EE" w:rsidRDefault="00231C6C" w:rsidP="00231C6C">
      <w:pPr>
        <w:pStyle w:val="ListParagraph"/>
        <w:numPr>
          <w:ilvl w:val="0"/>
          <w:numId w:val="14"/>
        </w:numPr>
        <w:spacing w:after="160"/>
        <w:contextualSpacing/>
      </w:pPr>
      <w:r w:rsidRPr="00C646EE">
        <w:t xml:space="preserve">CFT is the only test recommended for diagnosis of glanders in </w:t>
      </w:r>
      <w:r w:rsidR="00896A8A">
        <w:t>horses</w:t>
      </w:r>
      <w:r w:rsidRPr="00C646EE">
        <w:t xml:space="preserve"> exported internationally (</w:t>
      </w:r>
      <w:r w:rsidR="003C6D77">
        <w:t>WOAH</w:t>
      </w:r>
      <w:r w:rsidRPr="00C646EE">
        <w:t xml:space="preserve"> Code, 2019). </w:t>
      </w:r>
    </w:p>
    <w:p w14:paraId="0578792A" w14:textId="1BE69015" w:rsidR="00231C6C" w:rsidRPr="00C646EE" w:rsidRDefault="00231C6C" w:rsidP="00231C6C">
      <w:pPr>
        <w:pStyle w:val="ListParagraph"/>
        <w:numPr>
          <w:ilvl w:val="1"/>
          <w:numId w:val="14"/>
        </w:numPr>
        <w:autoSpaceDE w:val="0"/>
        <w:autoSpaceDN w:val="0"/>
        <w:adjustRightInd w:val="0"/>
        <w:spacing w:after="160"/>
        <w:contextualSpacing/>
      </w:pPr>
      <w:r w:rsidRPr="00C646EE">
        <w:t xml:space="preserve">The sensitivity of the CFT ranges from 91.4% to 98%, whilst a specificity </w:t>
      </w:r>
      <w:r w:rsidR="0066002B">
        <w:t xml:space="preserve">from </w:t>
      </w:r>
      <w:r w:rsidRPr="00C646EE">
        <w:t>96.4% to 100% has been reported (</w:t>
      </w:r>
      <w:proofErr w:type="spellStart"/>
      <w:r w:rsidRPr="00C646EE">
        <w:t>Naureen</w:t>
      </w:r>
      <w:proofErr w:type="spellEnd"/>
      <w:r w:rsidRPr="00C646EE">
        <w:t xml:space="preserve"> et al; 2007; Pal et al, 2012, Sprague et al 2009, </w:t>
      </w:r>
      <w:proofErr w:type="spellStart"/>
      <w:r w:rsidRPr="00C646EE">
        <w:t>Elschner</w:t>
      </w:r>
      <w:proofErr w:type="spellEnd"/>
      <w:r w:rsidRPr="00C646EE">
        <w:t xml:space="preserve"> et al, 2019). </w:t>
      </w:r>
    </w:p>
    <w:p w14:paraId="79CD02DE" w14:textId="77777777" w:rsidR="00231C6C" w:rsidRPr="00C646EE" w:rsidRDefault="00231C6C" w:rsidP="00231C6C">
      <w:pPr>
        <w:pStyle w:val="ListParagraph"/>
        <w:numPr>
          <w:ilvl w:val="1"/>
          <w:numId w:val="14"/>
        </w:numPr>
        <w:autoSpaceDE w:val="0"/>
        <w:autoSpaceDN w:val="0"/>
        <w:adjustRightInd w:val="0"/>
        <w:spacing w:after="160"/>
        <w:contextualSpacing/>
      </w:pPr>
      <w:r w:rsidRPr="00C646EE">
        <w:t xml:space="preserve">False negative results can occur in old, </w:t>
      </w:r>
      <w:proofErr w:type="gramStart"/>
      <w:r w:rsidRPr="00C646EE">
        <w:t>pregnant</w:t>
      </w:r>
      <w:proofErr w:type="gramEnd"/>
      <w:r w:rsidRPr="00C646EE">
        <w:t xml:space="preserve"> or emaciated horses (</w:t>
      </w:r>
      <w:proofErr w:type="spellStart"/>
      <w:r w:rsidRPr="00C646EE">
        <w:t>Elschner</w:t>
      </w:r>
      <w:proofErr w:type="spellEnd"/>
      <w:r w:rsidRPr="00C646EE">
        <w:t xml:space="preserve"> et al, 2011; Neubauer et al, 2005). </w:t>
      </w:r>
    </w:p>
    <w:p w14:paraId="50854565" w14:textId="77777777" w:rsidR="00231C6C" w:rsidRPr="00C646EE" w:rsidRDefault="00231C6C" w:rsidP="00231C6C">
      <w:pPr>
        <w:pStyle w:val="ListParagraph"/>
        <w:numPr>
          <w:ilvl w:val="0"/>
          <w:numId w:val="14"/>
        </w:numPr>
        <w:spacing w:after="160"/>
        <w:contextualSpacing/>
      </w:pPr>
      <w:r w:rsidRPr="00C646EE">
        <w:t xml:space="preserve">Serological tests are not sensitive enough to differentiate between </w:t>
      </w:r>
      <w:r w:rsidRPr="00C646EE">
        <w:rPr>
          <w:i/>
        </w:rPr>
        <w:t xml:space="preserve">B. mallei </w:t>
      </w:r>
      <w:r w:rsidRPr="00C646EE">
        <w:t xml:space="preserve">and </w:t>
      </w:r>
      <w:r w:rsidRPr="00C646EE">
        <w:rPr>
          <w:i/>
        </w:rPr>
        <w:t xml:space="preserve">B. </w:t>
      </w:r>
      <w:proofErr w:type="spellStart"/>
      <w:r w:rsidRPr="00C646EE">
        <w:rPr>
          <w:i/>
        </w:rPr>
        <w:t>pseudomallei</w:t>
      </w:r>
      <w:proofErr w:type="spellEnd"/>
      <w:r w:rsidRPr="00C646EE">
        <w:rPr>
          <w:i/>
        </w:rPr>
        <w:t>,</w:t>
      </w:r>
      <w:r w:rsidRPr="00C646EE">
        <w:t xml:space="preserve"> with antibodies attaching to common epitopes of antigens</w:t>
      </w:r>
      <w:r w:rsidRPr="00C646EE">
        <w:rPr>
          <w:i/>
        </w:rPr>
        <w:t xml:space="preserve"> </w:t>
      </w:r>
      <w:r w:rsidRPr="00C646EE">
        <w:t xml:space="preserve">(Verma et al, 2014). </w:t>
      </w:r>
    </w:p>
    <w:p w14:paraId="23C4273C" w14:textId="1B63A870" w:rsidR="00231C6C" w:rsidRPr="00C646EE" w:rsidRDefault="00231C6C" w:rsidP="00231C6C">
      <w:pPr>
        <w:pStyle w:val="ListParagraph"/>
        <w:numPr>
          <w:ilvl w:val="1"/>
          <w:numId w:val="14"/>
        </w:numPr>
        <w:spacing w:after="160"/>
        <w:contextualSpacing/>
        <w:rPr>
          <w:rFonts w:cstheme="minorHAnsi"/>
        </w:rPr>
      </w:pPr>
      <w:r w:rsidRPr="00C646EE">
        <w:t xml:space="preserve">The sensitivity and specificity of different ELISA tests ranges </w:t>
      </w:r>
      <w:r w:rsidR="00635F8E">
        <w:t>from</w:t>
      </w:r>
      <w:r w:rsidRPr="00C646EE">
        <w:t xml:space="preserve"> 85%</w:t>
      </w:r>
      <w:r w:rsidR="00D0233C">
        <w:t xml:space="preserve"> to </w:t>
      </w:r>
      <w:r w:rsidRPr="00C646EE">
        <w:t>92.5% and 99.5%</w:t>
      </w:r>
      <w:r w:rsidR="00D0233C">
        <w:t xml:space="preserve"> to </w:t>
      </w:r>
      <w:r w:rsidRPr="00C646EE">
        <w:t>100% respectively (</w:t>
      </w:r>
      <w:proofErr w:type="spellStart"/>
      <w:r w:rsidRPr="00C646EE">
        <w:t>Shakibamehr</w:t>
      </w:r>
      <w:proofErr w:type="spellEnd"/>
      <w:r w:rsidRPr="00C646EE">
        <w:t xml:space="preserve"> et al, 2021, </w:t>
      </w:r>
      <w:proofErr w:type="spellStart"/>
      <w:r w:rsidRPr="00C646EE">
        <w:t>Elschner</w:t>
      </w:r>
      <w:proofErr w:type="spellEnd"/>
      <w:r w:rsidRPr="00C646EE">
        <w:t xml:space="preserve"> et al, 2019; Sprague et al 2009). </w:t>
      </w:r>
    </w:p>
    <w:p w14:paraId="29907527" w14:textId="777648FF" w:rsidR="00231C6C" w:rsidRPr="00C646EE" w:rsidRDefault="00231C6C" w:rsidP="00231C6C">
      <w:pPr>
        <w:pStyle w:val="ListParagraph"/>
        <w:numPr>
          <w:ilvl w:val="0"/>
          <w:numId w:val="14"/>
        </w:numPr>
        <w:spacing w:after="160"/>
        <w:contextualSpacing/>
        <w:rPr>
          <w:rFonts w:cstheme="minorHAnsi"/>
        </w:rPr>
      </w:pPr>
      <w:r w:rsidRPr="00C646EE">
        <w:lastRenderedPageBreak/>
        <w:t xml:space="preserve">Cases of glanders have been detected in post-arrival quarantine </w:t>
      </w:r>
      <w:r w:rsidR="008C62DD">
        <w:t xml:space="preserve">in other countries (excluding Australia) </w:t>
      </w:r>
      <w:r w:rsidRPr="00C646EE">
        <w:t xml:space="preserve">despite </w:t>
      </w:r>
      <w:r w:rsidR="008C62DD">
        <w:t>adherence</w:t>
      </w:r>
      <w:r w:rsidRPr="00C646EE">
        <w:t xml:space="preserve"> to </w:t>
      </w:r>
      <w:r w:rsidR="003C6D77">
        <w:t>WOAH</w:t>
      </w:r>
      <w:r w:rsidRPr="00C646EE">
        <w:t xml:space="preserve"> recommendations for testing.</w:t>
      </w:r>
    </w:p>
    <w:p w14:paraId="5B83F7EC" w14:textId="4D162189" w:rsidR="00114147" w:rsidRDefault="00C920B9" w:rsidP="00761A64">
      <w:r w:rsidRPr="005A14F4">
        <w:t xml:space="preserve">Based on these considerations, the likelihood of entry of glanders in an </w:t>
      </w:r>
      <w:r w:rsidR="009F75DC" w:rsidRPr="005A14F4">
        <w:t xml:space="preserve">imported </w:t>
      </w:r>
      <w:r w:rsidR="007C162F">
        <w:t>horse</w:t>
      </w:r>
      <w:r w:rsidR="007C162F" w:rsidRPr="005A14F4">
        <w:t xml:space="preserve"> </w:t>
      </w:r>
      <w:r w:rsidRPr="005A14F4">
        <w:t xml:space="preserve">was estimated to be </w:t>
      </w:r>
      <w:r w:rsidR="00D919C5" w:rsidRPr="005A14F4">
        <w:rPr>
          <w:b/>
          <w:bCs/>
        </w:rPr>
        <w:t>moderat</w:t>
      </w:r>
      <w:r w:rsidR="001474C4" w:rsidRPr="005A14F4">
        <w:rPr>
          <w:b/>
          <w:bCs/>
        </w:rPr>
        <w:t>e</w:t>
      </w:r>
      <w:r w:rsidR="001474C4" w:rsidRPr="005A14F4">
        <w:t xml:space="preserve">, </w:t>
      </w:r>
      <w:r w:rsidR="009F3751" w:rsidRPr="005A14F4">
        <w:t xml:space="preserve">and </w:t>
      </w:r>
      <w:r w:rsidR="001474C4" w:rsidRPr="005A14F4">
        <w:t xml:space="preserve">the likelihood of entry in imported </w:t>
      </w:r>
      <w:r w:rsidR="007C162F">
        <w:t>horse</w:t>
      </w:r>
      <w:r w:rsidR="007C162F" w:rsidRPr="005A14F4">
        <w:t xml:space="preserve"> </w:t>
      </w:r>
      <w:r w:rsidR="001474C4" w:rsidRPr="005A14F4">
        <w:t xml:space="preserve">semen </w:t>
      </w:r>
      <w:r w:rsidR="005B5153">
        <w:t>wa</w:t>
      </w:r>
      <w:r w:rsidR="001474C4" w:rsidRPr="005A14F4">
        <w:t xml:space="preserve">s </w:t>
      </w:r>
      <w:r w:rsidR="001474C4" w:rsidRPr="005A14F4">
        <w:rPr>
          <w:b/>
          <w:bCs/>
        </w:rPr>
        <w:t>low</w:t>
      </w:r>
      <w:r w:rsidR="001474C4" w:rsidRPr="005A14F4">
        <w:t xml:space="preserve">. </w:t>
      </w:r>
    </w:p>
    <w:p w14:paraId="4C11EE0D" w14:textId="49221EC9" w:rsidR="00A86856" w:rsidRPr="00B41478" w:rsidRDefault="00CD7143" w:rsidP="00761A64">
      <w:pPr>
        <w:rPr>
          <w:i/>
          <w:iCs/>
        </w:rPr>
      </w:pPr>
      <w:r w:rsidRPr="00B41478">
        <w:rPr>
          <w:i/>
          <w:iCs/>
        </w:rPr>
        <w:t>Exposure assessment</w:t>
      </w:r>
    </w:p>
    <w:p w14:paraId="1BD70D24" w14:textId="1B38CE2C" w:rsidR="00114147" w:rsidRPr="008E01DF" w:rsidDel="004F4069" w:rsidRDefault="00114147" w:rsidP="00114147">
      <w:r w:rsidRPr="008E01DF" w:rsidDel="004F4069">
        <w:t>The exposure assessment estimate</w:t>
      </w:r>
      <w:r>
        <w:t>s</w:t>
      </w:r>
      <w:r w:rsidRPr="008E01DF" w:rsidDel="004F4069">
        <w:t xml:space="preserve"> the likelihood that a susceptible </w:t>
      </w:r>
      <w:r>
        <w:t xml:space="preserve">animal </w:t>
      </w:r>
      <w:r w:rsidRPr="008E01DF" w:rsidDel="004F4069">
        <w:t xml:space="preserve">in Australia will be exposed to </w:t>
      </w:r>
      <w:r>
        <w:t>glanders</w:t>
      </w:r>
      <w:r w:rsidRPr="008E01DF" w:rsidDel="004F4069">
        <w:t xml:space="preserve"> introduced via an imported </w:t>
      </w:r>
      <w:r w:rsidR="00984CFE">
        <w:t>horse or horse</w:t>
      </w:r>
      <w:r w:rsidR="00A3648B">
        <w:t xml:space="preserve"> semen</w:t>
      </w:r>
      <w:r w:rsidRPr="008E01DF" w:rsidDel="004F4069">
        <w:t xml:space="preserve">. It </w:t>
      </w:r>
      <w:proofErr w:type="gramStart"/>
      <w:r w:rsidRPr="008E01DF" w:rsidDel="004F4069">
        <w:t>takes into account</w:t>
      </w:r>
      <w:proofErr w:type="gramEnd"/>
      <w:r w:rsidRPr="008E01DF" w:rsidDel="004F4069">
        <w:t xml:space="preserve"> the </w:t>
      </w:r>
      <w:r w:rsidR="00A215AD">
        <w:t xml:space="preserve">exposure </w:t>
      </w:r>
      <w:r w:rsidRPr="008E01DF" w:rsidDel="004F4069">
        <w:t>groups most likely to be affected as well as the possible pathways by which exposure of these groups could occur.</w:t>
      </w:r>
      <w:r w:rsidR="00A215AD">
        <w:t xml:space="preserve"> For glanders the exposure group considered is all </w:t>
      </w:r>
      <w:r w:rsidR="00984CFE">
        <w:t xml:space="preserve">horses </w:t>
      </w:r>
      <w:r w:rsidR="00783EB6">
        <w:t xml:space="preserve">(including feral </w:t>
      </w:r>
      <w:r w:rsidR="00984CFE">
        <w:t>horses</w:t>
      </w:r>
      <w:r w:rsidR="00783EB6">
        <w:t>)</w:t>
      </w:r>
      <w:r w:rsidR="00B41478">
        <w:t>.</w:t>
      </w:r>
      <w:r w:rsidR="005F2AE0">
        <w:t xml:space="preserve"> For </w:t>
      </w:r>
      <w:r w:rsidR="001077D2">
        <w:t xml:space="preserve">imported </w:t>
      </w:r>
      <w:r w:rsidR="00984CFE">
        <w:t>horses</w:t>
      </w:r>
      <w:r w:rsidR="001077D2">
        <w:t>,</w:t>
      </w:r>
      <w:r w:rsidR="005F2AE0">
        <w:t xml:space="preserve"> th</w:t>
      </w:r>
      <w:r w:rsidR="00A215AD">
        <w:t xml:space="preserve">e most likely exposure pathways are via direct </w:t>
      </w:r>
      <w:r w:rsidR="0050311F">
        <w:t>contact and fomites</w:t>
      </w:r>
      <w:r w:rsidR="00A215AD">
        <w:t>.</w:t>
      </w:r>
      <w:r w:rsidR="00A3648B">
        <w:t xml:space="preserve"> For </w:t>
      </w:r>
      <w:r w:rsidR="00984CFE">
        <w:t xml:space="preserve">horse </w:t>
      </w:r>
      <w:r w:rsidR="00A3648B">
        <w:t xml:space="preserve">semen, the </w:t>
      </w:r>
      <w:r w:rsidR="005F2AE0">
        <w:t>most likely</w:t>
      </w:r>
      <w:r w:rsidR="00A3648B">
        <w:t xml:space="preserve"> exposure pathways are insemination and fomites.</w:t>
      </w:r>
    </w:p>
    <w:p w14:paraId="0049AA21" w14:textId="4131FC69" w:rsidR="00A215AD" w:rsidRDefault="00A215AD" w:rsidP="00A215AD">
      <w:r>
        <w:t xml:space="preserve">The following factors were </w:t>
      </w:r>
      <w:proofErr w:type="gramStart"/>
      <w:r>
        <w:t>taken into account</w:t>
      </w:r>
      <w:proofErr w:type="gramEnd"/>
      <w:r>
        <w:t xml:space="preserve"> when determining the likelihood of susceptible animals being exposed to glanders via an imported </w:t>
      </w:r>
      <w:r w:rsidR="00984CFE">
        <w:t>horse or horse</w:t>
      </w:r>
      <w:r w:rsidR="009F75DC">
        <w:t xml:space="preserve"> semen</w:t>
      </w:r>
      <w:r>
        <w:t>:</w:t>
      </w:r>
    </w:p>
    <w:p w14:paraId="39425667" w14:textId="77777777" w:rsidR="006C4816" w:rsidRPr="00C646EE" w:rsidRDefault="006C4816" w:rsidP="006C4816">
      <w:pPr>
        <w:pStyle w:val="ListParagraph"/>
        <w:numPr>
          <w:ilvl w:val="0"/>
          <w:numId w:val="14"/>
        </w:numPr>
        <w:spacing w:after="160"/>
        <w:contextualSpacing/>
      </w:pPr>
      <w:r w:rsidRPr="00C646EE">
        <w:t xml:space="preserve">Glanders is a highly infectious disease that is spread via direct contact, </w:t>
      </w:r>
      <w:proofErr w:type="spellStart"/>
      <w:r w:rsidRPr="00C646EE">
        <w:t>aerosolisation</w:t>
      </w:r>
      <w:proofErr w:type="spellEnd"/>
      <w:r w:rsidRPr="00C646EE">
        <w:t xml:space="preserve"> of infected secretions and fomites. </w:t>
      </w:r>
    </w:p>
    <w:p w14:paraId="20F7B057" w14:textId="18D7A6B1" w:rsidR="001077D2" w:rsidRPr="00686263" w:rsidRDefault="001077D2" w:rsidP="006C4816">
      <w:pPr>
        <w:pStyle w:val="ListParagraph"/>
        <w:numPr>
          <w:ilvl w:val="0"/>
          <w:numId w:val="14"/>
        </w:numPr>
        <w:spacing w:after="160"/>
        <w:contextualSpacing/>
      </w:pPr>
      <w:r>
        <w:rPr>
          <w:rFonts w:cs="Calibri"/>
          <w:i/>
          <w:iCs/>
        </w:rPr>
        <w:t xml:space="preserve">B. mallei </w:t>
      </w:r>
      <w:r>
        <w:rPr>
          <w:rFonts w:cs="Calibri"/>
        </w:rPr>
        <w:t>is readily transmitted by respiratory secretions, and skin exudates that can contain large numbers of infective bacteria (CFSPH, 2019).</w:t>
      </w:r>
    </w:p>
    <w:p w14:paraId="24229C29" w14:textId="7BD374D0" w:rsidR="001077D2" w:rsidRDefault="001077D2" w:rsidP="006C4816">
      <w:pPr>
        <w:pStyle w:val="ListParagraph"/>
        <w:numPr>
          <w:ilvl w:val="0"/>
          <w:numId w:val="14"/>
        </w:numPr>
        <w:spacing w:after="160"/>
        <w:contextualSpacing/>
      </w:pPr>
      <w:r>
        <w:rPr>
          <w:rFonts w:cs="Calibri"/>
        </w:rPr>
        <w:t xml:space="preserve">Transmission commonly occurs via direct ingestion, inhalation or skin contamination of abraded skin or mucus membranes (Dvorak &amp; </w:t>
      </w:r>
      <w:proofErr w:type="spellStart"/>
      <w:r>
        <w:rPr>
          <w:rFonts w:cs="Calibri"/>
        </w:rPr>
        <w:t>Spickler</w:t>
      </w:r>
      <w:proofErr w:type="spellEnd"/>
      <w:r>
        <w:rPr>
          <w:rFonts w:cs="Calibri"/>
        </w:rPr>
        <w:t>, 2008).</w:t>
      </w:r>
    </w:p>
    <w:p w14:paraId="5AE0D97E" w14:textId="77777777" w:rsidR="001077D2" w:rsidRPr="00686263" w:rsidRDefault="001077D2" w:rsidP="006C4816">
      <w:pPr>
        <w:pStyle w:val="ListParagraph"/>
        <w:numPr>
          <w:ilvl w:val="0"/>
          <w:numId w:val="14"/>
        </w:numPr>
        <w:spacing w:after="160"/>
        <w:contextualSpacing/>
      </w:pPr>
      <w:r>
        <w:rPr>
          <w:rFonts w:cs="Calibri"/>
        </w:rPr>
        <w:t xml:space="preserve">Indirect transmission can occur by fomites such as contaminated food, water, general husbandry equipment, breeding equipment or people (Dvorak &amp; </w:t>
      </w:r>
      <w:proofErr w:type="spellStart"/>
      <w:r>
        <w:rPr>
          <w:rFonts w:cs="Calibri"/>
        </w:rPr>
        <w:t>Spickler</w:t>
      </w:r>
      <w:proofErr w:type="spellEnd"/>
      <w:r>
        <w:rPr>
          <w:rFonts w:cs="Calibri"/>
        </w:rPr>
        <w:t>, 2008).</w:t>
      </w:r>
    </w:p>
    <w:p w14:paraId="1D24CCBD" w14:textId="5C7A4CCA" w:rsidR="006C4816" w:rsidRPr="00686263" w:rsidRDefault="006C4816" w:rsidP="006C4816">
      <w:pPr>
        <w:pStyle w:val="ListParagraph"/>
        <w:numPr>
          <w:ilvl w:val="0"/>
          <w:numId w:val="14"/>
        </w:numPr>
        <w:spacing w:after="160"/>
        <w:contextualSpacing/>
      </w:pPr>
      <w:r>
        <w:rPr>
          <w:rFonts w:cs="Calibri"/>
        </w:rPr>
        <w:t xml:space="preserve">Chronically or latently infected animals with minimal signs of disease may serve as a pathogen reservoir (Dvorak and </w:t>
      </w:r>
      <w:proofErr w:type="spellStart"/>
      <w:r>
        <w:rPr>
          <w:rFonts w:cs="Calibri"/>
        </w:rPr>
        <w:t>Spickler</w:t>
      </w:r>
      <w:proofErr w:type="spellEnd"/>
      <w:r>
        <w:rPr>
          <w:rFonts w:cs="Calibri"/>
        </w:rPr>
        <w:t xml:space="preserve"> 2008). </w:t>
      </w:r>
    </w:p>
    <w:p w14:paraId="16B0B743" w14:textId="39BBB9EA" w:rsidR="00BF59CD" w:rsidRPr="00C646EE" w:rsidRDefault="006C4816" w:rsidP="006C4816">
      <w:pPr>
        <w:pStyle w:val="ListParagraph"/>
        <w:numPr>
          <w:ilvl w:val="0"/>
          <w:numId w:val="14"/>
        </w:numPr>
        <w:spacing w:after="160"/>
        <w:contextualSpacing/>
      </w:pPr>
      <w:r>
        <w:rPr>
          <w:rFonts w:cs="Calibri"/>
        </w:rPr>
        <w:t xml:space="preserve">Chronic and </w:t>
      </w:r>
      <w:proofErr w:type="spellStart"/>
      <w:r>
        <w:rPr>
          <w:rFonts w:cs="Calibri"/>
        </w:rPr>
        <w:t>subclinically</w:t>
      </w:r>
      <w:proofErr w:type="spellEnd"/>
      <w:r>
        <w:rPr>
          <w:rFonts w:cs="Calibri"/>
        </w:rPr>
        <w:t xml:space="preserve"> infected cases can shed bacteria continuously or intermittently (</w:t>
      </w:r>
      <w:r w:rsidR="003C6D77">
        <w:rPr>
          <w:rFonts w:cs="Calibri"/>
        </w:rPr>
        <w:t>WOAH</w:t>
      </w:r>
      <w:r>
        <w:rPr>
          <w:rFonts w:cs="Calibri"/>
        </w:rPr>
        <w:t>, 2009).</w:t>
      </w:r>
    </w:p>
    <w:p w14:paraId="61BB6154" w14:textId="7375799A" w:rsidR="00686263" w:rsidRPr="00686263" w:rsidRDefault="00686263" w:rsidP="00E42F0F">
      <w:pPr>
        <w:pStyle w:val="ListParagraph"/>
        <w:numPr>
          <w:ilvl w:val="0"/>
          <w:numId w:val="14"/>
        </w:numPr>
        <w:spacing w:after="160"/>
        <w:contextualSpacing/>
      </w:pPr>
      <w:r>
        <w:rPr>
          <w:rFonts w:cs="Calibri"/>
        </w:rPr>
        <w:t xml:space="preserve">Rare cases of glanders have been reported in camels, </w:t>
      </w:r>
      <w:proofErr w:type="gramStart"/>
      <w:r>
        <w:rPr>
          <w:rFonts w:cs="Calibri"/>
        </w:rPr>
        <w:t>goats</w:t>
      </w:r>
      <w:proofErr w:type="gramEnd"/>
      <w:r>
        <w:rPr>
          <w:rFonts w:cs="Calibri"/>
        </w:rPr>
        <w:t xml:space="preserve"> and sheep (Dvorak and </w:t>
      </w:r>
      <w:proofErr w:type="spellStart"/>
      <w:r>
        <w:rPr>
          <w:rFonts w:cs="Calibri"/>
        </w:rPr>
        <w:t>Spickler</w:t>
      </w:r>
      <w:proofErr w:type="spellEnd"/>
      <w:r>
        <w:rPr>
          <w:rFonts w:cs="Calibri"/>
        </w:rPr>
        <w:t xml:space="preserve">, 2008; </w:t>
      </w:r>
      <w:proofErr w:type="spellStart"/>
      <w:r>
        <w:rPr>
          <w:rFonts w:cs="Calibri"/>
        </w:rPr>
        <w:t>Wernery</w:t>
      </w:r>
      <w:proofErr w:type="spellEnd"/>
      <w:r>
        <w:rPr>
          <w:rFonts w:cs="Calibri"/>
        </w:rPr>
        <w:t xml:space="preserve"> et al, 2011).</w:t>
      </w:r>
    </w:p>
    <w:p w14:paraId="7B12C469" w14:textId="6DE135BD" w:rsidR="00686263" w:rsidRPr="00686263" w:rsidRDefault="00686263" w:rsidP="00E42F0F">
      <w:pPr>
        <w:pStyle w:val="ListParagraph"/>
        <w:numPr>
          <w:ilvl w:val="0"/>
          <w:numId w:val="14"/>
        </w:numPr>
        <w:spacing w:after="160"/>
        <w:contextualSpacing/>
      </w:pPr>
      <w:r>
        <w:rPr>
          <w:rFonts w:cs="Calibri"/>
        </w:rPr>
        <w:t xml:space="preserve">Cattle, pigs, </w:t>
      </w:r>
      <w:proofErr w:type="gramStart"/>
      <w:r>
        <w:rPr>
          <w:rFonts w:cs="Calibri"/>
        </w:rPr>
        <w:t>rats</w:t>
      </w:r>
      <w:proofErr w:type="gramEnd"/>
      <w:r>
        <w:rPr>
          <w:rFonts w:cs="Calibri"/>
        </w:rPr>
        <w:t xml:space="preserve"> and birds are relatively resistant to experimental infection (Dvorak and </w:t>
      </w:r>
      <w:proofErr w:type="spellStart"/>
      <w:r>
        <w:rPr>
          <w:rFonts w:cs="Calibri"/>
        </w:rPr>
        <w:t>Spick</w:t>
      </w:r>
      <w:r w:rsidR="00D0233C">
        <w:rPr>
          <w:rFonts w:cs="Calibri"/>
        </w:rPr>
        <w:t>l</w:t>
      </w:r>
      <w:r>
        <w:rPr>
          <w:rFonts w:cs="Calibri"/>
        </w:rPr>
        <w:t>er</w:t>
      </w:r>
      <w:proofErr w:type="spellEnd"/>
      <w:r>
        <w:rPr>
          <w:rFonts w:cs="Calibri"/>
        </w:rPr>
        <w:t>, 2008).</w:t>
      </w:r>
    </w:p>
    <w:p w14:paraId="0EDE5A91" w14:textId="7DFA1A2F" w:rsidR="001077D2" w:rsidRPr="00686263" w:rsidRDefault="00E42F0F" w:rsidP="00686263">
      <w:pPr>
        <w:pStyle w:val="ListParagraph"/>
        <w:numPr>
          <w:ilvl w:val="0"/>
          <w:numId w:val="14"/>
        </w:numPr>
        <w:spacing w:after="160"/>
        <w:contextualSpacing/>
      </w:pPr>
      <w:r>
        <w:rPr>
          <w:rFonts w:cs="Calibri"/>
        </w:rPr>
        <w:t xml:space="preserve">Glanders is an occupational disease that affects individuals in close contact with infected animals such as farmers, trainers, </w:t>
      </w:r>
      <w:proofErr w:type="gramStart"/>
      <w:r>
        <w:rPr>
          <w:rFonts w:cs="Calibri"/>
        </w:rPr>
        <w:t>veterinarians</w:t>
      </w:r>
      <w:proofErr w:type="gramEnd"/>
      <w:r>
        <w:rPr>
          <w:rFonts w:cs="Calibri"/>
        </w:rPr>
        <w:t xml:space="preserve"> and laboratory personnel (Saqib et al, 2012).</w:t>
      </w:r>
    </w:p>
    <w:p w14:paraId="45196EE6" w14:textId="45FD337C" w:rsidR="001077D2" w:rsidRDefault="001077D2" w:rsidP="001077D2">
      <w:pPr>
        <w:pStyle w:val="ListParagraph"/>
        <w:numPr>
          <w:ilvl w:val="0"/>
          <w:numId w:val="14"/>
        </w:numPr>
        <w:spacing w:after="160"/>
        <w:contextualSpacing/>
      </w:pPr>
      <w:r>
        <w:rPr>
          <w:rFonts w:cs="Calibri"/>
        </w:rPr>
        <w:t>There is no information about the potential effects of glanders on</w:t>
      </w:r>
      <w:r w:rsidR="00E42F0F">
        <w:rPr>
          <w:rFonts w:cs="Calibri"/>
        </w:rPr>
        <w:t xml:space="preserve"> marsupials.</w:t>
      </w:r>
    </w:p>
    <w:p w14:paraId="1B3E2F4D" w14:textId="77777777" w:rsidR="001077D2" w:rsidRPr="0019790E" w:rsidRDefault="001077D2" w:rsidP="001077D2">
      <w:pPr>
        <w:pStyle w:val="ListParagraph"/>
        <w:numPr>
          <w:ilvl w:val="0"/>
          <w:numId w:val="14"/>
        </w:numPr>
        <w:spacing w:after="160"/>
        <w:contextualSpacing/>
      </w:pPr>
      <w:r>
        <w:rPr>
          <w:rFonts w:cs="Calibri"/>
          <w:color w:val="1C1D1E"/>
        </w:rPr>
        <w:t xml:space="preserve">Overcrowding, close contact with infected animals and poor hygiene practices are believed to increase the likelihood of transmission (Khan et al, 2012).  </w:t>
      </w:r>
    </w:p>
    <w:p w14:paraId="2468736B" w14:textId="6D86E0B2" w:rsidR="006C4816" w:rsidRDefault="006C4816" w:rsidP="006C4816">
      <w:pPr>
        <w:pStyle w:val="ListParagraph"/>
        <w:numPr>
          <w:ilvl w:val="0"/>
          <w:numId w:val="14"/>
        </w:numPr>
        <w:spacing w:after="160"/>
        <w:contextualSpacing/>
      </w:pPr>
      <w:r w:rsidRPr="00C646EE">
        <w:t>Evidence of venereal transmission of glanders is unclear.</w:t>
      </w:r>
    </w:p>
    <w:p w14:paraId="6A6707C5" w14:textId="76FCC453" w:rsidR="005B050E" w:rsidRPr="00C646EE" w:rsidRDefault="005B050E" w:rsidP="006C4816">
      <w:pPr>
        <w:pStyle w:val="ListParagraph"/>
        <w:numPr>
          <w:ilvl w:val="0"/>
          <w:numId w:val="14"/>
        </w:numPr>
        <w:spacing w:after="160"/>
        <w:contextualSpacing/>
      </w:pPr>
      <w:r>
        <w:t>Indirect transmission may occur by contamination of husbandry and breeding equipment.</w:t>
      </w:r>
    </w:p>
    <w:p w14:paraId="2D6AB95A" w14:textId="2E0D643A" w:rsidR="00231C6C" w:rsidRPr="00C646EE" w:rsidRDefault="006C4816">
      <w:pPr>
        <w:pStyle w:val="ListParagraph"/>
        <w:numPr>
          <w:ilvl w:val="0"/>
          <w:numId w:val="14"/>
        </w:numPr>
        <w:spacing w:after="160"/>
        <w:contextualSpacing/>
      </w:pPr>
      <w:r>
        <w:t xml:space="preserve">While </w:t>
      </w:r>
      <w:r w:rsidRPr="00B41478">
        <w:rPr>
          <w:i/>
          <w:iCs/>
        </w:rPr>
        <w:t>B. mallei</w:t>
      </w:r>
      <w:r w:rsidR="004C7E45" w:rsidRPr="00C646EE">
        <w:t xml:space="preserve"> is a </w:t>
      </w:r>
      <w:proofErr w:type="gramStart"/>
      <w:r w:rsidR="004C7E45" w:rsidRPr="00C646EE">
        <w:t>facultative intracellular obligate bacteria</w:t>
      </w:r>
      <w:proofErr w:type="gramEnd"/>
      <w:r>
        <w:t>,</w:t>
      </w:r>
      <w:r w:rsidR="004C7E45" w:rsidRPr="00C646EE">
        <w:t xml:space="preserve"> </w:t>
      </w:r>
      <w:r w:rsidR="00B41478">
        <w:t>r</w:t>
      </w:r>
      <w:r w:rsidR="00B41478" w:rsidRPr="00C646EE">
        <w:t>e</w:t>
      </w:r>
      <w:r w:rsidR="00B41478">
        <w:t>ly</w:t>
      </w:r>
      <w:r w:rsidR="00B41478" w:rsidRPr="00C646EE">
        <w:t>i</w:t>
      </w:r>
      <w:r w:rsidR="00B41478">
        <w:t>ng</w:t>
      </w:r>
      <w:r w:rsidR="00B41478" w:rsidRPr="00C646EE">
        <w:t xml:space="preserve"> </w:t>
      </w:r>
      <w:r w:rsidR="004C7E45" w:rsidRPr="00C646EE">
        <w:t>on host transmission for dispersal</w:t>
      </w:r>
      <w:r>
        <w:t>, it</w:t>
      </w:r>
      <w:r w:rsidR="00231C6C" w:rsidRPr="006C4816">
        <w:rPr>
          <w:i/>
        </w:rPr>
        <w:t xml:space="preserve"> </w:t>
      </w:r>
      <w:r w:rsidR="00231C6C" w:rsidRPr="00C646EE">
        <w:t>can survive outside of the host species under specific environmental conditions found in tropical environments (</w:t>
      </w:r>
      <w:r w:rsidR="003C6D77">
        <w:t>WOAH</w:t>
      </w:r>
      <w:r w:rsidR="00231C6C" w:rsidRPr="00C646EE">
        <w:t xml:space="preserve"> Technical disease cards, 2020). </w:t>
      </w:r>
    </w:p>
    <w:p w14:paraId="72556AA3" w14:textId="77777777" w:rsidR="00231C6C" w:rsidRPr="00C646EE" w:rsidRDefault="00231C6C" w:rsidP="00231C6C">
      <w:pPr>
        <w:pStyle w:val="ListParagraph"/>
        <w:numPr>
          <w:ilvl w:val="0"/>
          <w:numId w:val="14"/>
        </w:numPr>
        <w:spacing w:after="160"/>
        <w:contextualSpacing/>
      </w:pPr>
      <w:r w:rsidRPr="00C646EE">
        <w:rPr>
          <w:i/>
        </w:rPr>
        <w:t>B. mallei</w:t>
      </w:r>
      <w:r w:rsidRPr="00C646EE">
        <w:t xml:space="preserve"> is susceptible to intense heat, direct </w:t>
      </w:r>
      <w:proofErr w:type="gramStart"/>
      <w:r w:rsidRPr="00C646EE">
        <w:t>sunlight</w:t>
      </w:r>
      <w:proofErr w:type="gramEnd"/>
      <w:r w:rsidRPr="00C646EE">
        <w:t xml:space="preserve"> and disinfectants (</w:t>
      </w:r>
      <w:proofErr w:type="spellStart"/>
      <w:r w:rsidRPr="00C646EE">
        <w:t>Timoney</w:t>
      </w:r>
      <w:proofErr w:type="spellEnd"/>
      <w:r w:rsidRPr="00C646EE">
        <w:t>, 2014).</w:t>
      </w:r>
    </w:p>
    <w:p w14:paraId="51E8F137" w14:textId="63E0E659" w:rsidR="00231C6C" w:rsidRPr="00C646EE" w:rsidRDefault="00231C6C" w:rsidP="00B41478">
      <w:pPr>
        <w:pStyle w:val="ListParagraph"/>
        <w:numPr>
          <w:ilvl w:val="0"/>
          <w:numId w:val="14"/>
        </w:numPr>
        <w:spacing w:after="160"/>
        <w:contextualSpacing/>
      </w:pPr>
      <w:r w:rsidRPr="00C646EE">
        <w:lastRenderedPageBreak/>
        <w:t xml:space="preserve">Direct sunlight inactivates </w:t>
      </w:r>
      <w:r w:rsidRPr="00C646EE">
        <w:rPr>
          <w:i/>
        </w:rPr>
        <w:t>B. mallei</w:t>
      </w:r>
      <w:r w:rsidRPr="00C646EE">
        <w:t xml:space="preserve"> within 24 hours, and it is destroyed at temperatures over 55</w:t>
      </w:r>
      <w:r w:rsidRPr="00C646EE">
        <w:rPr>
          <w:rFonts w:cstheme="minorHAnsi"/>
        </w:rPr>
        <w:t>˚</w:t>
      </w:r>
      <w:r w:rsidRPr="00C646EE">
        <w:t>C for more than 10 minutes (</w:t>
      </w:r>
      <w:r w:rsidR="003C6D77">
        <w:t>WOAH</w:t>
      </w:r>
      <w:r w:rsidRPr="00C646EE">
        <w:t xml:space="preserve"> Technical disease cards, 2020). </w:t>
      </w:r>
    </w:p>
    <w:p w14:paraId="707AAA83" w14:textId="6FE9DB4A" w:rsidR="00231C6C" w:rsidRPr="00C646EE" w:rsidRDefault="00231C6C" w:rsidP="00B41478">
      <w:pPr>
        <w:pStyle w:val="ListParagraph"/>
        <w:numPr>
          <w:ilvl w:val="0"/>
          <w:numId w:val="14"/>
        </w:numPr>
        <w:spacing w:after="160"/>
        <w:contextualSpacing/>
      </w:pPr>
      <w:r w:rsidRPr="00C646EE">
        <w:t xml:space="preserve">Dvorak and </w:t>
      </w:r>
      <w:proofErr w:type="spellStart"/>
      <w:r w:rsidRPr="00C646EE">
        <w:t>Spickler</w:t>
      </w:r>
      <w:proofErr w:type="spellEnd"/>
      <w:r w:rsidRPr="00C646EE">
        <w:t xml:space="preserve"> (2008) found the bacteria could remain viable in room temperature water (20</w:t>
      </w:r>
      <w:r w:rsidRPr="00C646EE">
        <w:rPr>
          <w:rFonts w:cstheme="minorHAnsi"/>
        </w:rPr>
        <w:t>˚</w:t>
      </w:r>
      <w:r w:rsidRPr="00C646EE">
        <w:t>C</w:t>
      </w:r>
      <w:r w:rsidR="00D0233C">
        <w:t xml:space="preserve"> to </w:t>
      </w:r>
      <w:r w:rsidRPr="00C646EE">
        <w:t>25</w:t>
      </w:r>
      <w:r w:rsidRPr="00C646EE">
        <w:rPr>
          <w:rFonts w:cstheme="minorHAnsi"/>
        </w:rPr>
        <w:t>˚</w:t>
      </w:r>
      <w:r w:rsidRPr="00C646EE">
        <w:t xml:space="preserve">C) for up to one month. </w:t>
      </w:r>
    </w:p>
    <w:p w14:paraId="2CEC5422" w14:textId="509588BA" w:rsidR="00231C6C" w:rsidRPr="00C646EE" w:rsidRDefault="00231C6C" w:rsidP="00B41478">
      <w:pPr>
        <w:pStyle w:val="ListParagraph"/>
        <w:numPr>
          <w:ilvl w:val="0"/>
          <w:numId w:val="14"/>
        </w:numPr>
        <w:spacing w:after="160"/>
        <w:contextualSpacing/>
      </w:pPr>
      <w:r w:rsidRPr="00C646EE">
        <w:t>Some studies have found that the bacteria could remain viable in contaminated stables for up to six weeks in humid or wet conditions out of direct sunlight (</w:t>
      </w:r>
      <w:r w:rsidR="003C6D77">
        <w:t>WOAH</w:t>
      </w:r>
      <w:r w:rsidRPr="00C646EE">
        <w:t xml:space="preserve"> Technical disease cards, 2020; Verma et al, 2014). </w:t>
      </w:r>
    </w:p>
    <w:p w14:paraId="01646F9A" w14:textId="1A9FEB1C" w:rsidR="00231C6C" w:rsidRPr="00C646EE" w:rsidRDefault="00231C6C" w:rsidP="00B41478">
      <w:pPr>
        <w:pStyle w:val="ListParagraph"/>
        <w:numPr>
          <w:ilvl w:val="0"/>
          <w:numId w:val="14"/>
        </w:numPr>
        <w:spacing w:after="160"/>
        <w:contextualSpacing/>
      </w:pPr>
      <w:r w:rsidRPr="00C646EE">
        <w:rPr>
          <w:i/>
        </w:rPr>
        <w:t>B. mallei</w:t>
      </w:r>
      <w:r w:rsidRPr="00C646EE">
        <w:t xml:space="preserve"> is susceptible to most common disinfectants such as iodine, benzalkonium chloride (1/2000), sodium hypochlorite (500ppm available chlorine)</w:t>
      </w:r>
      <w:r w:rsidR="00635F8E">
        <w:t>,</w:t>
      </w:r>
      <w:r w:rsidRPr="00C646EE">
        <w:t xml:space="preserve"> 70% ethanol and 2% glutaraldehyde (</w:t>
      </w:r>
      <w:r w:rsidR="003C6D77">
        <w:t>WOAH</w:t>
      </w:r>
      <w:r w:rsidRPr="00C646EE">
        <w:t xml:space="preserve"> Technical disease cards, 2020). </w:t>
      </w:r>
    </w:p>
    <w:p w14:paraId="363F0B73" w14:textId="77777777" w:rsidR="00874EF2" w:rsidRDefault="006C4816" w:rsidP="00874EF2">
      <w:pPr>
        <w:pStyle w:val="ListParagraph"/>
        <w:numPr>
          <w:ilvl w:val="0"/>
          <w:numId w:val="20"/>
        </w:numPr>
        <w:spacing w:after="160"/>
        <w:contextualSpacing/>
      </w:pPr>
      <w:r>
        <w:rPr>
          <w:rFonts w:cs="Calibri"/>
        </w:rPr>
        <w:t xml:space="preserve">Big cats and other carnivores have acquired </w:t>
      </w:r>
      <w:r>
        <w:rPr>
          <w:rFonts w:cs="Calibri"/>
          <w:i/>
          <w:iCs/>
        </w:rPr>
        <w:t>B. mallei</w:t>
      </w:r>
      <w:r>
        <w:rPr>
          <w:rFonts w:cs="Calibri"/>
        </w:rPr>
        <w:t xml:space="preserve"> infection from eating infected horse meat (Dvorak and </w:t>
      </w:r>
      <w:proofErr w:type="spellStart"/>
      <w:r>
        <w:rPr>
          <w:rFonts w:cs="Calibri"/>
        </w:rPr>
        <w:t>Spickler</w:t>
      </w:r>
      <w:proofErr w:type="spellEnd"/>
      <w:r>
        <w:rPr>
          <w:rFonts w:cs="Calibri"/>
        </w:rPr>
        <w:t>, 2008; Khaki et al, 2012).</w:t>
      </w:r>
      <w:r w:rsidR="00874EF2" w:rsidRPr="00874EF2">
        <w:t xml:space="preserve"> </w:t>
      </w:r>
    </w:p>
    <w:p w14:paraId="292595AD" w14:textId="77777777" w:rsidR="00D05F6D" w:rsidRPr="00C646EE" w:rsidRDefault="00D05F6D" w:rsidP="00D05F6D">
      <w:pPr>
        <w:pStyle w:val="ListParagraph"/>
        <w:numPr>
          <w:ilvl w:val="0"/>
          <w:numId w:val="20"/>
        </w:numPr>
        <w:spacing w:after="160"/>
        <w:contextualSpacing/>
      </w:pPr>
      <w:r w:rsidRPr="00C646EE">
        <w:t xml:space="preserve">It is unclear if </w:t>
      </w:r>
      <w:r w:rsidRPr="00C646EE">
        <w:rPr>
          <w:i/>
        </w:rPr>
        <w:t>B. mallei</w:t>
      </w:r>
      <w:r w:rsidRPr="00C646EE">
        <w:t xml:space="preserve"> would survive</w:t>
      </w:r>
      <w:r>
        <w:t xml:space="preserve"> and be able to be transmitted by</w:t>
      </w:r>
      <w:r w:rsidRPr="00C646EE">
        <w:t xml:space="preserve"> fresh or frozen semen or embryos. </w:t>
      </w:r>
    </w:p>
    <w:p w14:paraId="035F3804" w14:textId="21358476" w:rsidR="006C4816" w:rsidRPr="00686263" w:rsidRDefault="00874EF2" w:rsidP="00B41478">
      <w:pPr>
        <w:pStyle w:val="ListParagraph"/>
        <w:numPr>
          <w:ilvl w:val="0"/>
          <w:numId w:val="20"/>
        </w:numPr>
        <w:spacing w:after="160"/>
        <w:contextualSpacing/>
      </w:pPr>
      <w:r w:rsidRPr="00C646EE">
        <w:t xml:space="preserve">Australia imports large quantities of </w:t>
      </w:r>
      <w:r w:rsidR="00896A8A">
        <w:t>horse</w:t>
      </w:r>
      <w:r w:rsidRPr="00C646EE">
        <w:t xml:space="preserve"> semen (both fresh and frozen) each year which are</w:t>
      </w:r>
      <w:r w:rsidR="005B050E">
        <w:t xml:space="preserve"> widely used and</w:t>
      </w:r>
      <w:r w:rsidRPr="00C646EE">
        <w:t xml:space="preserve"> distributed all around the country. </w:t>
      </w:r>
    </w:p>
    <w:p w14:paraId="748F8BA0" w14:textId="66970D2B" w:rsidR="001077D2" w:rsidRPr="005A14F4" w:rsidRDefault="001077D2" w:rsidP="00B41478">
      <w:r w:rsidRPr="005A14F4">
        <w:t xml:space="preserve">Based on these considerations, the likelihood of susceptible animals being exposed to glanders via an imported </w:t>
      </w:r>
      <w:r w:rsidR="00984CFE">
        <w:t>horse</w:t>
      </w:r>
      <w:r w:rsidR="00984CFE" w:rsidRPr="005A14F4">
        <w:t xml:space="preserve"> </w:t>
      </w:r>
      <w:r w:rsidRPr="005A14F4">
        <w:t xml:space="preserve">was estimated to be </w:t>
      </w:r>
      <w:r w:rsidRPr="005A14F4">
        <w:rPr>
          <w:b/>
          <w:bCs/>
        </w:rPr>
        <w:t>moderate</w:t>
      </w:r>
      <w:r w:rsidR="001F485E">
        <w:t>, and</w:t>
      </w:r>
      <w:r w:rsidR="001F485E" w:rsidRPr="005A14F4">
        <w:t xml:space="preserve"> the</w:t>
      </w:r>
      <w:r w:rsidR="001474C4" w:rsidRPr="005A14F4">
        <w:t xml:space="preserve"> likelihood of exposure to glanders from </w:t>
      </w:r>
      <w:r w:rsidR="00984CFE">
        <w:t>horse</w:t>
      </w:r>
      <w:r w:rsidR="00984CFE" w:rsidRPr="005A14F4">
        <w:t xml:space="preserve"> </w:t>
      </w:r>
      <w:r w:rsidR="001474C4" w:rsidRPr="005A14F4">
        <w:t xml:space="preserve">semen </w:t>
      </w:r>
      <w:r w:rsidR="005B5153">
        <w:t>was</w:t>
      </w:r>
      <w:r w:rsidR="00BD4758">
        <w:t xml:space="preserve"> estimated to be</w:t>
      </w:r>
      <w:r w:rsidR="005B5153" w:rsidRPr="005A14F4">
        <w:t xml:space="preserve"> </w:t>
      </w:r>
      <w:r w:rsidR="001474C4" w:rsidRPr="005A14F4">
        <w:rPr>
          <w:b/>
          <w:bCs/>
        </w:rPr>
        <w:t>high</w:t>
      </w:r>
      <w:r w:rsidR="001474C4" w:rsidRPr="005A14F4">
        <w:t xml:space="preserve">. </w:t>
      </w:r>
    </w:p>
    <w:p w14:paraId="75C57D23" w14:textId="56DCA7A9" w:rsidR="00CD7143" w:rsidRPr="00B41478" w:rsidRDefault="0050311F" w:rsidP="00761A64">
      <w:pPr>
        <w:rPr>
          <w:i/>
          <w:iCs/>
        </w:rPr>
      </w:pPr>
      <w:r w:rsidRPr="005A14F4">
        <w:rPr>
          <w:i/>
          <w:iCs/>
        </w:rPr>
        <w:t>Estimation of the likelihood of entry and exposure</w:t>
      </w:r>
    </w:p>
    <w:p w14:paraId="2ED84EA2" w14:textId="2CDC046B" w:rsidR="00CD7143" w:rsidRDefault="0050311F" w:rsidP="00761A64">
      <w:r>
        <w:t xml:space="preserve">Using the matrix in </w:t>
      </w:r>
      <w:r w:rsidR="005C59EF">
        <w:t>Table</w:t>
      </w:r>
      <w:r>
        <w:t xml:space="preserve"> </w:t>
      </w:r>
      <w:r w:rsidR="005B050E">
        <w:t>2</w:t>
      </w:r>
      <w:r>
        <w:t xml:space="preserve"> </w:t>
      </w:r>
      <w:r w:rsidR="005B050E">
        <w:t>in Appendix 1</w:t>
      </w:r>
      <w:r>
        <w:t>, the overall likelihood of entry and exposure is estimated by combining the likelihood of entry and the corresponding likelihood of exposure.</w:t>
      </w:r>
    </w:p>
    <w:p w14:paraId="04F33FF2" w14:textId="0E91B4B3" w:rsidR="009F3751" w:rsidRDefault="009F3751" w:rsidP="009F3751">
      <w:r>
        <w:t xml:space="preserve">For </w:t>
      </w:r>
      <w:r w:rsidR="00984CFE">
        <w:t>horses</w:t>
      </w:r>
      <w:r>
        <w:t>, w</w:t>
      </w:r>
      <w:r w:rsidRPr="0050311F">
        <w:t xml:space="preserve">ith the likelihood of </w:t>
      </w:r>
      <w:r>
        <w:t>entry</w:t>
      </w:r>
      <w:r w:rsidRPr="0050311F">
        <w:t xml:space="preserve"> estimated to be </w:t>
      </w:r>
      <w:r>
        <w:t>moderate</w:t>
      </w:r>
      <w:r w:rsidRPr="0050311F">
        <w:t xml:space="preserve"> </w:t>
      </w:r>
      <w:r>
        <w:t xml:space="preserve">and </w:t>
      </w:r>
      <w:r w:rsidRPr="0050311F">
        <w:t>combined with the likelihood of exposure estimated to be</w:t>
      </w:r>
      <w:r>
        <w:t xml:space="preserve"> moderate</w:t>
      </w:r>
      <w:r w:rsidRPr="0050311F">
        <w:t xml:space="preserve">, the likelihood of </w:t>
      </w:r>
      <w:r>
        <w:t>entry</w:t>
      </w:r>
      <w:r w:rsidRPr="0050311F">
        <w:t xml:space="preserve"> and exposure for </w:t>
      </w:r>
      <w:r>
        <w:t>glanders</w:t>
      </w:r>
      <w:r w:rsidRPr="0050311F">
        <w:t xml:space="preserve"> was estimated to be </w:t>
      </w:r>
      <w:r w:rsidRPr="007F70F5">
        <w:rPr>
          <w:b/>
        </w:rPr>
        <w:t>low</w:t>
      </w:r>
      <w:r w:rsidRPr="0050311F">
        <w:t>.</w:t>
      </w:r>
    </w:p>
    <w:p w14:paraId="20107D13" w14:textId="06CE0076" w:rsidR="009F3751" w:rsidRDefault="009F3751" w:rsidP="00761A64">
      <w:r>
        <w:t xml:space="preserve">For </w:t>
      </w:r>
      <w:r w:rsidR="00984CFE">
        <w:t xml:space="preserve">horse </w:t>
      </w:r>
      <w:r>
        <w:t>semen, w</w:t>
      </w:r>
      <w:r w:rsidR="0050311F" w:rsidRPr="0050311F">
        <w:t xml:space="preserve">ith the likelihood of </w:t>
      </w:r>
      <w:r w:rsidR="0050311F">
        <w:t>entry</w:t>
      </w:r>
      <w:r w:rsidR="0050311F" w:rsidRPr="0050311F">
        <w:t xml:space="preserve"> estimated to be </w:t>
      </w:r>
      <w:r w:rsidR="003D2950">
        <w:t>low</w:t>
      </w:r>
      <w:r w:rsidR="0050311F" w:rsidRPr="0050311F">
        <w:t xml:space="preserve"> </w:t>
      </w:r>
      <w:r>
        <w:t xml:space="preserve">and </w:t>
      </w:r>
      <w:r w:rsidR="0050311F" w:rsidRPr="0050311F">
        <w:t>combined with the likelihood of exposure estimated to be</w:t>
      </w:r>
      <w:r w:rsidR="009E4EE9">
        <w:t xml:space="preserve"> </w:t>
      </w:r>
      <w:r w:rsidR="00A50058">
        <w:t>high</w:t>
      </w:r>
      <w:r w:rsidR="0050311F" w:rsidRPr="0050311F">
        <w:t xml:space="preserve">, the likelihood of </w:t>
      </w:r>
      <w:r>
        <w:t>entry</w:t>
      </w:r>
      <w:r w:rsidRPr="0050311F">
        <w:t xml:space="preserve"> </w:t>
      </w:r>
      <w:r w:rsidR="0050311F" w:rsidRPr="0050311F">
        <w:t xml:space="preserve">and exposure for </w:t>
      </w:r>
      <w:r w:rsidR="0050311F">
        <w:t>glanders</w:t>
      </w:r>
      <w:r w:rsidR="0050311F" w:rsidRPr="0050311F">
        <w:t xml:space="preserve"> was estimated to be </w:t>
      </w:r>
      <w:r w:rsidR="003D2950" w:rsidRPr="007F70F5">
        <w:rPr>
          <w:b/>
        </w:rPr>
        <w:t>low</w:t>
      </w:r>
      <w:r w:rsidR="0050311F" w:rsidRPr="0050311F">
        <w:t>.</w:t>
      </w:r>
    </w:p>
    <w:p w14:paraId="7EA92315" w14:textId="2F8862FA" w:rsidR="0050311F" w:rsidRPr="00B41478" w:rsidRDefault="0050311F" w:rsidP="00761A64">
      <w:pPr>
        <w:rPr>
          <w:i/>
          <w:iCs/>
        </w:rPr>
      </w:pPr>
      <w:r w:rsidRPr="00B41478">
        <w:rPr>
          <w:i/>
          <w:iCs/>
        </w:rPr>
        <w:t>Consequence assessment</w:t>
      </w:r>
    </w:p>
    <w:p w14:paraId="464810D0" w14:textId="35F5CEFB" w:rsidR="0050311F" w:rsidRDefault="00E30AE8" w:rsidP="00761A64">
      <w:r w:rsidRPr="00E30AE8">
        <w:t xml:space="preserve">The consequence assessment describes the potential consequences associated with disease agent entry and </w:t>
      </w:r>
      <w:proofErr w:type="gramStart"/>
      <w:r w:rsidRPr="00E30AE8">
        <w:t>exposure, and</w:t>
      </w:r>
      <w:proofErr w:type="gramEnd"/>
      <w:r w:rsidRPr="00E30AE8">
        <w:t xml:space="preserve"> estimates the likelihood of them occurring. This involves estimating the likelihood of establishment and/or spread of the disease agent for the most likely outbreak scenario, and determining the direct and indirect effects (health, environmental and socioeconomic) should this outbreak scenario occur. Combining the likelihood of establishment and/or spread for this outbreak scenario with the corresponding overall effect gives an estimation of likely consequences.</w:t>
      </w:r>
    </w:p>
    <w:p w14:paraId="246F2367" w14:textId="1214EF6A" w:rsidR="00E30AE8" w:rsidRPr="00B41478" w:rsidRDefault="00E30AE8" w:rsidP="00761A64">
      <w:pPr>
        <w:rPr>
          <w:i/>
          <w:iCs/>
        </w:rPr>
      </w:pPr>
      <w:r w:rsidRPr="00B41478">
        <w:rPr>
          <w:i/>
          <w:iCs/>
        </w:rPr>
        <w:t>Likelihood of establishment and/or spread associated with the outbreak scenario</w:t>
      </w:r>
    </w:p>
    <w:p w14:paraId="699DB48E" w14:textId="0A876408" w:rsidR="00E30AE8" w:rsidRDefault="00E30AE8" w:rsidP="00761A64">
      <w:r w:rsidRPr="00E30AE8">
        <w:t>Once exposure of susceptible animals has occurred,</w:t>
      </w:r>
      <w:r w:rsidR="006173A9">
        <w:t xml:space="preserve"> following importation of an infected </w:t>
      </w:r>
      <w:r w:rsidR="00984CFE">
        <w:t xml:space="preserve">horse </w:t>
      </w:r>
      <w:r w:rsidR="006173A9">
        <w:t xml:space="preserve">or </w:t>
      </w:r>
      <w:r w:rsidR="00984CFE">
        <w:t>horse</w:t>
      </w:r>
      <w:r w:rsidR="006173A9">
        <w:t xml:space="preserve"> semen,</w:t>
      </w:r>
      <w:r w:rsidRPr="00E30AE8">
        <w:t xml:space="preserve"> </w:t>
      </w:r>
      <w:proofErr w:type="gramStart"/>
      <w:r w:rsidRPr="00E30AE8">
        <w:t>a number of</w:t>
      </w:r>
      <w:proofErr w:type="gramEnd"/>
      <w:r w:rsidRPr="00E30AE8">
        <w:t xml:space="preserve"> possible outbreak scenarios could follow, ranging from no spread to establishment of widespread disease.</w:t>
      </w:r>
    </w:p>
    <w:p w14:paraId="3965E1A2" w14:textId="07154E18" w:rsidR="004076B5" w:rsidRDefault="00E30AE8" w:rsidP="00761A64">
      <w:r w:rsidRPr="00E30AE8">
        <w:lastRenderedPageBreak/>
        <w:t xml:space="preserve">The most likely outbreak scenario was determined by the extent of establishment and/or spread at detection. The most likely outbreak scenario following exposure to </w:t>
      </w:r>
      <w:r>
        <w:t>glanders</w:t>
      </w:r>
      <w:r w:rsidRPr="00E30AE8">
        <w:t xml:space="preserve"> </w:t>
      </w:r>
      <w:proofErr w:type="gramStart"/>
      <w:r w:rsidRPr="00E30AE8">
        <w:t>is considered to be</w:t>
      </w:r>
      <w:proofErr w:type="gramEnd"/>
      <w:r w:rsidRPr="00E30AE8">
        <w:t xml:space="preserve"> </w:t>
      </w:r>
      <w:r w:rsidR="00ED2D8B" w:rsidRPr="007F70F5">
        <w:t>a widespread outbreak</w:t>
      </w:r>
      <w:r w:rsidR="00ED2D8B">
        <w:t xml:space="preserve"> whereby glanders </w:t>
      </w:r>
      <w:r w:rsidRPr="00E30AE8">
        <w:t>establish</w:t>
      </w:r>
      <w:r w:rsidR="00ED2D8B">
        <w:t xml:space="preserve">es in directly </w:t>
      </w:r>
      <w:r w:rsidR="00783EB6">
        <w:t>exposed</w:t>
      </w:r>
      <w:r w:rsidRPr="00E30AE8">
        <w:t xml:space="preserve"> populations of susceptible animals (</w:t>
      </w:r>
      <w:r w:rsidR="00984CFE">
        <w:t>horses</w:t>
      </w:r>
      <w:r w:rsidRPr="00E30AE8">
        <w:t xml:space="preserve">) </w:t>
      </w:r>
      <w:r w:rsidR="00783EB6">
        <w:t xml:space="preserve">and spreads </w:t>
      </w:r>
      <w:r w:rsidRPr="00E30AE8">
        <w:t>within multiple states/territories through direct contact</w:t>
      </w:r>
      <w:r w:rsidR="003D2950">
        <w:t>, insemination with contamin</w:t>
      </w:r>
      <w:r w:rsidR="007F70F5">
        <w:t>at</w:t>
      </w:r>
      <w:r w:rsidR="003D2950">
        <w:t>ed semen,</w:t>
      </w:r>
      <w:r w:rsidRPr="00E30AE8">
        <w:t xml:space="preserve"> and fomite transmission. </w:t>
      </w:r>
    </w:p>
    <w:p w14:paraId="551743C5" w14:textId="5A4C3A4F" w:rsidR="0050311F" w:rsidRDefault="00E30AE8" w:rsidP="00761A64">
      <w:r w:rsidRPr="00E30AE8">
        <w:t xml:space="preserve">The following factors were considered relevant to an estimate of the likelihood of establishment and/or spread associated with exposure of susceptible animals to </w:t>
      </w:r>
      <w:r w:rsidR="004076B5">
        <w:t>glanders.</w:t>
      </w:r>
    </w:p>
    <w:p w14:paraId="6E4FDBAC" w14:textId="77777777" w:rsidR="00874EF2" w:rsidRDefault="00874EF2" w:rsidP="00874EF2">
      <w:pPr>
        <w:pStyle w:val="ListParagraph"/>
        <w:numPr>
          <w:ilvl w:val="0"/>
          <w:numId w:val="20"/>
        </w:numPr>
        <w:spacing w:after="160"/>
        <w:contextualSpacing/>
      </w:pPr>
      <w:r w:rsidRPr="00C646EE">
        <w:t xml:space="preserve">Glanders is a highly infectious disease that is spread via direct contact, </w:t>
      </w:r>
      <w:proofErr w:type="spellStart"/>
      <w:r w:rsidRPr="00C646EE">
        <w:t>aerosolisation</w:t>
      </w:r>
      <w:proofErr w:type="spellEnd"/>
      <w:r w:rsidRPr="00C646EE">
        <w:t xml:space="preserve"> of infected secretions and fomites. </w:t>
      </w:r>
    </w:p>
    <w:p w14:paraId="289F5B57" w14:textId="36742267" w:rsidR="00686263" w:rsidRDefault="00686263" w:rsidP="00686263">
      <w:pPr>
        <w:pStyle w:val="ListParagraph"/>
        <w:numPr>
          <w:ilvl w:val="0"/>
          <w:numId w:val="20"/>
        </w:numPr>
        <w:spacing w:after="160"/>
        <w:contextualSpacing/>
      </w:pPr>
      <w:r w:rsidRPr="00C646EE">
        <w:t xml:space="preserve">Glanders is a </w:t>
      </w:r>
      <w:proofErr w:type="gramStart"/>
      <w:r w:rsidRPr="00C646EE">
        <w:t>facultative intracellular obligate bacteria</w:t>
      </w:r>
      <w:proofErr w:type="gramEnd"/>
      <w:r w:rsidRPr="00C646EE">
        <w:t xml:space="preserve"> that relies on host transmission for dispersal</w:t>
      </w:r>
      <w:r>
        <w:t>.</w:t>
      </w:r>
    </w:p>
    <w:p w14:paraId="10FC3339" w14:textId="77777777" w:rsidR="00686263" w:rsidRPr="00686263" w:rsidRDefault="00686263" w:rsidP="00686263">
      <w:pPr>
        <w:pStyle w:val="ListParagraph"/>
        <w:numPr>
          <w:ilvl w:val="0"/>
          <w:numId w:val="20"/>
        </w:numPr>
        <w:spacing w:after="160"/>
        <w:contextualSpacing/>
      </w:pPr>
      <w:r>
        <w:rPr>
          <w:rFonts w:cs="Calibri"/>
        </w:rPr>
        <w:t xml:space="preserve">Rare cases of glanders have been reported in camels, </w:t>
      </w:r>
      <w:proofErr w:type="gramStart"/>
      <w:r>
        <w:rPr>
          <w:rFonts w:cs="Calibri"/>
        </w:rPr>
        <w:t>goats</w:t>
      </w:r>
      <w:proofErr w:type="gramEnd"/>
      <w:r>
        <w:rPr>
          <w:rFonts w:cs="Calibri"/>
        </w:rPr>
        <w:t xml:space="preserve"> and sheep (Dvorak and </w:t>
      </w:r>
      <w:proofErr w:type="spellStart"/>
      <w:r>
        <w:rPr>
          <w:rFonts w:cs="Calibri"/>
        </w:rPr>
        <w:t>Spickler</w:t>
      </w:r>
      <w:proofErr w:type="spellEnd"/>
      <w:r>
        <w:rPr>
          <w:rFonts w:cs="Calibri"/>
        </w:rPr>
        <w:t xml:space="preserve">, 2008; </w:t>
      </w:r>
      <w:proofErr w:type="spellStart"/>
      <w:r>
        <w:rPr>
          <w:rFonts w:cs="Calibri"/>
        </w:rPr>
        <w:t>Wernery</w:t>
      </w:r>
      <w:proofErr w:type="spellEnd"/>
      <w:r>
        <w:rPr>
          <w:rFonts w:cs="Calibri"/>
        </w:rPr>
        <w:t xml:space="preserve"> et al, 2011).</w:t>
      </w:r>
    </w:p>
    <w:p w14:paraId="3081AD07" w14:textId="73D78C71" w:rsidR="00686263" w:rsidRPr="00686263" w:rsidRDefault="00686263" w:rsidP="00686263">
      <w:pPr>
        <w:pStyle w:val="ListParagraph"/>
        <w:numPr>
          <w:ilvl w:val="0"/>
          <w:numId w:val="20"/>
        </w:numPr>
        <w:spacing w:after="160"/>
        <w:contextualSpacing/>
      </w:pPr>
      <w:r>
        <w:rPr>
          <w:rFonts w:cs="Calibri"/>
        </w:rPr>
        <w:t xml:space="preserve">Cattle, pigs, </w:t>
      </w:r>
      <w:proofErr w:type="gramStart"/>
      <w:r>
        <w:rPr>
          <w:rFonts w:cs="Calibri"/>
        </w:rPr>
        <w:t>rats</w:t>
      </w:r>
      <w:proofErr w:type="gramEnd"/>
      <w:r>
        <w:rPr>
          <w:rFonts w:cs="Calibri"/>
        </w:rPr>
        <w:t xml:space="preserve"> and birds are relatively resistant to experimental infection (Dvorak and </w:t>
      </w:r>
      <w:proofErr w:type="spellStart"/>
      <w:r>
        <w:rPr>
          <w:rFonts w:cs="Calibri"/>
        </w:rPr>
        <w:t>Spick</w:t>
      </w:r>
      <w:r w:rsidR="00D0233C">
        <w:rPr>
          <w:rFonts w:cs="Calibri"/>
        </w:rPr>
        <w:t>l</w:t>
      </w:r>
      <w:r>
        <w:rPr>
          <w:rFonts w:cs="Calibri"/>
        </w:rPr>
        <w:t>er</w:t>
      </w:r>
      <w:proofErr w:type="spellEnd"/>
      <w:r>
        <w:rPr>
          <w:rFonts w:cs="Calibri"/>
        </w:rPr>
        <w:t>, 2008).</w:t>
      </w:r>
    </w:p>
    <w:p w14:paraId="745093CB" w14:textId="77777777" w:rsidR="00686263" w:rsidRPr="00DD02AD" w:rsidRDefault="00686263" w:rsidP="00686263">
      <w:pPr>
        <w:pStyle w:val="ListParagraph"/>
        <w:numPr>
          <w:ilvl w:val="0"/>
          <w:numId w:val="20"/>
        </w:numPr>
        <w:spacing w:after="160"/>
        <w:contextualSpacing/>
      </w:pPr>
      <w:r>
        <w:rPr>
          <w:rFonts w:cs="Calibri"/>
          <w:i/>
          <w:iCs/>
        </w:rPr>
        <w:t xml:space="preserve">B. mallei </w:t>
      </w:r>
      <w:r>
        <w:rPr>
          <w:rFonts w:cs="Calibri"/>
        </w:rPr>
        <w:t>is readily transmitted by respiratory secretions, and skin exudates that can contain large numbers of infective bacteria (CFSPH, 2019).</w:t>
      </w:r>
    </w:p>
    <w:p w14:paraId="5242B9EC" w14:textId="77777777" w:rsidR="00686263" w:rsidRDefault="00686263" w:rsidP="00686263">
      <w:pPr>
        <w:pStyle w:val="ListParagraph"/>
        <w:numPr>
          <w:ilvl w:val="0"/>
          <w:numId w:val="20"/>
        </w:numPr>
        <w:spacing w:after="160"/>
        <w:contextualSpacing/>
      </w:pPr>
      <w:r>
        <w:rPr>
          <w:rFonts w:cs="Calibri"/>
        </w:rPr>
        <w:t xml:space="preserve">Transmission commonly occurs via direct ingestion, inhalation or skin contamination of abraded skin or mucus membranes (Dvorak &amp; </w:t>
      </w:r>
      <w:proofErr w:type="spellStart"/>
      <w:r>
        <w:rPr>
          <w:rFonts w:cs="Calibri"/>
        </w:rPr>
        <w:t>Spickler</w:t>
      </w:r>
      <w:proofErr w:type="spellEnd"/>
      <w:r>
        <w:rPr>
          <w:rFonts w:cs="Calibri"/>
        </w:rPr>
        <w:t>, 2008).</w:t>
      </w:r>
    </w:p>
    <w:p w14:paraId="64E37138" w14:textId="77777777" w:rsidR="00686263" w:rsidRPr="00DD02AD" w:rsidRDefault="00686263" w:rsidP="00686263">
      <w:pPr>
        <w:pStyle w:val="ListParagraph"/>
        <w:numPr>
          <w:ilvl w:val="0"/>
          <w:numId w:val="20"/>
        </w:numPr>
        <w:spacing w:after="160"/>
        <w:contextualSpacing/>
      </w:pPr>
      <w:r>
        <w:rPr>
          <w:rFonts w:cs="Calibri"/>
        </w:rPr>
        <w:t xml:space="preserve">Indirect transmission can occur by fomites such as contaminated food, water, general husbandry equipment, breeding equipment or people (Dvorak &amp; </w:t>
      </w:r>
      <w:proofErr w:type="spellStart"/>
      <w:r>
        <w:rPr>
          <w:rFonts w:cs="Calibri"/>
        </w:rPr>
        <w:t>Spickler</w:t>
      </w:r>
      <w:proofErr w:type="spellEnd"/>
      <w:r>
        <w:rPr>
          <w:rFonts w:cs="Calibri"/>
        </w:rPr>
        <w:t>, 2008).</w:t>
      </w:r>
    </w:p>
    <w:p w14:paraId="047B4D0F" w14:textId="77777777" w:rsidR="00686263" w:rsidRPr="00DD02AD" w:rsidRDefault="00686263" w:rsidP="00686263">
      <w:pPr>
        <w:pStyle w:val="ListParagraph"/>
        <w:numPr>
          <w:ilvl w:val="0"/>
          <w:numId w:val="20"/>
        </w:numPr>
        <w:spacing w:after="160"/>
        <w:contextualSpacing/>
      </w:pPr>
      <w:r>
        <w:rPr>
          <w:rFonts w:cs="Calibri"/>
        </w:rPr>
        <w:t xml:space="preserve">Chronically or latently infected animals with minimal signs of disease may serve as a pathogen reservoir (Dvorak and </w:t>
      </w:r>
      <w:proofErr w:type="spellStart"/>
      <w:r>
        <w:rPr>
          <w:rFonts w:cs="Calibri"/>
        </w:rPr>
        <w:t>Spickler</w:t>
      </w:r>
      <w:proofErr w:type="spellEnd"/>
      <w:r>
        <w:rPr>
          <w:rFonts w:cs="Calibri"/>
        </w:rPr>
        <w:t xml:space="preserve"> 2008). </w:t>
      </w:r>
    </w:p>
    <w:p w14:paraId="5CD1B66E" w14:textId="428DFA13" w:rsidR="00686263" w:rsidRDefault="00686263" w:rsidP="00686263">
      <w:pPr>
        <w:pStyle w:val="ListParagraph"/>
        <w:numPr>
          <w:ilvl w:val="0"/>
          <w:numId w:val="20"/>
        </w:numPr>
        <w:spacing w:after="160"/>
        <w:contextualSpacing/>
      </w:pPr>
      <w:r>
        <w:rPr>
          <w:rFonts w:cs="Calibri"/>
        </w:rPr>
        <w:t xml:space="preserve">Chronic and </w:t>
      </w:r>
      <w:proofErr w:type="spellStart"/>
      <w:r>
        <w:rPr>
          <w:rFonts w:cs="Calibri"/>
        </w:rPr>
        <w:t>subclinically</w:t>
      </w:r>
      <w:proofErr w:type="spellEnd"/>
      <w:r>
        <w:rPr>
          <w:rFonts w:cs="Calibri"/>
        </w:rPr>
        <w:t xml:space="preserve"> infected cases can shed bacteria continuously or intermittently (</w:t>
      </w:r>
      <w:r w:rsidR="003C6D77">
        <w:rPr>
          <w:rFonts w:cs="Calibri"/>
        </w:rPr>
        <w:t>WOAH</w:t>
      </w:r>
      <w:r>
        <w:rPr>
          <w:rFonts w:cs="Calibri"/>
        </w:rPr>
        <w:t>, 2009).</w:t>
      </w:r>
    </w:p>
    <w:p w14:paraId="786D891C" w14:textId="1A1BA694" w:rsidR="003D2950" w:rsidRDefault="003D2950" w:rsidP="003D2950">
      <w:pPr>
        <w:pStyle w:val="ListParagraph"/>
        <w:numPr>
          <w:ilvl w:val="0"/>
          <w:numId w:val="20"/>
        </w:numPr>
        <w:spacing w:after="160"/>
        <w:contextualSpacing/>
      </w:pPr>
      <w:r w:rsidRPr="00C646EE">
        <w:rPr>
          <w:i/>
        </w:rPr>
        <w:t xml:space="preserve">B. mallei </w:t>
      </w:r>
      <w:r w:rsidRPr="00C646EE">
        <w:t>can survive outside of the host species under specific environmental conditions found in tropical environments (</w:t>
      </w:r>
      <w:r w:rsidR="003C6D77">
        <w:t>WOAH</w:t>
      </w:r>
      <w:r w:rsidRPr="00C646EE">
        <w:t xml:space="preserve"> Technical disease cards, 2020). </w:t>
      </w:r>
    </w:p>
    <w:p w14:paraId="123EE187" w14:textId="65754DF1" w:rsidR="002739D7" w:rsidRPr="00C646EE" w:rsidRDefault="002739D7" w:rsidP="000C02EB">
      <w:pPr>
        <w:pStyle w:val="ListParagraph"/>
        <w:numPr>
          <w:ilvl w:val="0"/>
          <w:numId w:val="20"/>
        </w:numPr>
        <w:spacing w:after="160"/>
        <w:contextualSpacing/>
      </w:pPr>
      <w:r w:rsidRPr="00C646EE">
        <w:rPr>
          <w:i/>
        </w:rPr>
        <w:t>B.</w:t>
      </w:r>
      <w:r w:rsidR="00256E12">
        <w:rPr>
          <w:i/>
        </w:rPr>
        <w:t xml:space="preserve"> </w:t>
      </w:r>
      <w:proofErr w:type="spellStart"/>
      <w:r w:rsidRPr="00C646EE">
        <w:rPr>
          <w:i/>
        </w:rPr>
        <w:t>pseudomallei</w:t>
      </w:r>
      <w:proofErr w:type="spellEnd"/>
      <w:r w:rsidRPr="00C646EE">
        <w:rPr>
          <w:i/>
        </w:rPr>
        <w:t xml:space="preserve"> </w:t>
      </w:r>
      <w:r w:rsidRPr="00C646EE">
        <w:t>(melioidosis) is present in northern Australia</w:t>
      </w:r>
      <w:r w:rsidR="004E723C">
        <w:t xml:space="preserve"> and a pocket of Western Australia</w:t>
      </w:r>
      <w:r>
        <w:t>.</w:t>
      </w:r>
      <w:r w:rsidRPr="00C646EE">
        <w:t xml:space="preserve"> </w:t>
      </w:r>
      <w:r>
        <w:t>C</w:t>
      </w:r>
      <w:r w:rsidRPr="00C646EE">
        <w:t xml:space="preserve">onditions in this area </w:t>
      </w:r>
      <w:r>
        <w:t>may b</w:t>
      </w:r>
      <w:r w:rsidRPr="00C646EE">
        <w:t xml:space="preserve">e suitable for </w:t>
      </w:r>
      <w:r w:rsidRPr="00C646EE">
        <w:rPr>
          <w:i/>
        </w:rPr>
        <w:t>B.</w:t>
      </w:r>
      <w:r>
        <w:rPr>
          <w:i/>
        </w:rPr>
        <w:t xml:space="preserve"> </w:t>
      </w:r>
      <w:r w:rsidRPr="00C646EE">
        <w:rPr>
          <w:i/>
        </w:rPr>
        <w:t xml:space="preserve">mallei </w:t>
      </w:r>
      <w:r w:rsidRPr="00C646EE">
        <w:t xml:space="preserve">to be sustained within the environment for short periods of time (up to one month). </w:t>
      </w:r>
    </w:p>
    <w:p w14:paraId="0F768B3A" w14:textId="16348D9F" w:rsidR="003D2950" w:rsidRPr="00C646EE" w:rsidRDefault="003D2950" w:rsidP="00B41478">
      <w:pPr>
        <w:pStyle w:val="ListParagraph"/>
        <w:numPr>
          <w:ilvl w:val="0"/>
          <w:numId w:val="20"/>
        </w:numPr>
        <w:spacing w:after="160"/>
        <w:contextualSpacing/>
      </w:pPr>
      <w:r w:rsidRPr="00C646EE">
        <w:rPr>
          <w:i/>
        </w:rPr>
        <w:t>B. mallei</w:t>
      </w:r>
      <w:r w:rsidRPr="00C646EE">
        <w:t xml:space="preserve"> is susceptible to intense heat, direct </w:t>
      </w:r>
      <w:proofErr w:type="gramStart"/>
      <w:r w:rsidRPr="00C646EE">
        <w:t>sunlight</w:t>
      </w:r>
      <w:proofErr w:type="gramEnd"/>
      <w:r w:rsidRPr="00C646EE">
        <w:t xml:space="preserve"> and disinfectants (</w:t>
      </w:r>
      <w:proofErr w:type="spellStart"/>
      <w:r w:rsidRPr="00C646EE">
        <w:t>Timoney</w:t>
      </w:r>
      <w:proofErr w:type="spellEnd"/>
      <w:r w:rsidRPr="00C646EE">
        <w:t>, 2014).</w:t>
      </w:r>
    </w:p>
    <w:p w14:paraId="0BE123AE" w14:textId="77777777" w:rsidR="00874EF2" w:rsidRPr="00C646EE" w:rsidRDefault="00874EF2" w:rsidP="00874EF2">
      <w:pPr>
        <w:pStyle w:val="ListParagraph"/>
        <w:numPr>
          <w:ilvl w:val="0"/>
          <w:numId w:val="20"/>
        </w:numPr>
        <w:spacing w:after="160"/>
        <w:contextualSpacing/>
      </w:pPr>
      <w:r w:rsidRPr="00C646EE">
        <w:t>Evidence of venereal transmission of glanders is unclear.</w:t>
      </w:r>
    </w:p>
    <w:p w14:paraId="6B3C85AD" w14:textId="7829C10B" w:rsidR="00874EF2" w:rsidRPr="00C646EE" w:rsidRDefault="00874EF2" w:rsidP="000C02EB">
      <w:pPr>
        <w:pStyle w:val="ListParagraph"/>
        <w:numPr>
          <w:ilvl w:val="0"/>
          <w:numId w:val="20"/>
        </w:numPr>
        <w:spacing w:after="160"/>
        <w:contextualSpacing/>
      </w:pPr>
      <w:r w:rsidRPr="00C646EE">
        <w:t xml:space="preserve">It is unclear if </w:t>
      </w:r>
      <w:r w:rsidRPr="00C646EE">
        <w:rPr>
          <w:i/>
        </w:rPr>
        <w:t>B. mallei</w:t>
      </w:r>
      <w:r w:rsidRPr="00C646EE">
        <w:t xml:space="preserve"> would survive in fresh or frozen semen or embryos. </w:t>
      </w:r>
    </w:p>
    <w:p w14:paraId="1196D317" w14:textId="77777777" w:rsidR="003D2950" w:rsidRPr="00C646EE" w:rsidRDefault="003D2950" w:rsidP="003D2950">
      <w:pPr>
        <w:pStyle w:val="ListParagraph"/>
        <w:numPr>
          <w:ilvl w:val="0"/>
          <w:numId w:val="20"/>
        </w:numPr>
        <w:spacing w:after="160"/>
        <w:contextualSpacing/>
      </w:pPr>
      <w:r w:rsidRPr="00C646EE">
        <w:t xml:space="preserve">Tests available to diagnose glanders have varying levels of sensitivity and specificity. False negatives occur to varying degrees with all available tests. </w:t>
      </w:r>
    </w:p>
    <w:p w14:paraId="622CD632" w14:textId="77777777" w:rsidR="003D2950" w:rsidRPr="00C646EE" w:rsidRDefault="003D2950" w:rsidP="003D2950">
      <w:pPr>
        <w:pStyle w:val="ListParagraph"/>
        <w:numPr>
          <w:ilvl w:val="0"/>
          <w:numId w:val="20"/>
        </w:numPr>
        <w:spacing w:after="160"/>
        <w:contextualSpacing/>
      </w:pPr>
      <w:r w:rsidRPr="00C646EE">
        <w:t xml:space="preserve">False positive results </w:t>
      </w:r>
      <w:r>
        <w:t xml:space="preserve">can </w:t>
      </w:r>
      <w:r w:rsidRPr="00C646EE">
        <w:t xml:space="preserve">occur due to the use of crude antigen triggering cross-reactions with non-specific antibodies in serum samples (Sprague et al, 2009). </w:t>
      </w:r>
    </w:p>
    <w:p w14:paraId="051E7306" w14:textId="63F8D555" w:rsidR="00E30AE8" w:rsidRDefault="00BD2506" w:rsidP="00F91BA5">
      <w:pPr>
        <w:pStyle w:val="ListParagraph"/>
        <w:numPr>
          <w:ilvl w:val="0"/>
          <w:numId w:val="20"/>
        </w:numPr>
        <w:spacing w:after="160"/>
        <w:contextualSpacing/>
      </w:pPr>
      <w:r w:rsidRPr="00C646EE">
        <w:t xml:space="preserve">There is no </w:t>
      </w:r>
      <w:r>
        <w:t xml:space="preserve">reliable </w:t>
      </w:r>
      <w:r w:rsidRPr="00C646EE">
        <w:t xml:space="preserve">treatment for glanders in animals. Antibiotic treatment of glanders is a prolonged, expensive process with a very high rate of failure in </w:t>
      </w:r>
      <w:r w:rsidR="00896A8A">
        <w:t>horses</w:t>
      </w:r>
      <w:r w:rsidRPr="00C646EE">
        <w:t xml:space="preserve"> (Saqib et al, 2012; Kettle &amp; </w:t>
      </w:r>
      <w:proofErr w:type="spellStart"/>
      <w:r w:rsidRPr="00C646EE">
        <w:t>Werney</w:t>
      </w:r>
      <w:proofErr w:type="spellEnd"/>
      <w:r w:rsidRPr="00C646EE">
        <w:t>, 2016).</w:t>
      </w:r>
    </w:p>
    <w:p w14:paraId="0D3ACAD4" w14:textId="701A3793" w:rsidR="00506D6F" w:rsidRDefault="00506D6F" w:rsidP="00506D6F">
      <w:pPr>
        <w:pStyle w:val="ListParagraph"/>
        <w:numPr>
          <w:ilvl w:val="0"/>
          <w:numId w:val="20"/>
        </w:numPr>
        <w:spacing w:after="160"/>
        <w:contextualSpacing/>
      </w:pPr>
      <w:r w:rsidRPr="00C646EE">
        <w:t>There is no vaccine available for glanders in horses (Ulrich et al, 2005).</w:t>
      </w:r>
    </w:p>
    <w:p w14:paraId="38D2FF15" w14:textId="7D18C4DB" w:rsidR="002739D7" w:rsidRDefault="002739D7" w:rsidP="00B41478">
      <w:pPr>
        <w:pStyle w:val="ListParagraph"/>
        <w:numPr>
          <w:ilvl w:val="0"/>
          <w:numId w:val="20"/>
        </w:numPr>
        <w:spacing w:after="160"/>
        <w:contextualSpacing/>
      </w:pPr>
      <w:r w:rsidRPr="00C646EE">
        <w:t xml:space="preserve">Eradication of glanders from Australia’s feral </w:t>
      </w:r>
      <w:r w:rsidR="00896A8A">
        <w:t>horse</w:t>
      </w:r>
      <w:r w:rsidRPr="00C646EE">
        <w:t xml:space="preserve"> population may be difficult if the disease were to establish in Australia. </w:t>
      </w:r>
    </w:p>
    <w:p w14:paraId="512D56BB" w14:textId="69EBFE53" w:rsidR="00884965" w:rsidRDefault="000A1654" w:rsidP="008F50B8">
      <w:pPr>
        <w:pStyle w:val="ListParagraph"/>
        <w:numPr>
          <w:ilvl w:val="0"/>
          <w:numId w:val="20"/>
        </w:numPr>
        <w:spacing w:after="160"/>
        <w:contextualSpacing/>
      </w:pPr>
      <w:r>
        <w:t xml:space="preserve">The requirements for movement of horses between Australian states and territories is inconsistent. Some areas require significantly more documentation and registration </w:t>
      </w:r>
      <w:r>
        <w:lastRenderedPageBreak/>
        <w:t xml:space="preserve">prior to movement being permitted. </w:t>
      </w:r>
      <w:r w:rsidR="00884965">
        <w:t xml:space="preserve">These inconsistencies could lead to impaired traceability. </w:t>
      </w:r>
    </w:p>
    <w:p w14:paraId="413FB755" w14:textId="7468BD1F" w:rsidR="00E30AE8" w:rsidRDefault="004076B5" w:rsidP="00761A64">
      <w:r w:rsidRPr="00984CFE">
        <w:t xml:space="preserve">Based on these considerations for the identified outbreak scenario, the likelihood of establishment and/or spread of glanders was estimated to be </w:t>
      </w:r>
      <w:r w:rsidR="00F91BA5" w:rsidRPr="00984CFE">
        <w:rPr>
          <w:b/>
        </w:rPr>
        <w:t>high</w:t>
      </w:r>
      <w:r w:rsidRPr="00984CFE">
        <w:t>.</w:t>
      </w:r>
    </w:p>
    <w:p w14:paraId="1AFCD3EA" w14:textId="39718EBF" w:rsidR="00783EB6" w:rsidRPr="00B41478" w:rsidRDefault="00783EB6" w:rsidP="00761A64">
      <w:pPr>
        <w:rPr>
          <w:i/>
          <w:iCs/>
        </w:rPr>
      </w:pPr>
      <w:r w:rsidRPr="00B41478">
        <w:rPr>
          <w:i/>
          <w:iCs/>
        </w:rPr>
        <w:t>Determination of the effects resulting from the outbreak scenario</w:t>
      </w:r>
    </w:p>
    <w:p w14:paraId="5B5D0117" w14:textId="21FC1664" w:rsidR="00D03260" w:rsidRDefault="00D03260" w:rsidP="00761A64">
      <w:r>
        <w:t>Following estimation of establishment and</w:t>
      </w:r>
      <w:r w:rsidR="001B61E3">
        <w:t xml:space="preserve"> /</w:t>
      </w:r>
      <w:r>
        <w:t xml:space="preserve"> or spread of glanders is the determination of the effects (health, environmental and socioeconomic) resulting from the outbreak scenario. Adverse effects are evaluated in terms of seven (two direct and five indirect) criteria.</w:t>
      </w:r>
      <w:r w:rsidR="00177BE0">
        <w:t xml:space="preserve"> Further details on the method for determining the effects resulting from the outbreak scenario can be found in</w:t>
      </w:r>
      <w:r w:rsidR="0012795E">
        <w:t xml:space="preserve"> Appendix 1 and</w:t>
      </w:r>
      <w:r w:rsidR="00177BE0">
        <w:t xml:space="preserve"> the Horse IRA. </w:t>
      </w:r>
    </w:p>
    <w:p w14:paraId="5B5F4D5C" w14:textId="578B3140" w:rsidR="00D03260" w:rsidRDefault="00D03260" w:rsidP="00761A64">
      <w:r>
        <w:t xml:space="preserve">The following factors were considered relevant to a conclusion on the effects of </w:t>
      </w:r>
      <w:r w:rsidR="00D44EA6">
        <w:t>the establishment</w:t>
      </w:r>
      <w:r>
        <w:t xml:space="preserve"> and/or spread of glanders for each criterion.</w:t>
      </w:r>
      <w:r w:rsidR="0012795E">
        <w:t xml:space="preserve"> The magnitude of effects</w:t>
      </w:r>
      <w:r w:rsidR="008E24B7">
        <w:t xml:space="preserve"> and geographic levels</w:t>
      </w:r>
      <w:r w:rsidR="0012795E">
        <w:t xml:space="preserve"> </w:t>
      </w:r>
      <w:r w:rsidR="008E24B7">
        <w:t>are</w:t>
      </w:r>
      <w:r w:rsidR="0012795E">
        <w:t xml:space="preserve"> described in Table</w:t>
      </w:r>
      <w:r w:rsidR="008E24B7">
        <w:t>s</w:t>
      </w:r>
      <w:r w:rsidR="0012795E">
        <w:t xml:space="preserve"> 3</w:t>
      </w:r>
      <w:r w:rsidR="008E24B7">
        <w:t xml:space="preserve"> and 4 respectively</w:t>
      </w:r>
      <w:r w:rsidR="0012795E">
        <w:t xml:space="preserve"> in Appendix 1. The method for combining effects</w:t>
      </w:r>
      <w:r w:rsidR="00044174">
        <w:t xml:space="preserve"> is outlined in Table </w:t>
      </w:r>
      <w:r w:rsidR="008E24B7">
        <w:t>5</w:t>
      </w:r>
      <w:r w:rsidR="00044174">
        <w:t xml:space="preserve"> in Appendix 1.</w:t>
      </w:r>
      <w:r w:rsidR="008E24B7">
        <w:t xml:space="preserve"> </w:t>
      </w:r>
    </w:p>
    <w:p w14:paraId="30DFF46B" w14:textId="61F3F1B1" w:rsidR="00D03260" w:rsidRPr="00B41478" w:rsidRDefault="00D03260" w:rsidP="00761A64">
      <w:pPr>
        <w:rPr>
          <w:i/>
          <w:iCs/>
        </w:rPr>
      </w:pPr>
      <w:r w:rsidRPr="00B41478">
        <w:rPr>
          <w:i/>
          <w:iCs/>
        </w:rPr>
        <w:t>Direct effects</w:t>
      </w:r>
    </w:p>
    <w:p w14:paraId="668C02A4" w14:textId="192A721D" w:rsidR="00D03260" w:rsidRPr="00B41478" w:rsidRDefault="00D03260" w:rsidP="00761A64">
      <w:pPr>
        <w:rPr>
          <w:i/>
          <w:iCs/>
        </w:rPr>
      </w:pPr>
      <w:r w:rsidRPr="00B41478">
        <w:rPr>
          <w:i/>
          <w:iCs/>
        </w:rPr>
        <w:t>The effect on the life or health (including production effects) of susceptible animals.</w:t>
      </w:r>
    </w:p>
    <w:p w14:paraId="4AC0D19A" w14:textId="5C1D04AE" w:rsidR="00BC6B53" w:rsidRDefault="00BC6B53" w:rsidP="00BC6B53">
      <w:pPr>
        <w:pStyle w:val="ListParagraph"/>
        <w:numPr>
          <w:ilvl w:val="0"/>
          <w:numId w:val="20"/>
        </w:numPr>
        <w:spacing w:after="160"/>
        <w:contextualSpacing/>
      </w:pPr>
      <w:r w:rsidRPr="00C646EE">
        <w:t xml:space="preserve">In </w:t>
      </w:r>
      <w:r w:rsidR="00896A8A">
        <w:t>horses</w:t>
      </w:r>
      <w:r w:rsidRPr="00C646EE">
        <w:t xml:space="preserve"> the disease can manifest in acute, </w:t>
      </w:r>
      <w:proofErr w:type="gramStart"/>
      <w:r w:rsidRPr="00C646EE">
        <w:t>chronic</w:t>
      </w:r>
      <w:proofErr w:type="gramEnd"/>
      <w:r w:rsidRPr="00C646EE">
        <w:t xml:space="preserve"> and latent forms. </w:t>
      </w:r>
    </w:p>
    <w:p w14:paraId="483F355F" w14:textId="77777777" w:rsidR="00BC6B53" w:rsidRDefault="00BC6B53" w:rsidP="00BC6B53">
      <w:pPr>
        <w:pStyle w:val="ListParagraph"/>
        <w:numPr>
          <w:ilvl w:val="0"/>
          <w:numId w:val="20"/>
        </w:numPr>
        <w:spacing w:after="160"/>
        <w:contextualSpacing/>
      </w:pPr>
      <w:r w:rsidRPr="00C646EE">
        <w:t xml:space="preserve">The acute form results in septicaemia and death within few days (Hungerford, 2007). </w:t>
      </w:r>
    </w:p>
    <w:p w14:paraId="6786CE69" w14:textId="77777777" w:rsidR="00BC6B53" w:rsidRDefault="00BC6B53" w:rsidP="00BC6B53">
      <w:pPr>
        <w:pStyle w:val="ListParagraph"/>
        <w:numPr>
          <w:ilvl w:val="0"/>
          <w:numId w:val="20"/>
        </w:numPr>
        <w:spacing w:after="160"/>
        <w:contextualSpacing/>
      </w:pPr>
      <w:r w:rsidRPr="00C646EE">
        <w:t xml:space="preserve">The chronic form results in ulcerating, purulent nodules developing in the respiratory tract, </w:t>
      </w:r>
      <w:proofErr w:type="gramStart"/>
      <w:r w:rsidRPr="00C646EE">
        <w:t>skin</w:t>
      </w:r>
      <w:proofErr w:type="gramEnd"/>
      <w:r w:rsidRPr="00C646EE">
        <w:t xml:space="preserve"> and lymph nodes (Hungerford, 2007). </w:t>
      </w:r>
    </w:p>
    <w:p w14:paraId="3EF8F404" w14:textId="712BB2A3" w:rsidR="00D03260" w:rsidRDefault="00BC6B53" w:rsidP="00B41478">
      <w:pPr>
        <w:pStyle w:val="ListParagraph"/>
        <w:numPr>
          <w:ilvl w:val="0"/>
          <w:numId w:val="20"/>
        </w:numPr>
        <w:spacing w:after="160"/>
        <w:contextualSpacing/>
      </w:pPr>
      <w:r w:rsidRPr="00C646EE">
        <w:t>Chronic illness can last for months before death or recovery to become a carrier (Hungerford, 2007).</w:t>
      </w:r>
    </w:p>
    <w:p w14:paraId="3470F8B3" w14:textId="2B7CA7AC" w:rsidR="00D95E0E" w:rsidRPr="00C646EE" w:rsidRDefault="00D95E0E" w:rsidP="00B41478">
      <w:pPr>
        <w:pStyle w:val="ListParagraph"/>
        <w:numPr>
          <w:ilvl w:val="0"/>
          <w:numId w:val="20"/>
        </w:numPr>
        <w:spacing w:after="160"/>
        <w:contextualSpacing/>
      </w:pPr>
      <w:r>
        <w:t>Glanders is a</w:t>
      </w:r>
      <w:r w:rsidR="00034534">
        <w:t xml:space="preserve"> zoonosis.</w:t>
      </w:r>
    </w:p>
    <w:p w14:paraId="31876AC9" w14:textId="5F011DDE" w:rsidR="002E4449" w:rsidRDefault="00C34823" w:rsidP="00BC6B53">
      <w:r>
        <w:t xml:space="preserve">Based on these considerations, the effect </w:t>
      </w:r>
      <w:r w:rsidRPr="007F70F5">
        <w:t xml:space="preserve">of the establishment and / or spread of glanders in Australia for this criterion was estimated to be </w:t>
      </w:r>
      <w:r w:rsidR="002E4449" w:rsidRPr="007F70F5">
        <w:t>significant</w:t>
      </w:r>
      <w:r w:rsidRPr="007F70F5">
        <w:t xml:space="preserve"> at the regional level. The effect on the national economy or the Australian community as </w:t>
      </w:r>
      <w:r w:rsidR="009378EE">
        <w:t xml:space="preserve">a </w:t>
      </w:r>
      <w:r w:rsidRPr="007F70F5">
        <w:t xml:space="preserve">whole and not just on directly affected parties, corresponds to </w:t>
      </w:r>
      <w:r w:rsidR="002E4449" w:rsidRPr="007F70F5">
        <w:t>minor at the state level</w:t>
      </w:r>
      <w:r w:rsidRPr="007F70F5">
        <w:t xml:space="preserve"> (national</w:t>
      </w:r>
      <w:r>
        <w:t xml:space="preserve"> effect</w:t>
      </w:r>
      <w:r w:rsidR="00117D9B">
        <w:t xml:space="preserve"> score</w:t>
      </w:r>
      <w:r>
        <w:t xml:space="preserve"> of </w:t>
      </w:r>
      <w:r w:rsidR="002E4449">
        <w:t xml:space="preserve">D in </w:t>
      </w:r>
      <w:r w:rsidR="00044174">
        <w:t>T</w:t>
      </w:r>
      <w:r w:rsidR="002E4449">
        <w:t xml:space="preserve">able </w:t>
      </w:r>
      <w:r w:rsidR="008E24B7">
        <w:t>5</w:t>
      </w:r>
      <w:r w:rsidR="002E4449">
        <w:t xml:space="preserve"> </w:t>
      </w:r>
      <w:r w:rsidR="00044174">
        <w:t>in Appendix 1</w:t>
      </w:r>
      <w:r>
        <w:t>).</w:t>
      </w:r>
    </w:p>
    <w:p w14:paraId="63EF646D" w14:textId="415F7D52" w:rsidR="00BC6B53" w:rsidRPr="00B41478" w:rsidRDefault="002E4449" w:rsidP="00BC6B53">
      <w:pPr>
        <w:rPr>
          <w:i/>
          <w:iCs/>
        </w:rPr>
      </w:pPr>
      <w:r w:rsidRPr="00B41478">
        <w:rPr>
          <w:i/>
          <w:iCs/>
        </w:rPr>
        <w:t>The effect on the living environment, including life and health of wildlife, and any effects on the non-living environment</w:t>
      </w:r>
    </w:p>
    <w:p w14:paraId="09B49E08" w14:textId="0DF0871A" w:rsidR="002E4449" w:rsidRDefault="002E4449" w:rsidP="002E4449">
      <w:pPr>
        <w:pStyle w:val="ListParagraph"/>
        <w:numPr>
          <w:ilvl w:val="0"/>
          <w:numId w:val="14"/>
        </w:numPr>
        <w:spacing w:after="160"/>
        <w:contextualSpacing/>
      </w:pPr>
      <w:r w:rsidRPr="00C646EE">
        <w:t xml:space="preserve">There is no </w:t>
      </w:r>
      <w:r w:rsidR="00D44EA6">
        <w:t>evidence</w:t>
      </w:r>
      <w:r w:rsidR="00D44EA6" w:rsidRPr="00C646EE">
        <w:t xml:space="preserve"> </w:t>
      </w:r>
      <w:r w:rsidRPr="00C646EE">
        <w:t>o</w:t>
      </w:r>
      <w:r w:rsidR="00D44EA6">
        <w:t>f</w:t>
      </w:r>
      <w:r w:rsidRPr="00C646EE">
        <w:t xml:space="preserve"> glanders in marsupials and other wildlife</w:t>
      </w:r>
      <w:r w:rsidR="00D44EA6">
        <w:t xml:space="preserve">. It is unlikely to affect these animals. </w:t>
      </w:r>
    </w:p>
    <w:p w14:paraId="67667617" w14:textId="497EFCC9" w:rsidR="00AD7F29" w:rsidRDefault="00AD7F29" w:rsidP="00B41478">
      <w:r w:rsidRPr="007F70F5">
        <w:t xml:space="preserve">Based on these considerations, the effect of the establishment and / or spread of glanders in Australia for this criterion was estimated to be </w:t>
      </w:r>
      <w:r w:rsidR="002A3C06" w:rsidRPr="007F70F5">
        <w:t>unlikely to be discernible at all levels</w:t>
      </w:r>
      <w:r w:rsidRPr="007F70F5">
        <w:t xml:space="preserve"> (national</w:t>
      </w:r>
      <w:r>
        <w:t xml:space="preserve"> effect score of </w:t>
      </w:r>
      <w:r w:rsidR="00D44EA6">
        <w:t xml:space="preserve">A </w:t>
      </w:r>
      <w:r>
        <w:t xml:space="preserve">in </w:t>
      </w:r>
      <w:r w:rsidR="00044174">
        <w:t>T</w:t>
      </w:r>
      <w:r>
        <w:t xml:space="preserve">able </w:t>
      </w:r>
      <w:r w:rsidR="008E24B7">
        <w:t>5</w:t>
      </w:r>
      <w:r>
        <w:t xml:space="preserve"> </w:t>
      </w:r>
      <w:r w:rsidR="00044174">
        <w:t>in Appendix 1</w:t>
      </w:r>
      <w:r>
        <w:t>).</w:t>
      </w:r>
    </w:p>
    <w:p w14:paraId="5D860A78" w14:textId="789C3648" w:rsidR="00117D9B" w:rsidRPr="00B41478" w:rsidRDefault="00117D9B" w:rsidP="00B41478">
      <w:pPr>
        <w:keepNext/>
        <w:keepLines/>
        <w:rPr>
          <w:i/>
          <w:iCs/>
        </w:rPr>
      </w:pPr>
      <w:r w:rsidRPr="00B41478">
        <w:rPr>
          <w:i/>
          <w:iCs/>
        </w:rPr>
        <w:lastRenderedPageBreak/>
        <w:t>Indirect effects</w:t>
      </w:r>
    </w:p>
    <w:p w14:paraId="1BDB4F8F" w14:textId="6794108C" w:rsidR="00117D9B" w:rsidRPr="00B41478" w:rsidRDefault="00117D9B" w:rsidP="00B41478">
      <w:pPr>
        <w:keepNext/>
        <w:keepLines/>
        <w:rPr>
          <w:i/>
          <w:iCs/>
        </w:rPr>
      </w:pPr>
      <w:r w:rsidRPr="00B41478">
        <w:rPr>
          <w:i/>
          <w:iCs/>
        </w:rPr>
        <w:t>The effect on new or modified eradication, control, monito</w:t>
      </w:r>
      <w:r w:rsidR="00B41478">
        <w:rPr>
          <w:i/>
          <w:iCs/>
        </w:rPr>
        <w:t>r</w:t>
      </w:r>
      <w:r w:rsidRPr="00B41478">
        <w:rPr>
          <w:i/>
          <w:iCs/>
        </w:rPr>
        <w:t>ing or surveillance and compensation strategies or programs</w:t>
      </w:r>
    </w:p>
    <w:p w14:paraId="5273114E" w14:textId="77777777" w:rsidR="008D3833" w:rsidRDefault="008D3833" w:rsidP="00117D9B">
      <w:pPr>
        <w:pStyle w:val="ListParagraph"/>
        <w:numPr>
          <w:ilvl w:val="0"/>
          <w:numId w:val="20"/>
        </w:numPr>
        <w:spacing w:after="160"/>
        <w:contextualSpacing/>
      </w:pPr>
      <w:r w:rsidRPr="00C646EE">
        <w:t xml:space="preserve">The disease is exotic to Australia and is nationally notifiable. </w:t>
      </w:r>
    </w:p>
    <w:p w14:paraId="34827C15" w14:textId="3A3D0233" w:rsidR="00117D9B" w:rsidRPr="00C646EE" w:rsidRDefault="00117D9B" w:rsidP="00117D9B">
      <w:pPr>
        <w:pStyle w:val="ListParagraph"/>
        <w:numPr>
          <w:ilvl w:val="0"/>
          <w:numId w:val="20"/>
        </w:numPr>
        <w:spacing w:after="160"/>
        <w:contextualSpacing/>
      </w:pPr>
      <w:r>
        <w:t xml:space="preserve">If glanders was identified in Australia, the </w:t>
      </w:r>
      <w:r w:rsidR="008D3833">
        <w:t>Australia’s</w:t>
      </w:r>
      <w:r w:rsidRPr="00C646EE">
        <w:t xml:space="preserve"> policy</w:t>
      </w:r>
      <w:r w:rsidR="008D3833">
        <w:t xml:space="preserve"> is</w:t>
      </w:r>
      <w:r w:rsidRPr="00C646EE">
        <w:t xml:space="preserve"> to identify and destroy infected animals, quarantine infected </w:t>
      </w:r>
      <w:proofErr w:type="gramStart"/>
      <w:r w:rsidRPr="00C646EE">
        <w:t>premises</w:t>
      </w:r>
      <w:proofErr w:type="gramEnd"/>
      <w:r w:rsidRPr="00C646EE">
        <w:t xml:space="preserve"> and disinfect or destroy all possible fomites AHA, 2018).</w:t>
      </w:r>
    </w:p>
    <w:p w14:paraId="6BBDF9F1" w14:textId="7343F761" w:rsidR="00686263" w:rsidRPr="00C646EE" w:rsidRDefault="00686263" w:rsidP="00B41478">
      <w:pPr>
        <w:pStyle w:val="ListParagraph"/>
        <w:numPr>
          <w:ilvl w:val="0"/>
          <w:numId w:val="20"/>
        </w:numPr>
        <w:spacing w:after="160"/>
        <w:contextualSpacing/>
      </w:pPr>
      <w:r w:rsidRPr="00C646EE">
        <w:t xml:space="preserve">Glanders is classified as a Category 2 disease in the EADRA (AHA, 2018). </w:t>
      </w:r>
      <w:r w:rsidR="008D3833">
        <w:t>This means that 80% of the costs of disease control will be paid by governments and 20% by the relative industries.</w:t>
      </w:r>
    </w:p>
    <w:p w14:paraId="1E33B213" w14:textId="616C2EC5" w:rsidR="008D3833" w:rsidRDefault="008D3833" w:rsidP="00B41478">
      <w:r>
        <w:t xml:space="preserve">Based on these considerations, the effect of </w:t>
      </w:r>
      <w:r w:rsidRPr="007F70F5">
        <w:t xml:space="preserve">the establishment and / or spread of glanders in Australia for this criterion was estimated to be significant at the </w:t>
      </w:r>
      <w:r w:rsidR="005B5153">
        <w:t>state</w:t>
      </w:r>
      <w:r w:rsidR="005B5153" w:rsidRPr="007F70F5">
        <w:t xml:space="preserve"> </w:t>
      </w:r>
      <w:r w:rsidRPr="007F70F5">
        <w:t xml:space="preserve">level. The effect on the national economy or the Australian community as </w:t>
      </w:r>
      <w:r w:rsidR="009378EE">
        <w:t xml:space="preserve">a </w:t>
      </w:r>
      <w:r w:rsidRPr="007F70F5">
        <w:t xml:space="preserve">whole and not just on directly affected parties, corresponds to minor at the </w:t>
      </w:r>
      <w:r w:rsidR="005B5153">
        <w:t>national</w:t>
      </w:r>
      <w:r w:rsidR="005B5153" w:rsidRPr="007F70F5">
        <w:t xml:space="preserve"> </w:t>
      </w:r>
      <w:r w:rsidRPr="007F70F5">
        <w:t>level (national</w:t>
      </w:r>
      <w:r>
        <w:t xml:space="preserve"> effect score of </w:t>
      </w:r>
      <w:r w:rsidR="00D44EA6">
        <w:t>E</w:t>
      </w:r>
      <w:r>
        <w:t xml:space="preserve"> in </w:t>
      </w:r>
      <w:r w:rsidR="00044174">
        <w:t>T</w:t>
      </w:r>
      <w:r>
        <w:t xml:space="preserve">able </w:t>
      </w:r>
      <w:r w:rsidR="008E24B7">
        <w:t>5</w:t>
      </w:r>
      <w:r>
        <w:t xml:space="preserve"> </w:t>
      </w:r>
      <w:r w:rsidR="00044174">
        <w:t>in Appendix 1</w:t>
      </w:r>
      <w:r>
        <w:t>).</w:t>
      </w:r>
    </w:p>
    <w:p w14:paraId="1C8AEA9E" w14:textId="5A031106" w:rsidR="00686263" w:rsidRPr="00B41478" w:rsidRDefault="008D3833" w:rsidP="008D3833">
      <w:pPr>
        <w:spacing w:after="160"/>
        <w:contextualSpacing/>
        <w:rPr>
          <w:i/>
          <w:iCs/>
        </w:rPr>
      </w:pPr>
      <w:r w:rsidRPr="00B41478">
        <w:rPr>
          <w:i/>
          <w:iCs/>
        </w:rPr>
        <w:t>The effect on domestic trade or industry, including changes in consumer demand and effects on other industries suppling inputs to, or using outputs from, directly affected industries</w:t>
      </w:r>
    </w:p>
    <w:p w14:paraId="354CAA70" w14:textId="7B53736D" w:rsidR="008D3833" w:rsidRDefault="008D3833" w:rsidP="00BC6B53">
      <w:pPr>
        <w:pStyle w:val="ListParagraph"/>
        <w:numPr>
          <w:ilvl w:val="0"/>
          <w:numId w:val="20"/>
        </w:numPr>
        <w:spacing w:after="160"/>
        <w:contextualSpacing/>
      </w:pPr>
      <w:r>
        <w:t xml:space="preserve">As a result of the detection of glanders, movement restrictions would be imposed on exposed </w:t>
      </w:r>
      <w:r w:rsidR="00896A8A">
        <w:t>horses</w:t>
      </w:r>
      <w:r>
        <w:t xml:space="preserve"> and potentially infected fomites.</w:t>
      </w:r>
    </w:p>
    <w:p w14:paraId="2CE5A029" w14:textId="2EE7125B" w:rsidR="008D3833" w:rsidRDefault="008D3833" w:rsidP="00BC6B53">
      <w:pPr>
        <w:pStyle w:val="ListParagraph"/>
        <w:numPr>
          <w:ilvl w:val="0"/>
          <w:numId w:val="20"/>
        </w:numPr>
        <w:spacing w:after="160"/>
        <w:contextualSpacing/>
      </w:pPr>
      <w:r>
        <w:t>Horse racing and other equestrian events may be prohibited for varying periods in some affected jurisdictions.</w:t>
      </w:r>
    </w:p>
    <w:p w14:paraId="71B7FA02" w14:textId="09571ED5" w:rsidR="008D3833" w:rsidRDefault="008D3833" w:rsidP="00BC6B53">
      <w:pPr>
        <w:pStyle w:val="ListParagraph"/>
        <w:numPr>
          <w:ilvl w:val="0"/>
          <w:numId w:val="20"/>
        </w:numPr>
        <w:spacing w:after="160"/>
        <w:contextualSpacing/>
      </w:pPr>
      <w:r>
        <w:t xml:space="preserve">Following the detection of glanders in one jurisdiction of Australia, other jurisdictions may close their borders to all </w:t>
      </w:r>
      <w:r w:rsidR="00896A8A">
        <w:t>horses</w:t>
      </w:r>
      <w:r>
        <w:t xml:space="preserve"> until the extent of the outbreak was determined.</w:t>
      </w:r>
    </w:p>
    <w:p w14:paraId="4148E21B" w14:textId="30F5B773" w:rsidR="008D3833" w:rsidRDefault="008D3833" w:rsidP="00BC6B53">
      <w:pPr>
        <w:pStyle w:val="ListParagraph"/>
        <w:numPr>
          <w:ilvl w:val="0"/>
          <w:numId w:val="20"/>
        </w:numPr>
        <w:spacing w:after="160"/>
        <w:contextualSpacing/>
      </w:pPr>
      <w:r>
        <w:t>Industrie</w:t>
      </w:r>
      <w:r w:rsidR="00B41478">
        <w:t>s</w:t>
      </w:r>
      <w:r>
        <w:t xml:space="preserve"> supporting </w:t>
      </w:r>
      <w:r w:rsidR="00896A8A">
        <w:t>horse</w:t>
      </w:r>
      <w:r>
        <w:t xml:space="preserve"> activities such as stockfeed manufacturers, veterinarians, </w:t>
      </w:r>
      <w:proofErr w:type="gramStart"/>
      <w:r>
        <w:t>farriers</w:t>
      </w:r>
      <w:proofErr w:type="gramEnd"/>
      <w:r>
        <w:t xml:space="preserve"> and saddlers would also be affected.</w:t>
      </w:r>
    </w:p>
    <w:p w14:paraId="73F14B60" w14:textId="72F6B7A3" w:rsidR="007E23F9" w:rsidRDefault="007E23F9" w:rsidP="00B41478">
      <w:r>
        <w:t xml:space="preserve">Based on these considerations, the effect of the establishment and / or spread of glanders in Australia for this criterion was estimated to </w:t>
      </w:r>
      <w:r w:rsidRPr="007F70F5">
        <w:t xml:space="preserve">be significant at the </w:t>
      </w:r>
      <w:r w:rsidR="002A3C06">
        <w:t>state</w:t>
      </w:r>
      <w:r w:rsidR="002A3C06" w:rsidRPr="007F70F5">
        <w:t xml:space="preserve"> </w:t>
      </w:r>
      <w:r w:rsidRPr="007F70F5">
        <w:t xml:space="preserve">level. The effect on the national economy or the Australian community as </w:t>
      </w:r>
      <w:r w:rsidR="009378EE">
        <w:t xml:space="preserve">a </w:t>
      </w:r>
      <w:r w:rsidRPr="007F70F5">
        <w:t xml:space="preserve">whole and not just on directly affected parties, corresponds to minor at the </w:t>
      </w:r>
      <w:r w:rsidR="002A3C06">
        <w:t>national</w:t>
      </w:r>
      <w:r w:rsidR="002A3C06" w:rsidRPr="007F70F5">
        <w:t xml:space="preserve"> </w:t>
      </w:r>
      <w:r w:rsidRPr="007F70F5">
        <w:t>level (national</w:t>
      </w:r>
      <w:r>
        <w:t xml:space="preserve"> effect score of </w:t>
      </w:r>
      <w:r w:rsidR="00D44EA6">
        <w:t>E</w:t>
      </w:r>
      <w:r>
        <w:t xml:space="preserve"> in </w:t>
      </w:r>
      <w:r w:rsidR="00044174">
        <w:t>T</w:t>
      </w:r>
      <w:r>
        <w:t xml:space="preserve">able </w:t>
      </w:r>
      <w:r w:rsidR="008E24B7">
        <w:t>5</w:t>
      </w:r>
      <w:r>
        <w:t xml:space="preserve"> </w:t>
      </w:r>
      <w:r w:rsidR="00044174">
        <w:t>in Appendix 1</w:t>
      </w:r>
      <w:r>
        <w:t>).</w:t>
      </w:r>
    </w:p>
    <w:p w14:paraId="358BC51E" w14:textId="77777777" w:rsidR="00462F98" w:rsidRDefault="00462F98" w:rsidP="00B41478"/>
    <w:p w14:paraId="68C983D6" w14:textId="6DD60011" w:rsidR="008D3833" w:rsidRPr="00B41478" w:rsidRDefault="00506D6F" w:rsidP="008D3833">
      <w:pPr>
        <w:spacing w:after="160"/>
        <w:contextualSpacing/>
        <w:rPr>
          <w:i/>
          <w:iCs/>
        </w:rPr>
      </w:pPr>
      <w:r w:rsidRPr="00B41478">
        <w:rPr>
          <w:i/>
          <w:iCs/>
        </w:rPr>
        <w:t>The effect on international trade, including loss of and restriction of markets, meeting new technical requirements to enter or maintain markets, and changes in international consumer deman</w:t>
      </w:r>
      <w:r w:rsidR="00AD7F29">
        <w:rPr>
          <w:i/>
          <w:iCs/>
        </w:rPr>
        <w:t>d</w:t>
      </w:r>
    </w:p>
    <w:p w14:paraId="12687BBD" w14:textId="77777777" w:rsidR="002739D7" w:rsidRPr="00C646EE" w:rsidRDefault="002739D7" w:rsidP="002739D7">
      <w:pPr>
        <w:pStyle w:val="ListParagraph"/>
        <w:numPr>
          <w:ilvl w:val="0"/>
          <w:numId w:val="14"/>
        </w:numPr>
        <w:spacing w:after="160"/>
        <w:contextualSpacing/>
      </w:pPr>
      <w:r w:rsidRPr="00C646EE">
        <w:t xml:space="preserve">The Australian horse industry contributes approximately $6.3 billion to gross domestic product (Gordon, 2001). </w:t>
      </w:r>
    </w:p>
    <w:p w14:paraId="65349D9B" w14:textId="4ACDF663" w:rsidR="002739D7" w:rsidRDefault="00AD7F29" w:rsidP="002739D7">
      <w:pPr>
        <w:pStyle w:val="ListParagraph"/>
        <w:numPr>
          <w:ilvl w:val="0"/>
          <w:numId w:val="14"/>
        </w:numPr>
        <w:spacing w:after="160"/>
        <w:contextualSpacing/>
      </w:pPr>
      <w:r w:rsidRPr="00C646EE">
        <w:t xml:space="preserve">An outbreak of glanders in Australia would have a severe impact on the </w:t>
      </w:r>
      <w:r w:rsidR="00896A8A">
        <w:t>horse</w:t>
      </w:r>
      <w:r w:rsidRPr="00C646EE">
        <w:t xml:space="preserve"> industry and </w:t>
      </w:r>
      <w:r w:rsidR="00896A8A">
        <w:t>horse</w:t>
      </w:r>
      <w:r w:rsidRPr="00C646EE">
        <w:t xml:space="preserve"> export trade.</w:t>
      </w:r>
    </w:p>
    <w:p w14:paraId="49286088" w14:textId="5A72002A" w:rsidR="002739D7" w:rsidRDefault="00896A8A" w:rsidP="000C02EB">
      <w:pPr>
        <w:pStyle w:val="ListParagraph"/>
        <w:numPr>
          <w:ilvl w:val="0"/>
          <w:numId w:val="14"/>
        </w:numPr>
        <w:spacing w:after="160"/>
        <w:contextualSpacing/>
      </w:pPr>
      <w:r>
        <w:t>Horse</w:t>
      </w:r>
      <w:r w:rsidR="002739D7">
        <w:t xml:space="preserve"> exports would likely b</w:t>
      </w:r>
      <w:r w:rsidR="006C7A69">
        <w:t>e</w:t>
      </w:r>
      <w:r w:rsidR="002739D7">
        <w:t xml:space="preserve"> disrupted for a significant </w:t>
      </w:r>
      <w:proofErr w:type="gramStart"/>
      <w:r w:rsidR="002739D7">
        <w:t>period of time</w:t>
      </w:r>
      <w:proofErr w:type="gramEnd"/>
      <w:r w:rsidR="002739D7">
        <w:t xml:space="preserve"> for several markets</w:t>
      </w:r>
      <w:r w:rsidR="00AD7F29" w:rsidRPr="00C646EE">
        <w:t xml:space="preserve"> </w:t>
      </w:r>
      <w:r w:rsidR="002739D7">
        <w:t>which require country freedom.</w:t>
      </w:r>
    </w:p>
    <w:p w14:paraId="64A4ECE7" w14:textId="3A450EC1" w:rsidR="00AD7F29" w:rsidRPr="00C646EE" w:rsidRDefault="00AD7F29" w:rsidP="00AD7F29">
      <w:pPr>
        <w:pStyle w:val="ListParagraph"/>
        <w:numPr>
          <w:ilvl w:val="0"/>
          <w:numId w:val="14"/>
        </w:numPr>
        <w:spacing w:after="160"/>
        <w:contextualSpacing/>
      </w:pPr>
      <w:r w:rsidRPr="00C646EE">
        <w:lastRenderedPageBreak/>
        <w:t xml:space="preserve">Eradication of glanders from Australia’s feral </w:t>
      </w:r>
      <w:r w:rsidR="00896A8A">
        <w:t>horse</w:t>
      </w:r>
      <w:r w:rsidRPr="00C646EE">
        <w:t xml:space="preserve"> population may be difficult if the disease were to establish in Australia. </w:t>
      </w:r>
    </w:p>
    <w:p w14:paraId="11BCAF8C" w14:textId="7D297927" w:rsidR="00AD7F29" w:rsidRDefault="00AD7F29" w:rsidP="00AD7F29">
      <w:pPr>
        <w:pStyle w:val="ListParagraph"/>
        <w:numPr>
          <w:ilvl w:val="0"/>
          <w:numId w:val="14"/>
        </w:numPr>
        <w:spacing w:after="160"/>
        <w:contextualSpacing/>
      </w:pPr>
      <w:r w:rsidRPr="00C646EE">
        <w:t xml:space="preserve">Re-establishing Australia’s freedom from glanders, in line with </w:t>
      </w:r>
      <w:r w:rsidR="003C6D77">
        <w:t>WOAH</w:t>
      </w:r>
      <w:r w:rsidRPr="00C646EE">
        <w:t xml:space="preserve"> Code standards would be a lengthy and costly process. </w:t>
      </w:r>
    </w:p>
    <w:p w14:paraId="6E4713C5" w14:textId="6153EE17" w:rsidR="002739D7" w:rsidRPr="00C646EE" w:rsidRDefault="002739D7" w:rsidP="00AD7F29">
      <w:pPr>
        <w:pStyle w:val="ListParagraph"/>
        <w:numPr>
          <w:ilvl w:val="0"/>
          <w:numId w:val="14"/>
        </w:numPr>
        <w:spacing w:after="160"/>
        <w:contextualSpacing/>
      </w:pPr>
      <w:r>
        <w:t>If glanders were to become established, renegotiation of trade conditions would be necessary with those markets that would accept testing.</w:t>
      </w:r>
    </w:p>
    <w:p w14:paraId="40262D62" w14:textId="77D6A110" w:rsidR="002739D7" w:rsidRDefault="002739D7" w:rsidP="00B41478">
      <w:r>
        <w:t xml:space="preserve">Based on these considerations, the effect of the establishment and / or spread of glanders in Australia for this criterion was estimated to </w:t>
      </w:r>
      <w:r w:rsidRPr="007F70F5">
        <w:t xml:space="preserve">be significant at the state level. The effect on the national economy or the Australian community as </w:t>
      </w:r>
      <w:r w:rsidR="009378EE">
        <w:t xml:space="preserve">a </w:t>
      </w:r>
      <w:r w:rsidRPr="007F70F5">
        <w:t>whole and not just on directly affected parties, corresponds to minor at the national level (national</w:t>
      </w:r>
      <w:r>
        <w:t xml:space="preserve"> effect score of E in </w:t>
      </w:r>
      <w:r w:rsidR="00044174">
        <w:t>T</w:t>
      </w:r>
      <w:r>
        <w:t xml:space="preserve">able </w:t>
      </w:r>
      <w:r w:rsidR="008E24B7">
        <w:t>5</w:t>
      </w:r>
      <w:r>
        <w:t xml:space="preserve"> </w:t>
      </w:r>
      <w:r w:rsidR="00044174">
        <w:t>in Appendix 1</w:t>
      </w:r>
      <w:r>
        <w:t>).</w:t>
      </w:r>
    </w:p>
    <w:p w14:paraId="43489EC7" w14:textId="524E5EBB" w:rsidR="002739D7" w:rsidRPr="00C646EE" w:rsidRDefault="002739D7" w:rsidP="00B41478">
      <w:r w:rsidRPr="00B41478">
        <w:rPr>
          <w:i/>
          <w:iCs/>
        </w:rPr>
        <w:t xml:space="preserve">The effect on the environment, including biodiversity, endangered </w:t>
      </w:r>
      <w:proofErr w:type="gramStart"/>
      <w:r w:rsidRPr="00B41478">
        <w:rPr>
          <w:i/>
          <w:iCs/>
        </w:rPr>
        <w:t>species</w:t>
      </w:r>
      <w:proofErr w:type="gramEnd"/>
      <w:r w:rsidRPr="00B41478">
        <w:rPr>
          <w:i/>
          <w:iCs/>
        </w:rPr>
        <w:t xml:space="preserve"> and the integrity of ecosystems</w:t>
      </w:r>
    </w:p>
    <w:p w14:paraId="3E2EC8AB" w14:textId="1DCC3CEA" w:rsidR="002739D7" w:rsidRPr="007F70F5" w:rsidRDefault="002739D7" w:rsidP="00B41478">
      <w:pPr>
        <w:pStyle w:val="ListParagraph"/>
        <w:numPr>
          <w:ilvl w:val="0"/>
          <w:numId w:val="14"/>
        </w:numPr>
        <w:spacing w:after="160"/>
        <w:contextualSpacing/>
      </w:pPr>
      <w:r w:rsidRPr="000C02EB">
        <w:t xml:space="preserve">Glanders is not considered to </w:t>
      </w:r>
      <w:r w:rsidRPr="007F70F5">
        <w:t>lead to any indirect effects on the environment</w:t>
      </w:r>
      <w:r w:rsidR="00B41478" w:rsidRPr="007F70F5">
        <w:t>.</w:t>
      </w:r>
    </w:p>
    <w:p w14:paraId="21547CA0" w14:textId="2D132281" w:rsidR="0016676D" w:rsidRPr="007F70F5" w:rsidRDefault="0016676D" w:rsidP="00B41478">
      <w:r w:rsidRPr="007F70F5">
        <w:t xml:space="preserve">Based on these considerations, the effect of the establishment and / or spread of glanders in Australia for this criterion was estimated to be </w:t>
      </w:r>
      <w:bookmarkStart w:id="5" w:name="_Hlk88489934"/>
      <w:r w:rsidRPr="007F70F5">
        <w:t>unlikely to be discern</w:t>
      </w:r>
      <w:r w:rsidR="00B41478" w:rsidRPr="007F70F5">
        <w:t>i</w:t>
      </w:r>
      <w:r w:rsidRPr="007F70F5">
        <w:t xml:space="preserve">ble at all levels </w:t>
      </w:r>
      <w:bookmarkEnd w:id="5"/>
      <w:r w:rsidRPr="007F70F5">
        <w:t xml:space="preserve">(national effect score of A in </w:t>
      </w:r>
      <w:r w:rsidR="00044174">
        <w:t>T</w:t>
      </w:r>
      <w:r w:rsidRPr="007F70F5">
        <w:t xml:space="preserve">able </w:t>
      </w:r>
      <w:r w:rsidR="008E24B7">
        <w:t>5</w:t>
      </w:r>
      <w:r w:rsidRPr="007F70F5">
        <w:t xml:space="preserve"> </w:t>
      </w:r>
      <w:r w:rsidR="00044174">
        <w:t>in Appendix 1</w:t>
      </w:r>
      <w:r w:rsidRPr="007F70F5">
        <w:t>).</w:t>
      </w:r>
    </w:p>
    <w:p w14:paraId="2877B7D0" w14:textId="56BD6221" w:rsidR="009E68CC" w:rsidRPr="00B41478" w:rsidRDefault="009E68CC" w:rsidP="00B41478">
      <w:pPr>
        <w:rPr>
          <w:i/>
          <w:iCs/>
        </w:rPr>
      </w:pPr>
      <w:r w:rsidRPr="00B41478">
        <w:rPr>
          <w:i/>
          <w:iCs/>
        </w:rPr>
        <w:t>The effect on communities, including reduced rural and regional economic viability and loss of social amenity, and any ‘side effects’ of control measures</w:t>
      </w:r>
    </w:p>
    <w:p w14:paraId="40C7BCC3" w14:textId="2115ED91" w:rsidR="009E68CC" w:rsidRDefault="009E68CC" w:rsidP="004C7E45">
      <w:pPr>
        <w:pStyle w:val="ListParagraph"/>
        <w:numPr>
          <w:ilvl w:val="0"/>
          <w:numId w:val="14"/>
        </w:numPr>
        <w:spacing w:after="160"/>
        <w:contextualSpacing/>
      </w:pPr>
      <w:r>
        <w:t>Disruption of horse events would have significant social consequences for people involved.</w:t>
      </w:r>
    </w:p>
    <w:p w14:paraId="2C4D20F4" w14:textId="21D0FDD4" w:rsidR="009E68CC" w:rsidRDefault="009E68CC" w:rsidP="004C7E45">
      <w:pPr>
        <w:pStyle w:val="ListParagraph"/>
        <w:numPr>
          <w:ilvl w:val="0"/>
          <w:numId w:val="14"/>
        </w:numPr>
        <w:spacing w:after="160"/>
        <w:contextualSpacing/>
      </w:pPr>
      <w:r>
        <w:t xml:space="preserve">Where </w:t>
      </w:r>
      <w:r w:rsidR="00896A8A">
        <w:t>horses</w:t>
      </w:r>
      <w:r>
        <w:t xml:space="preserve"> were important to the local economy, the economic viability of communities within affected regions may be compromised </w:t>
      </w:r>
      <w:proofErr w:type="gramStart"/>
      <w:r>
        <w:t>due to the effect</w:t>
      </w:r>
      <w:proofErr w:type="gramEnd"/>
      <w:r>
        <w:t xml:space="preserve"> on associated industries.</w:t>
      </w:r>
    </w:p>
    <w:p w14:paraId="7912A06E" w14:textId="69F733CA" w:rsidR="009E68CC" w:rsidRDefault="009E68CC" w:rsidP="004C7E45">
      <w:pPr>
        <w:pStyle w:val="ListParagraph"/>
        <w:numPr>
          <w:ilvl w:val="0"/>
          <w:numId w:val="14"/>
        </w:numPr>
        <w:spacing w:after="160"/>
        <w:contextualSpacing/>
      </w:pPr>
      <w:r>
        <w:t xml:space="preserve">The Australian response to an outbreak would involve euthanasia of infected horses and destruction of contaminated equipment. These response measures </w:t>
      </w:r>
      <w:r w:rsidR="00A76640">
        <w:t xml:space="preserve">are </w:t>
      </w:r>
      <w:r>
        <w:t>likely to lead to major disruption to social functioning for horse owners and those employed in the industry.</w:t>
      </w:r>
    </w:p>
    <w:p w14:paraId="3966FA23" w14:textId="14D22546" w:rsidR="00750C97" w:rsidRPr="00C646EE" w:rsidRDefault="00750C97" w:rsidP="009433FD">
      <w:pPr>
        <w:pStyle w:val="ListParagraph"/>
        <w:numPr>
          <w:ilvl w:val="0"/>
          <w:numId w:val="14"/>
        </w:numPr>
        <w:spacing w:after="160"/>
        <w:contextualSpacing/>
      </w:pPr>
      <w:r>
        <w:t>Studies completed in the United Kingdom following the foot and mouth disease outbreak of 2001, identified a significant, long standing social impact associated with the loss of stock (</w:t>
      </w:r>
      <w:proofErr w:type="spellStart"/>
      <w:r>
        <w:t>Deaville</w:t>
      </w:r>
      <w:proofErr w:type="spellEnd"/>
      <w:r>
        <w:t xml:space="preserve"> et al, 2003). This included mental health issues, physical health issues and relationship breakdowns (</w:t>
      </w:r>
      <w:proofErr w:type="spellStart"/>
      <w:r>
        <w:t>Deaville</w:t>
      </w:r>
      <w:proofErr w:type="spellEnd"/>
      <w:r>
        <w:t xml:space="preserve"> et al, 2003). </w:t>
      </w:r>
    </w:p>
    <w:p w14:paraId="0ED3B6C0" w14:textId="637E69F5" w:rsidR="009E68CC" w:rsidRDefault="009E68CC" w:rsidP="00B41478">
      <w:r>
        <w:t xml:space="preserve">Based on these considerations, the </w:t>
      </w:r>
      <w:r w:rsidRPr="007F70F5">
        <w:t xml:space="preserve">effect of the establishment and / or spread of glanders in Australia for this criterion was estimated to be significant at the state level. The effect on the national economy or the Australian community as </w:t>
      </w:r>
      <w:r w:rsidR="009378EE">
        <w:t xml:space="preserve">a </w:t>
      </w:r>
      <w:r w:rsidRPr="007F70F5">
        <w:t>whole and not just on directly affected parties, corresponds to minor at the national level (national effect</w:t>
      </w:r>
      <w:r>
        <w:t xml:space="preserve"> score of E in </w:t>
      </w:r>
      <w:r w:rsidR="00044174">
        <w:t>T</w:t>
      </w:r>
      <w:r>
        <w:t xml:space="preserve">able </w:t>
      </w:r>
      <w:r w:rsidR="008E24B7">
        <w:t>5</w:t>
      </w:r>
      <w:r>
        <w:t xml:space="preserve"> </w:t>
      </w:r>
      <w:r w:rsidR="00044174">
        <w:t>in Appendix 1</w:t>
      </w:r>
      <w:r>
        <w:t>).</w:t>
      </w:r>
    </w:p>
    <w:p w14:paraId="1FFEC440" w14:textId="2519234E" w:rsidR="00783EB6" w:rsidRPr="00B41478" w:rsidRDefault="009E68CC" w:rsidP="00761A64">
      <w:pPr>
        <w:rPr>
          <w:i/>
          <w:iCs/>
        </w:rPr>
      </w:pPr>
      <w:r w:rsidRPr="00B41478">
        <w:rPr>
          <w:i/>
          <w:iCs/>
        </w:rPr>
        <w:t>Estimation of the likely consequences</w:t>
      </w:r>
    </w:p>
    <w:p w14:paraId="279323E7" w14:textId="2C92D68D" w:rsidR="00803714" w:rsidRPr="005A14F4" w:rsidRDefault="009E68CC" w:rsidP="00803714">
      <w:r>
        <w:t>The measure of effect (A-G) obtained for each direct and indirect criterion was combined to give the overall effect of a disease agent.</w:t>
      </w:r>
      <w:r w:rsidR="00803714">
        <w:t xml:space="preserve"> The rules outlined in </w:t>
      </w:r>
      <w:r w:rsidR="00406180">
        <w:t xml:space="preserve">Table </w:t>
      </w:r>
      <w:r w:rsidR="008E24B7">
        <w:t>6</w:t>
      </w:r>
      <w:r w:rsidR="00803714">
        <w:t xml:space="preserve"> </w:t>
      </w:r>
      <w:r w:rsidR="00406180">
        <w:t>in Appendix 1</w:t>
      </w:r>
      <w:r w:rsidR="00803714">
        <w:t xml:space="preserve"> were </w:t>
      </w:r>
      <w:r w:rsidR="007F70F5" w:rsidRPr="005A14F4">
        <w:t>dev</w:t>
      </w:r>
      <w:r w:rsidR="00803714" w:rsidRPr="005A14F4">
        <w:t xml:space="preserve">ised for the combination of direct and indirect effects. </w:t>
      </w:r>
    </w:p>
    <w:p w14:paraId="2A6AA26A" w14:textId="183DA0CA" w:rsidR="00803714" w:rsidRPr="005A14F4" w:rsidRDefault="00803714" w:rsidP="00803714">
      <w:r w:rsidRPr="005A14F4">
        <w:lastRenderedPageBreak/>
        <w:t>Based on the</w:t>
      </w:r>
      <w:r w:rsidR="00406180">
        <w:t>se</w:t>
      </w:r>
      <w:r w:rsidRPr="005A14F4">
        <w:t xml:space="preserve"> rules described, where the effect of a disease with respect to one or more criteria is E, the overall effect associated with the outbreak scenario </w:t>
      </w:r>
      <w:proofErr w:type="gramStart"/>
      <w:r w:rsidRPr="005A14F4">
        <w:t>is considered to be</w:t>
      </w:r>
      <w:proofErr w:type="gramEnd"/>
      <w:r w:rsidRPr="005A14F4">
        <w:t xml:space="preserve"> </w:t>
      </w:r>
      <w:r w:rsidRPr="005A14F4">
        <w:rPr>
          <w:b/>
          <w:bCs/>
        </w:rPr>
        <w:t>modera</w:t>
      </w:r>
      <w:r w:rsidR="00B41478" w:rsidRPr="005A14F4">
        <w:rPr>
          <w:b/>
          <w:bCs/>
        </w:rPr>
        <w:t>te</w:t>
      </w:r>
      <w:r w:rsidRPr="005A14F4">
        <w:t>.</w:t>
      </w:r>
    </w:p>
    <w:p w14:paraId="1D11B0A2" w14:textId="41BDA5DD" w:rsidR="00803714" w:rsidRPr="005A14F4" w:rsidRDefault="00803714" w:rsidP="00803714">
      <w:r w:rsidRPr="005A14F4">
        <w:t xml:space="preserve">The estimate of the overall effect associated with the outbreak scenario was combined with the likelihood of establishment and / or spread for the scenario using Table </w:t>
      </w:r>
      <w:r w:rsidR="008E24B7">
        <w:t>7</w:t>
      </w:r>
      <w:r w:rsidRPr="005A14F4">
        <w:t xml:space="preserve"> </w:t>
      </w:r>
      <w:r w:rsidR="006C0235">
        <w:t>in Appendix 1</w:t>
      </w:r>
      <w:r w:rsidRPr="005A14F4">
        <w:t xml:space="preserve"> to obtain an estimation of likely consequences.</w:t>
      </w:r>
    </w:p>
    <w:p w14:paraId="18652834" w14:textId="217727FD" w:rsidR="00803714" w:rsidRPr="005A14F4" w:rsidRDefault="00803714" w:rsidP="00803714">
      <w:r w:rsidRPr="005A14F4">
        <w:t xml:space="preserve">The likelihood of establishment and/or spread (high) was combined with the estimate of the overall effect of establishment and/or spread (moderate), to result in a </w:t>
      </w:r>
      <w:proofErr w:type="gramStart"/>
      <w:r w:rsidRPr="005A14F4">
        <w:rPr>
          <w:b/>
        </w:rPr>
        <w:t>moderate</w:t>
      </w:r>
      <w:r w:rsidRPr="005A14F4">
        <w:t xml:space="preserve"> likely consequences</w:t>
      </w:r>
      <w:proofErr w:type="gramEnd"/>
      <w:r w:rsidRPr="005A14F4">
        <w:t>.</w:t>
      </w:r>
    </w:p>
    <w:p w14:paraId="7345CBAE" w14:textId="5F3080D5" w:rsidR="00803714" w:rsidRPr="005A14F4" w:rsidRDefault="00803714" w:rsidP="00B41478">
      <w:pPr>
        <w:pStyle w:val="Heading4"/>
        <w:numPr>
          <w:ilvl w:val="0"/>
          <w:numId w:val="0"/>
        </w:numPr>
        <w:ind w:left="794" w:hanging="794"/>
      </w:pPr>
      <w:r w:rsidRPr="005A14F4">
        <w:t>Risk estimation</w:t>
      </w:r>
    </w:p>
    <w:p w14:paraId="4256F3CD" w14:textId="069D4136" w:rsidR="00884965" w:rsidRPr="005A14F4" w:rsidRDefault="00803714" w:rsidP="00761A64">
      <w:r w:rsidRPr="005A14F4">
        <w:t xml:space="preserve">Risk estimation is the integration of the likelihood of entry and exposure and the likely consequences of establishment and/or spread to </w:t>
      </w:r>
      <w:r w:rsidR="003660BB" w:rsidRPr="005A14F4">
        <w:t>derive</w:t>
      </w:r>
      <w:r w:rsidRPr="005A14F4">
        <w:t xml:space="preserve"> the risk associated with the entry, </w:t>
      </w:r>
      <w:r w:rsidR="003660BB" w:rsidRPr="005A14F4">
        <w:t>exposure</w:t>
      </w:r>
      <w:r w:rsidRPr="005A14F4">
        <w:t xml:space="preserve">, establishment and/or spread of glanders introduced by the importation of horse or </w:t>
      </w:r>
      <w:r w:rsidR="00984CFE">
        <w:t xml:space="preserve">horse </w:t>
      </w:r>
      <w:r w:rsidRPr="005A14F4">
        <w:t>semen into Australia.</w:t>
      </w:r>
      <w:r w:rsidR="00884965" w:rsidRPr="005A14F4">
        <w:t xml:space="preserve"> </w:t>
      </w:r>
      <w:r w:rsidR="009E4EE9" w:rsidRPr="005A14F4">
        <w:t xml:space="preserve">Using Table </w:t>
      </w:r>
      <w:r w:rsidR="008E24B7">
        <w:t>8</w:t>
      </w:r>
      <w:r w:rsidR="009E4EE9" w:rsidRPr="005A14F4">
        <w:t xml:space="preserve"> </w:t>
      </w:r>
      <w:r w:rsidR="006C0235">
        <w:t>in Appendix 1</w:t>
      </w:r>
      <w:r w:rsidR="009E4EE9" w:rsidRPr="005A14F4">
        <w:t>, the likelihood of entry and exposure (</w:t>
      </w:r>
      <w:r w:rsidR="00302ED8" w:rsidRPr="005A14F4">
        <w:t>low</w:t>
      </w:r>
      <w:r w:rsidR="009E4EE9" w:rsidRPr="005A14F4">
        <w:t>) is combined with the likely consequences of establishment and/or spread (moderate), resulting in a risk estimation of low.</w:t>
      </w:r>
      <w:r w:rsidR="00884965" w:rsidRPr="005A14F4">
        <w:t xml:space="preserve"> </w:t>
      </w:r>
    </w:p>
    <w:p w14:paraId="08A811AB" w14:textId="1C0F455C" w:rsidR="007F70F5" w:rsidRDefault="000C02EB" w:rsidP="00761A64">
      <w:r w:rsidRPr="005A14F4">
        <w:t xml:space="preserve">The unrestricted risk associated with glanders is determined to be </w:t>
      </w:r>
      <w:r w:rsidRPr="005A14F4">
        <w:rPr>
          <w:b/>
        </w:rPr>
        <w:t>low</w:t>
      </w:r>
      <w:r w:rsidRPr="005A14F4">
        <w:t>. The unrestricted risk exceeds Australia’s ALOP and therefore risk management is deemed necessary.</w:t>
      </w:r>
    </w:p>
    <w:tbl>
      <w:tblPr>
        <w:tblStyle w:val="TableGrid"/>
        <w:tblW w:w="9634" w:type="dxa"/>
        <w:tblLayout w:type="fixed"/>
        <w:tblLook w:val="04A0" w:firstRow="1" w:lastRow="0" w:firstColumn="1" w:lastColumn="0" w:noHBand="0" w:noVBand="1"/>
      </w:tblPr>
      <w:tblGrid>
        <w:gridCol w:w="1129"/>
        <w:gridCol w:w="1134"/>
        <w:gridCol w:w="1134"/>
        <w:gridCol w:w="1134"/>
        <w:gridCol w:w="1276"/>
        <w:gridCol w:w="1276"/>
        <w:gridCol w:w="1276"/>
        <w:gridCol w:w="1275"/>
      </w:tblGrid>
      <w:tr w:rsidR="00774D6C" w:rsidRPr="00380919" w14:paraId="7487DF5A" w14:textId="77777777" w:rsidTr="00774D6C">
        <w:trPr>
          <w:cantSplit/>
          <w:trHeight w:val="1155"/>
        </w:trPr>
        <w:tc>
          <w:tcPr>
            <w:tcW w:w="1129" w:type="dxa"/>
            <w:shd w:val="clear" w:color="auto" w:fill="FFFFFF" w:themeFill="background1"/>
            <w:vAlign w:val="center"/>
          </w:tcPr>
          <w:p w14:paraId="0093F1B5" w14:textId="5B77279C"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Commodity</w:t>
            </w:r>
          </w:p>
        </w:tc>
        <w:tc>
          <w:tcPr>
            <w:tcW w:w="1134" w:type="dxa"/>
            <w:shd w:val="clear" w:color="auto" w:fill="FFFFFF" w:themeFill="background1"/>
            <w:vAlign w:val="center"/>
          </w:tcPr>
          <w:p w14:paraId="46AC578A" w14:textId="6019E1D6"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entry</w:t>
            </w:r>
          </w:p>
        </w:tc>
        <w:tc>
          <w:tcPr>
            <w:tcW w:w="1134" w:type="dxa"/>
            <w:shd w:val="clear" w:color="auto" w:fill="FFFFFF" w:themeFill="background1"/>
            <w:vAlign w:val="center"/>
          </w:tcPr>
          <w:p w14:paraId="5CA7181B" w14:textId="18D329AC"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exposure</w:t>
            </w:r>
          </w:p>
        </w:tc>
        <w:tc>
          <w:tcPr>
            <w:tcW w:w="1134" w:type="dxa"/>
            <w:shd w:val="clear" w:color="auto" w:fill="FFFFFF" w:themeFill="background1"/>
            <w:vAlign w:val="center"/>
          </w:tcPr>
          <w:p w14:paraId="1154BA59" w14:textId="6C7F9915"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entry and exposure</w:t>
            </w:r>
          </w:p>
        </w:tc>
        <w:tc>
          <w:tcPr>
            <w:tcW w:w="1276" w:type="dxa"/>
            <w:shd w:val="clear" w:color="auto" w:fill="FFFFFF" w:themeFill="background1"/>
            <w:vAlign w:val="center"/>
          </w:tcPr>
          <w:p w14:paraId="7A7DA971" w14:textId="7E63F9E6"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establishment and/or spread</w:t>
            </w:r>
          </w:p>
        </w:tc>
        <w:tc>
          <w:tcPr>
            <w:tcW w:w="1276" w:type="dxa"/>
            <w:shd w:val="clear" w:color="auto" w:fill="FFFFFF" w:themeFill="background1"/>
            <w:vAlign w:val="center"/>
          </w:tcPr>
          <w:p w14:paraId="41DA4E55" w14:textId="58268E81"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Overall effect of establishment and/or spread</w:t>
            </w:r>
          </w:p>
        </w:tc>
        <w:tc>
          <w:tcPr>
            <w:tcW w:w="1276" w:type="dxa"/>
            <w:shd w:val="clear" w:color="auto" w:fill="FFFFFF" w:themeFill="background1"/>
            <w:vAlign w:val="center"/>
          </w:tcPr>
          <w:p w14:paraId="6EFBFD80" w14:textId="5B46A4E1"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Likely consequences</w:t>
            </w:r>
          </w:p>
        </w:tc>
        <w:tc>
          <w:tcPr>
            <w:tcW w:w="1275" w:type="dxa"/>
            <w:shd w:val="clear" w:color="auto" w:fill="FFFFFF" w:themeFill="background1"/>
            <w:vAlign w:val="center"/>
          </w:tcPr>
          <w:p w14:paraId="5439038C" w14:textId="16D899FE"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Unrestricted risk</w:t>
            </w:r>
          </w:p>
        </w:tc>
      </w:tr>
      <w:tr w:rsidR="00CE554D" w:rsidRPr="00380919" w14:paraId="2DBCBE9A" w14:textId="77777777" w:rsidTr="00984CFE">
        <w:trPr>
          <w:trHeight w:val="290"/>
        </w:trPr>
        <w:tc>
          <w:tcPr>
            <w:tcW w:w="1129" w:type="dxa"/>
            <w:vAlign w:val="center"/>
          </w:tcPr>
          <w:p w14:paraId="1B9066E0" w14:textId="516448BA" w:rsidR="00CE554D" w:rsidRPr="00380919" w:rsidRDefault="00CE554D" w:rsidP="00984CFE">
            <w:pPr>
              <w:spacing w:before="0" w:after="0"/>
              <w:jc w:val="center"/>
              <w:rPr>
                <w:rFonts w:asciiTheme="majorHAnsi" w:hAnsiTheme="majorHAnsi" w:cstheme="minorHAnsi"/>
                <w:b/>
                <w:sz w:val="18"/>
                <w:szCs w:val="20"/>
              </w:rPr>
            </w:pPr>
            <w:r w:rsidRPr="00380919">
              <w:rPr>
                <w:rFonts w:asciiTheme="majorHAnsi" w:hAnsiTheme="majorHAnsi" w:cstheme="minorHAnsi"/>
                <w:b/>
                <w:sz w:val="18"/>
                <w:szCs w:val="20"/>
              </w:rPr>
              <w:t xml:space="preserve">Live </w:t>
            </w:r>
            <w:r w:rsidR="00984CFE">
              <w:rPr>
                <w:rFonts w:asciiTheme="majorHAnsi" w:hAnsiTheme="majorHAnsi" w:cstheme="minorHAnsi"/>
                <w:b/>
                <w:sz w:val="18"/>
                <w:szCs w:val="20"/>
              </w:rPr>
              <w:t>h</w:t>
            </w:r>
            <w:r w:rsidRPr="00380919">
              <w:rPr>
                <w:rFonts w:asciiTheme="majorHAnsi" w:hAnsiTheme="majorHAnsi" w:cstheme="minorHAnsi"/>
                <w:b/>
                <w:sz w:val="18"/>
                <w:szCs w:val="20"/>
              </w:rPr>
              <w:t>orses</w:t>
            </w:r>
          </w:p>
        </w:tc>
        <w:tc>
          <w:tcPr>
            <w:tcW w:w="1134" w:type="dxa"/>
            <w:shd w:val="clear" w:color="auto" w:fill="EAF1DD" w:themeFill="accent3" w:themeFillTint="33"/>
            <w:vAlign w:val="center"/>
          </w:tcPr>
          <w:p w14:paraId="0DC75780" w14:textId="1330743F"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134" w:type="dxa"/>
            <w:shd w:val="clear" w:color="auto" w:fill="EAF1DD" w:themeFill="accent3" w:themeFillTint="33"/>
            <w:vAlign w:val="center"/>
          </w:tcPr>
          <w:p w14:paraId="33747EDA" w14:textId="51AB823D"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134" w:type="dxa"/>
            <w:shd w:val="clear" w:color="auto" w:fill="C2D69B" w:themeFill="accent3" w:themeFillTint="99"/>
            <w:vAlign w:val="center"/>
          </w:tcPr>
          <w:p w14:paraId="17333143" w14:textId="24F7CA7A"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c>
          <w:tcPr>
            <w:tcW w:w="1276" w:type="dxa"/>
            <w:vMerge w:val="restart"/>
            <w:shd w:val="clear" w:color="auto" w:fill="E5DFEC" w:themeFill="accent4" w:themeFillTint="33"/>
            <w:vAlign w:val="center"/>
          </w:tcPr>
          <w:p w14:paraId="21F5966E" w14:textId="7B442530"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HIGH</w:t>
            </w:r>
          </w:p>
        </w:tc>
        <w:tc>
          <w:tcPr>
            <w:tcW w:w="1276" w:type="dxa"/>
            <w:vMerge w:val="restart"/>
            <w:shd w:val="clear" w:color="auto" w:fill="E5DFEC" w:themeFill="accent4" w:themeFillTint="33"/>
            <w:vAlign w:val="center"/>
          </w:tcPr>
          <w:p w14:paraId="6598D18D" w14:textId="1953CC60"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276" w:type="dxa"/>
            <w:vMerge w:val="restart"/>
            <w:shd w:val="clear" w:color="auto" w:fill="B2A1C7" w:themeFill="accent4" w:themeFillTint="99"/>
            <w:vAlign w:val="center"/>
          </w:tcPr>
          <w:p w14:paraId="32ABF507" w14:textId="4959E552"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275" w:type="dxa"/>
            <w:shd w:val="clear" w:color="auto" w:fill="D99594" w:themeFill="accent2" w:themeFillTint="99"/>
            <w:vAlign w:val="center"/>
          </w:tcPr>
          <w:p w14:paraId="09E3C91D" w14:textId="1E042786"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r>
      <w:tr w:rsidR="00CE554D" w:rsidRPr="00380919" w14:paraId="633805E5" w14:textId="77777777" w:rsidTr="00984CFE">
        <w:trPr>
          <w:trHeight w:val="273"/>
        </w:trPr>
        <w:tc>
          <w:tcPr>
            <w:tcW w:w="1129" w:type="dxa"/>
            <w:vAlign w:val="center"/>
          </w:tcPr>
          <w:p w14:paraId="3CE8D9A3" w14:textId="17EB03C7" w:rsidR="00CE554D" w:rsidRPr="00380919" w:rsidRDefault="00984CFE" w:rsidP="001653F9">
            <w:pPr>
              <w:spacing w:before="0" w:after="0"/>
              <w:jc w:val="center"/>
              <w:rPr>
                <w:rFonts w:asciiTheme="majorHAnsi" w:hAnsiTheme="majorHAnsi" w:cstheme="minorHAnsi"/>
                <w:b/>
                <w:sz w:val="18"/>
                <w:szCs w:val="20"/>
              </w:rPr>
            </w:pPr>
            <w:r>
              <w:rPr>
                <w:rFonts w:asciiTheme="majorHAnsi" w:hAnsiTheme="majorHAnsi" w:cstheme="minorHAnsi"/>
                <w:b/>
                <w:sz w:val="18"/>
                <w:szCs w:val="20"/>
              </w:rPr>
              <w:t xml:space="preserve">Horse </w:t>
            </w:r>
            <w:r w:rsidR="00CE554D">
              <w:rPr>
                <w:rFonts w:asciiTheme="majorHAnsi" w:hAnsiTheme="majorHAnsi" w:cstheme="minorHAnsi"/>
                <w:b/>
                <w:sz w:val="18"/>
                <w:szCs w:val="20"/>
              </w:rPr>
              <w:t>s</w:t>
            </w:r>
            <w:r w:rsidR="00CE554D" w:rsidRPr="00380919">
              <w:rPr>
                <w:rFonts w:asciiTheme="majorHAnsi" w:hAnsiTheme="majorHAnsi" w:cstheme="minorHAnsi"/>
                <w:b/>
                <w:sz w:val="18"/>
                <w:szCs w:val="20"/>
              </w:rPr>
              <w:t>emen</w:t>
            </w:r>
          </w:p>
        </w:tc>
        <w:tc>
          <w:tcPr>
            <w:tcW w:w="1134" w:type="dxa"/>
            <w:shd w:val="clear" w:color="auto" w:fill="EAF1DD" w:themeFill="accent3" w:themeFillTint="33"/>
            <w:vAlign w:val="center"/>
          </w:tcPr>
          <w:p w14:paraId="4BF204D3" w14:textId="3C26D08B"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c>
          <w:tcPr>
            <w:tcW w:w="1134" w:type="dxa"/>
            <w:shd w:val="clear" w:color="auto" w:fill="EAF1DD" w:themeFill="accent3" w:themeFillTint="33"/>
            <w:vAlign w:val="center"/>
          </w:tcPr>
          <w:p w14:paraId="1EAFFEDA" w14:textId="39C1C7B2"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HIGH</w:t>
            </w:r>
          </w:p>
        </w:tc>
        <w:tc>
          <w:tcPr>
            <w:tcW w:w="1134" w:type="dxa"/>
            <w:shd w:val="clear" w:color="auto" w:fill="C2D69B" w:themeFill="accent3" w:themeFillTint="99"/>
            <w:vAlign w:val="center"/>
          </w:tcPr>
          <w:p w14:paraId="60D0AFC2" w14:textId="61CA3C90"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c>
          <w:tcPr>
            <w:tcW w:w="1276" w:type="dxa"/>
            <w:vMerge/>
            <w:shd w:val="clear" w:color="auto" w:fill="E5DFEC" w:themeFill="accent4" w:themeFillTint="33"/>
            <w:vAlign w:val="center"/>
          </w:tcPr>
          <w:p w14:paraId="40F39904" w14:textId="5F0D7E87" w:rsidR="00CE554D" w:rsidRPr="00380919" w:rsidRDefault="00CE554D" w:rsidP="001653F9">
            <w:pPr>
              <w:spacing w:before="0" w:after="0"/>
              <w:jc w:val="center"/>
              <w:rPr>
                <w:rFonts w:asciiTheme="majorHAnsi" w:hAnsiTheme="majorHAnsi" w:cstheme="minorHAnsi"/>
                <w:sz w:val="18"/>
                <w:szCs w:val="20"/>
              </w:rPr>
            </w:pPr>
          </w:p>
        </w:tc>
        <w:tc>
          <w:tcPr>
            <w:tcW w:w="1276" w:type="dxa"/>
            <w:vMerge/>
            <w:shd w:val="clear" w:color="auto" w:fill="E5DFEC" w:themeFill="accent4" w:themeFillTint="33"/>
            <w:vAlign w:val="center"/>
          </w:tcPr>
          <w:p w14:paraId="5C420BBD" w14:textId="22762C1D" w:rsidR="00CE554D" w:rsidRPr="00380919" w:rsidRDefault="00CE554D" w:rsidP="00984CFE">
            <w:pPr>
              <w:spacing w:before="0" w:after="0"/>
              <w:jc w:val="center"/>
              <w:rPr>
                <w:rFonts w:asciiTheme="majorHAnsi" w:hAnsiTheme="majorHAnsi" w:cstheme="minorHAnsi"/>
                <w:sz w:val="18"/>
                <w:szCs w:val="20"/>
              </w:rPr>
            </w:pPr>
          </w:p>
        </w:tc>
        <w:tc>
          <w:tcPr>
            <w:tcW w:w="1276" w:type="dxa"/>
            <w:vMerge/>
            <w:shd w:val="clear" w:color="auto" w:fill="B2A1C7" w:themeFill="accent4" w:themeFillTint="99"/>
            <w:vAlign w:val="center"/>
          </w:tcPr>
          <w:p w14:paraId="6CC930F7" w14:textId="1830E7C9" w:rsidR="00CE554D" w:rsidRPr="00380919" w:rsidRDefault="00CE554D" w:rsidP="00984CFE">
            <w:pPr>
              <w:spacing w:before="0" w:after="0"/>
              <w:jc w:val="center"/>
              <w:rPr>
                <w:rFonts w:asciiTheme="majorHAnsi" w:hAnsiTheme="majorHAnsi" w:cstheme="minorHAnsi"/>
                <w:sz w:val="18"/>
                <w:szCs w:val="20"/>
              </w:rPr>
            </w:pPr>
          </w:p>
        </w:tc>
        <w:tc>
          <w:tcPr>
            <w:tcW w:w="1275" w:type="dxa"/>
            <w:shd w:val="clear" w:color="auto" w:fill="D99594" w:themeFill="accent2" w:themeFillTint="99"/>
            <w:vAlign w:val="center"/>
          </w:tcPr>
          <w:p w14:paraId="7D6875BA" w14:textId="2D116D04"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r>
    </w:tbl>
    <w:p w14:paraId="7A34F74C" w14:textId="68A6B160" w:rsidR="00863922" w:rsidRDefault="009C3EB4" w:rsidP="00774D6C">
      <w:pPr>
        <w:spacing w:before="120"/>
      </w:pPr>
      <w:r w:rsidRPr="00FF1D5C">
        <w:rPr>
          <w:b/>
          <w:bCs/>
          <w:sz w:val="20"/>
        </w:rPr>
        <w:t xml:space="preserve">Figure 1: </w:t>
      </w:r>
      <w:r w:rsidRPr="00380919">
        <w:rPr>
          <w:bCs/>
          <w:sz w:val="20"/>
        </w:rPr>
        <w:t>Summary of risk assessment</w:t>
      </w:r>
      <w:r w:rsidR="00FF1D5C" w:rsidRPr="00380919">
        <w:rPr>
          <w:sz w:val="20"/>
        </w:rPr>
        <w:t xml:space="preserve">. </w:t>
      </w:r>
    </w:p>
    <w:p w14:paraId="7083433E" w14:textId="5DE01FE8" w:rsidR="00761A64" w:rsidRDefault="00761A64" w:rsidP="00761A64">
      <w:pPr>
        <w:pStyle w:val="Heading4"/>
        <w:numPr>
          <w:ilvl w:val="0"/>
          <w:numId w:val="0"/>
        </w:numPr>
        <w:ind w:left="794" w:hanging="794"/>
      </w:pPr>
      <w:bookmarkStart w:id="6" w:name="_Hlk109396710"/>
      <w:r w:rsidRPr="00C646EE">
        <w:t>Conclusion</w:t>
      </w:r>
    </w:p>
    <w:p w14:paraId="12675217" w14:textId="3E2DC076" w:rsidR="00664EB2" w:rsidRPr="00FB5AF5" w:rsidRDefault="00D215F7" w:rsidP="00664EB2">
      <w:pPr>
        <w:pStyle w:val="CommentText"/>
        <w:rPr>
          <w:sz w:val="22"/>
          <w:szCs w:val="22"/>
        </w:rPr>
      </w:pPr>
      <w:r w:rsidRPr="00FB5AF5">
        <w:rPr>
          <w:sz w:val="22"/>
          <w:szCs w:val="22"/>
        </w:rPr>
        <w:t xml:space="preserve">Risk management </w:t>
      </w:r>
      <w:r w:rsidR="00242136" w:rsidRPr="00FB5AF5">
        <w:rPr>
          <w:sz w:val="22"/>
          <w:szCs w:val="22"/>
        </w:rPr>
        <w:t>measures</w:t>
      </w:r>
      <w:r w:rsidRPr="00FB5AF5">
        <w:rPr>
          <w:sz w:val="22"/>
          <w:szCs w:val="22"/>
        </w:rPr>
        <w:t xml:space="preserve"> are required to achieve Australia’s ALOP</w:t>
      </w:r>
      <w:r w:rsidR="00987C11" w:rsidRPr="00FB5AF5">
        <w:rPr>
          <w:sz w:val="22"/>
          <w:szCs w:val="22"/>
        </w:rPr>
        <w:t xml:space="preserve"> </w:t>
      </w:r>
      <w:proofErr w:type="gramStart"/>
      <w:r w:rsidR="00987C11" w:rsidRPr="00FB5AF5">
        <w:rPr>
          <w:sz w:val="22"/>
          <w:szCs w:val="22"/>
        </w:rPr>
        <w:t>with regard to</w:t>
      </w:r>
      <w:proofErr w:type="gramEnd"/>
      <w:r w:rsidR="00987C11" w:rsidRPr="00FB5AF5">
        <w:rPr>
          <w:sz w:val="22"/>
          <w:szCs w:val="22"/>
        </w:rPr>
        <w:t xml:space="preserve"> the risk of glanders</w:t>
      </w:r>
      <w:r w:rsidRPr="00FB5AF5">
        <w:rPr>
          <w:sz w:val="22"/>
          <w:szCs w:val="22"/>
        </w:rPr>
        <w:t xml:space="preserve"> for the importation of live horses and </w:t>
      </w:r>
      <w:r w:rsidR="00896A8A" w:rsidRPr="00FB5AF5">
        <w:rPr>
          <w:sz w:val="22"/>
          <w:szCs w:val="22"/>
        </w:rPr>
        <w:t>horse</w:t>
      </w:r>
      <w:r w:rsidRPr="00FB5AF5">
        <w:rPr>
          <w:sz w:val="22"/>
          <w:szCs w:val="22"/>
        </w:rPr>
        <w:t xml:space="preserve"> semen.</w:t>
      </w:r>
      <w:r w:rsidR="00242136" w:rsidRPr="00FB5AF5">
        <w:rPr>
          <w:sz w:val="22"/>
          <w:szCs w:val="22"/>
        </w:rPr>
        <w:t xml:space="preserve"> The department considered risk management options </w:t>
      </w:r>
      <w:r w:rsidR="0066002B" w:rsidRPr="00FB5AF5">
        <w:rPr>
          <w:sz w:val="22"/>
          <w:szCs w:val="22"/>
        </w:rPr>
        <w:t xml:space="preserve">including country or zone freedom, premises status, testing and treatments </w:t>
      </w:r>
      <w:r w:rsidR="00242136" w:rsidRPr="00FB5AF5">
        <w:rPr>
          <w:sz w:val="22"/>
          <w:szCs w:val="22"/>
        </w:rPr>
        <w:t>that could be applied to reduce the likelihood of entry and/or exposure for glanders to achieve Australia’s ALOP.</w:t>
      </w:r>
    </w:p>
    <w:p w14:paraId="1A0397A4" w14:textId="41517CB9" w:rsidR="002A5079" w:rsidRDefault="002D3914" w:rsidP="00D44EA6">
      <w:r w:rsidRPr="00D901E9">
        <w:rPr>
          <w:color w:val="365F91" w:themeColor="accent1" w:themeShade="BF"/>
        </w:rPr>
        <w:t>While WOAH provide</w:t>
      </w:r>
      <w:r>
        <w:rPr>
          <w:color w:val="365F91" w:themeColor="accent1" w:themeShade="BF"/>
        </w:rPr>
        <w:t>s</w:t>
      </w:r>
      <w:r w:rsidRPr="00D901E9">
        <w:rPr>
          <w:color w:val="365F91" w:themeColor="accent1" w:themeShade="BF"/>
        </w:rPr>
        <w:t xml:space="preserve"> recommendations for </w:t>
      </w:r>
      <w:r>
        <w:rPr>
          <w:color w:val="365F91" w:themeColor="accent1" w:themeShade="BF"/>
        </w:rPr>
        <w:t>movement</w:t>
      </w:r>
      <w:r w:rsidRPr="00D901E9">
        <w:rPr>
          <w:color w:val="365F91" w:themeColor="accent1" w:themeShade="BF"/>
        </w:rPr>
        <w:t xml:space="preserve"> of horses</w:t>
      </w:r>
      <w:r>
        <w:rPr>
          <w:color w:val="365F91" w:themeColor="accent1" w:themeShade="BF"/>
        </w:rPr>
        <w:t xml:space="preserve"> and their semen</w:t>
      </w:r>
      <w:r w:rsidRPr="00D901E9">
        <w:rPr>
          <w:color w:val="365F91" w:themeColor="accent1" w:themeShade="BF"/>
        </w:rPr>
        <w:t xml:space="preserve"> in relation to glanders,</w:t>
      </w:r>
      <w:r>
        <w:rPr>
          <w:color w:val="365F91" w:themeColor="accent1" w:themeShade="BF"/>
        </w:rPr>
        <w:t xml:space="preserve"> other than the recommendation of country freedom (where the country is recognised as free from glanders by the department),</w:t>
      </w:r>
      <w:r w:rsidRPr="00D901E9">
        <w:rPr>
          <w:color w:val="365F91" w:themeColor="accent1" w:themeShade="BF"/>
        </w:rPr>
        <w:t xml:space="preserve"> these</w:t>
      </w:r>
      <w:r>
        <w:rPr>
          <w:color w:val="365F91" w:themeColor="accent1" w:themeShade="BF"/>
        </w:rPr>
        <w:t xml:space="preserve"> measures alone or in combination</w:t>
      </w:r>
      <w:r w:rsidRPr="00D901E9">
        <w:rPr>
          <w:color w:val="365F91" w:themeColor="accent1" w:themeShade="BF"/>
        </w:rPr>
        <w:t xml:space="preserve"> were not considered sufficient to satisfy Australia’s ALOP.   </w:t>
      </w:r>
      <w:r>
        <w:rPr>
          <w:color w:val="365F91" w:themeColor="accent1" w:themeShade="BF"/>
        </w:rPr>
        <w:t>Internationally prescribed tests for glanders have variable reliability and country or premises freedom in countries that may have low level of undetected cases and insufficient surveillance and reporting activity do not provide adequate assurance to achieve Australia’s’ ALOP</w:t>
      </w:r>
      <w:r w:rsidR="00242136">
        <w:t>.</w:t>
      </w:r>
    </w:p>
    <w:p w14:paraId="5AEEF2BE" w14:textId="66A778A0" w:rsidR="002D3914" w:rsidRDefault="002D3914" w:rsidP="00D44EA6"/>
    <w:p w14:paraId="41CB836B" w14:textId="77777777" w:rsidR="002D3914" w:rsidRPr="002A5079" w:rsidRDefault="002D3914" w:rsidP="00D44EA6"/>
    <w:bookmarkEnd w:id="6"/>
    <w:p w14:paraId="795D4E73" w14:textId="77777777" w:rsidR="000D738A" w:rsidRPr="00C646EE" w:rsidRDefault="000D738A" w:rsidP="004C2F56">
      <w:pPr>
        <w:pStyle w:val="ListParagraph"/>
        <w:numPr>
          <w:ilvl w:val="0"/>
          <w:numId w:val="16"/>
        </w:numPr>
        <w:spacing w:after="160" w:line="259" w:lineRule="auto"/>
        <w:contextualSpacing/>
      </w:pPr>
      <w:r w:rsidRPr="00C646EE">
        <w:lastRenderedPageBreak/>
        <w:t>Live horses</w:t>
      </w:r>
    </w:p>
    <w:p w14:paraId="0B978399" w14:textId="3335F978" w:rsidR="000D738A" w:rsidRPr="00C646EE" w:rsidRDefault="000D738A" w:rsidP="000D738A">
      <w:r w:rsidRPr="00C646EE">
        <w:t xml:space="preserve">Glanders is not currently present in approved countries and is not present in Australia. In Australia glanders is a nationally notifiable disease and </w:t>
      </w:r>
      <w:r w:rsidR="00F32201">
        <w:t>biosecurity</w:t>
      </w:r>
      <w:r w:rsidR="00F32201" w:rsidRPr="00C646EE">
        <w:t xml:space="preserve"> </w:t>
      </w:r>
      <w:r w:rsidRPr="00C646EE">
        <w:t>measures are in place</w:t>
      </w:r>
      <w:r w:rsidR="00E63287">
        <w:t xml:space="preserve">. </w:t>
      </w:r>
      <w:r w:rsidRPr="00C646EE">
        <w:t xml:space="preserve">Based on the preceding information, risk management </w:t>
      </w:r>
      <w:r w:rsidR="00F32201">
        <w:t xml:space="preserve">measures </w:t>
      </w:r>
      <w:r w:rsidRPr="00C646EE">
        <w:t>continue to be warranted</w:t>
      </w:r>
      <w:r w:rsidR="007F7EA9">
        <w:t xml:space="preserve"> (Figure 1)</w:t>
      </w:r>
      <w:r w:rsidRPr="00C646EE">
        <w:t>. The department has determined that the current biosecurity measures are appropriate risk management for glanders</w:t>
      </w:r>
      <w:r w:rsidR="00D215F7">
        <w:t xml:space="preserve"> </w:t>
      </w:r>
      <w:r w:rsidR="00242136">
        <w:t>and</w:t>
      </w:r>
      <w:r w:rsidR="00D215F7">
        <w:t xml:space="preserve"> reduce the likelihood of entry to achieve Australia’s ALOP</w:t>
      </w:r>
      <w:r w:rsidRPr="00C646EE">
        <w:t xml:space="preserve">. </w:t>
      </w:r>
    </w:p>
    <w:p w14:paraId="4EA034C3" w14:textId="77777777" w:rsidR="000D738A" w:rsidRPr="00C646EE" w:rsidRDefault="000D738A" w:rsidP="000D738A">
      <w:r w:rsidRPr="00C646EE">
        <w:t>These measures are:</w:t>
      </w:r>
    </w:p>
    <w:p w14:paraId="7314EECF" w14:textId="503E61E0" w:rsidR="000D738A" w:rsidRPr="00C646EE" w:rsidRDefault="000D738A" w:rsidP="00D44EA6">
      <w:pPr>
        <w:pStyle w:val="ListParagraph"/>
        <w:numPr>
          <w:ilvl w:val="0"/>
          <w:numId w:val="33"/>
        </w:numPr>
      </w:pPr>
      <w:r w:rsidRPr="00C646EE">
        <w:t xml:space="preserve">After due enquiry, for </w:t>
      </w:r>
      <w:r w:rsidR="00F32201">
        <w:t>180 days</w:t>
      </w:r>
      <w:r w:rsidRPr="00C646EE">
        <w:t xml:space="preserve"> immediately before export, or since birth if under six months of age, the horse has been continuously resident and free of quarantine restriction in </w:t>
      </w:r>
      <w:r w:rsidR="00680656">
        <w:t xml:space="preserve">[insert </w:t>
      </w:r>
      <w:r w:rsidRPr="00C646EE">
        <w:t>approved country</w:t>
      </w:r>
      <w:r w:rsidR="00680656">
        <w:t>]</w:t>
      </w:r>
      <w:r w:rsidRPr="00C646EE">
        <w:t xml:space="preserve"> or other country where no clinical, </w:t>
      </w:r>
      <w:proofErr w:type="gramStart"/>
      <w:r w:rsidRPr="00C646EE">
        <w:t>epidemiological</w:t>
      </w:r>
      <w:proofErr w:type="gramEnd"/>
      <w:r w:rsidRPr="00C646EE">
        <w:t xml:space="preserve"> or other evidence of glanders occurred during the previous three years before export; and the disease is compulsorily notifiable.</w:t>
      </w:r>
    </w:p>
    <w:p w14:paraId="051A7077" w14:textId="77777777" w:rsidR="000D738A" w:rsidRPr="00C646EE" w:rsidRDefault="000D738A" w:rsidP="00D44EA6">
      <w:pPr>
        <w:pStyle w:val="ListParagraph"/>
        <w:numPr>
          <w:ilvl w:val="0"/>
          <w:numId w:val="33"/>
        </w:numPr>
      </w:pPr>
      <w:r w:rsidRPr="00C646EE">
        <w:t>The horse has been examined by the official veterinarian within 24 hours before leaving the PEQ facility for the port of export and has been found to be free from evidence of infectious or contagious disease.</w:t>
      </w:r>
    </w:p>
    <w:p w14:paraId="6259430B" w14:textId="77777777" w:rsidR="000D738A" w:rsidRPr="00C646EE" w:rsidRDefault="000D738A" w:rsidP="004C2F56">
      <w:pPr>
        <w:pStyle w:val="ListParagraph"/>
        <w:numPr>
          <w:ilvl w:val="0"/>
          <w:numId w:val="16"/>
        </w:numPr>
        <w:spacing w:after="160" w:line="259" w:lineRule="auto"/>
        <w:contextualSpacing/>
      </w:pPr>
      <w:r w:rsidRPr="00C646EE">
        <w:t xml:space="preserve">Semen </w:t>
      </w:r>
    </w:p>
    <w:p w14:paraId="156DF795" w14:textId="7A353183" w:rsidR="000D738A" w:rsidRPr="00C646EE" w:rsidRDefault="000D738A" w:rsidP="000D738A">
      <w:r w:rsidRPr="00C646EE">
        <w:t xml:space="preserve">As with live horses, glanders is not currently present in countries approved to export </w:t>
      </w:r>
      <w:r w:rsidR="00896A8A">
        <w:t>horse</w:t>
      </w:r>
      <w:r w:rsidRPr="00C646EE">
        <w:t xml:space="preserve"> semen to Australia. Based on the preceding information, risk </w:t>
      </w:r>
      <w:r w:rsidR="0066002B">
        <w:t xml:space="preserve">management </w:t>
      </w:r>
      <w:r w:rsidRPr="00C646EE">
        <w:t>measures continue to be warranted. The department has determined that the current biosecurity measures are appropriate risk management for glanders</w:t>
      </w:r>
      <w:r w:rsidR="0066002B">
        <w:t xml:space="preserve"> and reduce the likelihood of entry to achieve Australia’s ALOP</w:t>
      </w:r>
      <w:r w:rsidRPr="00C646EE">
        <w:t xml:space="preserve">. </w:t>
      </w:r>
    </w:p>
    <w:p w14:paraId="36BFC8E6" w14:textId="77777777" w:rsidR="000D738A" w:rsidRPr="00C646EE" w:rsidRDefault="000D738A" w:rsidP="000D738A">
      <w:r w:rsidRPr="00C646EE">
        <w:t>These measures are:</w:t>
      </w:r>
    </w:p>
    <w:p w14:paraId="768AFB1D" w14:textId="622EA998" w:rsidR="000D738A" w:rsidRPr="00C646EE" w:rsidRDefault="000D738A" w:rsidP="004C2F56">
      <w:pPr>
        <w:pStyle w:val="ListParagraph"/>
        <w:numPr>
          <w:ilvl w:val="0"/>
          <w:numId w:val="17"/>
        </w:numPr>
        <w:spacing w:after="160" w:line="259" w:lineRule="auto"/>
        <w:contextualSpacing/>
      </w:pPr>
      <w:r w:rsidRPr="00C646EE">
        <w:t xml:space="preserve">During the </w:t>
      </w:r>
      <w:r w:rsidR="00836207">
        <w:t>60 days</w:t>
      </w:r>
      <w:r w:rsidRPr="00C646EE">
        <w:t xml:space="preserve"> immediately prior to the first collection of semen for this consignment, the stallion was continuously resident in [insert approved country], where glanders is compulsorily notifiable and where glanders was not reported during the three years immediately prior to, or during, the collection of semen for this consignment.</w:t>
      </w:r>
    </w:p>
    <w:p w14:paraId="6EE3BD52" w14:textId="79248115" w:rsidR="00761A64" w:rsidRDefault="000D738A" w:rsidP="004C2F56">
      <w:pPr>
        <w:pStyle w:val="NormalWeb"/>
        <w:numPr>
          <w:ilvl w:val="0"/>
          <w:numId w:val="17"/>
        </w:numPr>
        <w:spacing w:before="216" w:after="216" w:line="240" w:lineRule="auto"/>
        <w:jc w:val="left"/>
        <w:rPr>
          <w:rFonts w:asciiTheme="majorHAnsi" w:hAnsiTheme="majorHAnsi" w:cstheme="minorHAnsi"/>
          <w:sz w:val="22"/>
          <w:szCs w:val="22"/>
        </w:rPr>
      </w:pPr>
      <w:r w:rsidRPr="00C646EE">
        <w:rPr>
          <w:rFonts w:asciiTheme="majorHAnsi" w:hAnsiTheme="majorHAnsi" w:cstheme="minorHAnsi"/>
          <w:sz w:val="22"/>
          <w:szCs w:val="22"/>
        </w:rPr>
        <w:t xml:space="preserve">The donor stallion was examined by an approved veterinarian on each day of collection of semen for this consignment and was clinically healthy. </w:t>
      </w:r>
    </w:p>
    <w:p w14:paraId="1479A0A7" w14:textId="77777777" w:rsidR="007E772A" w:rsidRDefault="007E772A" w:rsidP="007E772A">
      <w:pPr>
        <w:pStyle w:val="NormalWeb"/>
        <w:spacing w:before="216" w:after="216" w:line="240" w:lineRule="auto"/>
        <w:ind w:left="720"/>
        <w:jc w:val="left"/>
        <w:rPr>
          <w:rFonts w:asciiTheme="majorHAnsi" w:hAnsiTheme="majorHAnsi" w:cstheme="minorHAnsi"/>
          <w:sz w:val="22"/>
          <w:szCs w:val="22"/>
        </w:rPr>
      </w:pPr>
    </w:p>
    <w:p w14:paraId="0E593551" w14:textId="77777777" w:rsidR="00844404" w:rsidRDefault="00844404" w:rsidP="007E772A">
      <w:pPr>
        <w:pStyle w:val="NormalWeb"/>
        <w:spacing w:before="216" w:after="216" w:line="240" w:lineRule="auto"/>
        <w:ind w:left="720"/>
        <w:jc w:val="left"/>
        <w:rPr>
          <w:rFonts w:asciiTheme="majorHAnsi" w:hAnsiTheme="majorHAnsi" w:cstheme="minorHAnsi"/>
          <w:sz w:val="22"/>
          <w:szCs w:val="22"/>
        </w:rPr>
      </w:pPr>
    </w:p>
    <w:p w14:paraId="0F5F2F95" w14:textId="77777777" w:rsidR="00844404" w:rsidRDefault="00844404" w:rsidP="007E772A">
      <w:pPr>
        <w:pStyle w:val="NormalWeb"/>
        <w:spacing w:before="216" w:after="216" w:line="240" w:lineRule="auto"/>
        <w:ind w:left="720"/>
        <w:jc w:val="left"/>
        <w:rPr>
          <w:rFonts w:asciiTheme="majorHAnsi" w:hAnsiTheme="majorHAnsi" w:cstheme="minorHAnsi"/>
          <w:sz w:val="22"/>
          <w:szCs w:val="22"/>
        </w:rPr>
      </w:pPr>
    </w:p>
    <w:p w14:paraId="51B121B9" w14:textId="77777777" w:rsidR="00844404" w:rsidRDefault="00844404" w:rsidP="007E772A">
      <w:pPr>
        <w:pStyle w:val="NormalWeb"/>
        <w:spacing w:before="216" w:after="216" w:line="240" w:lineRule="auto"/>
        <w:ind w:left="720"/>
        <w:jc w:val="left"/>
        <w:rPr>
          <w:rFonts w:asciiTheme="majorHAnsi" w:hAnsiTheme="majorHAnsi" w:cstheme="minorHAnsi"/>
          <w:sz w:val="22"/>
          <w:szCs w:val="22"/>
        </w:rPr>
      </w:pPr>
    </w:p>
    <w:p w14:paraId="0564614D" w14:textId="77777777" w:rsidR="003C090C" w:rsidRDefault="003C090C">
      <w:pPr>
        <w:spacing w:after="0" w:line="240" w:lineRule="auto"/>
        <w:rPr>
          <w:rFonts w:ascii="Calibri" w:eastAsiaTheme="majorEastAsia" w:hAnsi="Calibri" w:cstheme="majorBidi"/>
          <w:b/>
          <w:bCs/>
          <w:color w:val="C6281C"/>
          <w:sz w:val="34"/>
          <w:szCs w:val="26"/>
        </w:rPr>
      </w:pPr>
      <w:r>
        <w:br w:type="page"/>
      </w:r>
    </w:p>
    <w:p w14:paraId="04F57713" w14:textId="773D4A9D" w:rsidR="000D757D" w:rsidRDefault="000D757D" w:rsidP="005B050E">
      <w:pPr>
        <w:pStyle w:val="Heading2"/>
        <w:numPr>
          <w:ilvl w:val="0"/>
          <w:numId w:val="0"/>
        </w:numPr>
        <w:ind w:left="794" w:hanging="794"/>
      </w:pPr>
      <w:r>
        <w:lastRenderedPageBreak/>
        <w:t>Appendix 1</w:t>
      </w:r>
    </w:p>
    <w:p w14:paraId="57E5C0DC" w14:textId="5538B980" w:rsidR="000D757D" w:rsidRDefault="000D757D" w:rsidP="000D757D">
      <w:pPr>
        <w:keepNext/>
        <w:keepLines/>
        <w:rPr>
          <w:b/>
          <w:bCs/>
        </w:rPr>
      </w:pPr>
      <w:r w:rsidRPr="005246EA">
        <w:rPr>
          <w:b/>
          <w:bCs/>
        </w:rPr>
        <w:t>Risk assessment tables</w:t>
      </w:r>
    </w:p>
    <w:p w14:paraId="3A94E02D" w14:textId="587F04AD" w:rsidR="00E2098C" w:rsidRPr="006C0235" w:rsidRDefault="00E2098C" w:rsidP="006C0235">
      <w:pPr>
        <w:pStyle w:val="Caption"/>
      </w:pPr>
      <w:r w:rsidRPr="006C0235">
        <w:t xml:space="preserve">Table </w:t>
      </w:r>
      <w:fldSimple w:instr=" SEQ Table \* ARABIC ">
        <w:r w:rsidR="0023387B">
          <w:rPr>
            <w:noProof/>
          </w:rPr>
          <w:t>1</w:t>
        </w:r>
      </w:fldSimple>
      <w:r w:rsidRPr="006C0235">
        <w:t>: Nomenclature for qualitative likelihoods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36"/>
      </w:tblGrid>
      <w:tr w:rsidR="000D757D" w:rsidRPr="008E01DF" w14:paraId="0418C21B" w14:textId="77777777" w:rsidTr="005246EA">
        <w:trPr>
          <w:trHeight w:val="349"/>
        </w:trPr>
        <w:tc>
          <w:tcPr>
            <w:tcW w:w="1696" w:type="dxa"/>
            <w:vAlign w:val="center"/>
          </w:tcPr>
          <w:p w14:paraId="2424A828" w14:textId="77777777" w:rsidR="000D757D" w:rsidRPr="008E01DF" w:rsidRDefault="000D757D" w:rsidP="005B050E">
            <w:pPr>
              <w:pStyle w:val="TableHeading"/>
              <w:keepLines/>
            </w:pPr>
            <w:r w:rsidRPr="008E01DF">
              <w:t>Likelihood</w:t>
            </w:r>
          </w:p>
        </w:tc>
        <w:tc>
          <w:tcPr>
            <w:tcW w:w="4536" w:type="dxa"/>
            <w:vAlign w:val="center"/>
          </w:tcPr>
          <w:p w14:paraId="2D53D4D5" w14:textId="77777777" w:rsidR="000D757D" w:rsidRPr="008E01DF" w:rsidRDefault="000D757D" w:rsidP="006C0235">
            <w:pPr>
              <w:pStyle w:val="TableHeading"/>
              <w:keepLines/>
            </w:pPr>
            <w:r w:rsidRPr="008E01DF">
              <w:t>Descriptive definition</w:t>
            </w:r>
          </w:p>
        </w:tc>
      </w:tr>
      <w:tr w:rsidR="000D757D" w:rsidRPr="008E01DF" w14:paraId="07B3266F" w14:textId="77777777" w:rsidTr="005246EA">
        <w:trPr>
          <w:trHeight w:val="349"/>
        </w:trPr>
        <w:tc>
          <w:tcPr>
            <w:tcW w:w="1696" w:type="dxa"/>
            <w:vAlign w:val="center"/>
          </w:tcPr>
          <w:p w14:paraId="44DB274D" w14:textId="77777777" w:rsidR="000D757D" w:rsidRPr="008E01DF" w:rsidRDefault="000D757D" w:rsidP="005B050E">
            <w:pPr>
              <w:pStyle w:val="TableText"/>
              <w:keepNext/>
              <w:keepLines/>
            </w:pPr>
            <w:r w:rsidRPr="008E01DF">
              <w:t>High</w:t>
            </w:r>
          </w:p>
        </w:tc>
        <w:tc>
          <w:tcPr>
            <w:tcW w:w="4536" w:type="dxa"/>
            <w:vAlign w:val="center"/>
          </w:tcPr>
          <w:p w14:paraId="267F963B" w14:textId="77777777" w:rsidR="000D757D" w:rsidRPr="008E01DF" w:rsidRDefault="000D757D" w:rsidP="006C0235">
            <w:pPr>
              <w:pStyle w:val="TableText"/>
              <w:keepNext/>
              <w:keepLines/>
            </w:pPr>
            <w:r w:rsidRPr="008E01DF">
              <w:t>The event would be very likely to occur</w:t>
            </w:r>
          </w:p>
        </w:tc>
      </w:tr>
      <w:tr w:rsidR="000D757D" w:rsidRPr="008E01DF" w14:paraId="3320E01E" w14:textId="77777777" w:rsidTr="005246EA">
        <w:trPr>
          <w:trHeight w:val="349"/>
        </w:trPr>
        <w:tc>
          <w:tcPr>
            <w:tcW w:w="1696" w:type="dxa"/>
            <w:vAlign w:val="center"/>
          </w:tcPr>
          <w:p w14:paraId="7ED6315C" w14:textId="77777777" w:rsidR="000D757D" w:rsidRPr="008E01DF" w:rsidRDefault="000D757D" w:rsidP="005B050E">
            <w:pPr>
              <w:pStyle w:val="TableText"/>
              <w:keepNext/>
              <w:keepLines/>
            </w:pPr>
            <w:r w:rsidRPr="008E01DF">
              <w:t>Moderate</w:t>
            </w:r>
          </w:p>
        </w:tc>
        <w:tc>
          <w:tcPr>
            <w:tcW w:w="4536" w:type="dxa"/>
            <w:vAlign w:val="center"/>
          </w:tcPr>
          <w:p w14:paraId="7A3089BC" w14:textId="77777777" w:rsidR="000D757D" w:rsidRPr="008E01DF" w:rsidRDefault="000D757D" w:rsidP="006C0235">
            <w:pPr>
              <w:pStyle w:val="TableText"/>
              <w:keepNext/>
              <w:keepLines/>
            </w:pPr>
            <w:r w:rsidRPr="008E01DF">
              <w:t>The event is equally likely to occur or not occur</w:t>
            </w:r>
          </w:p>
        </w:tc>
      </w:tr>
      <w:tr w:rsidR="000D757D" w:rsidRPr="008E01DF" w14:paraId="101BADF4" w14:textId="77777777" w:rsidTr="005246EA">
        <w:trPr>
          <w:trHeight w:val="349"/>
        </w:trPr>
        <w:tc>
          <w:tcPr>
            <w:tcW w:w="1696" w:type="dxa"/>
            <w:vAlign w:val="center"/>
          </w:tcPr>
          <w:p w14:paraId="0F42AB41" w14:textId="77777777" w:rsidR="000D757D" w:rsidRPr="008E01DF" w:rsidRDefault="000D757D" w:rsidP="005B050E">
            <w:pPr>
              <w:pStyle w:val="TableText"/>
              <w:keepNext/>
              <w:keepLines/>
            </w:pPr>
            <w:r w:rsidRPr="008E01DF">
              <w:t>Low</w:t>
            </w:r>
          </w:p>
        </w:tc>
        <w:tc>
          <w:tcPr>
            <w:tcW w:w="4536" w:type="dxa"/>
            <w:vAlign w:val="center"/>
          </w:tcPr>
          <w:p w14:paraId="0BB0939D" w14:textId="77777777" w:rsidR="000D757D" w:rsidRPr="008E01DF" w:rsidRDefault="000D757D" w:rsidP="006C0235">
            <w:pPr>
              <w:pStyle w:val="TableText"/>
              <w:keepNext/>
              <w:keepLines/>
            </w:pPr>
            <w:r w:rsidRPr="008E01DF">
              <w:t>The event would be unlikely to occur</w:t>
            </w:r>
          </w:p>
        </w:tc>
      </w:tr>
      <w:tr w:rsidR="000D757D" w:rsidRPr="008E01DF" w14:paraId="235ABCD2" w14:textId="77777777" w:rsidTr="005246EA">
        <w:trPr>
          <w:trHeight w:val="349"/>
        </w:trPr>
        <w:tc>
          <w:tcPr>
            <w:tcW w:w="1696" w:type="dxa"/>
            <w:vAlign w:val="center"/>
          </w:tcPr>
          <w:p w14:paraId="10ED1ACC" w14:textId="77777777" w:rsidR="000D757D" w:rsidRPr="008E01DF" w:rsidRDefault="000D757D" w:rsidP="005B050E">
            <w:pPr>
              <w:pStyle w:val="TableText"/>
              <w:keepNext/>
              <w:keepLines/>
            </w:pPr>
            <w:r w:rsidRPr="008E01DF">
              <w:t>Very low</w:t>
            </w:r>
          </w:p>
        </w:tc>
        <w:tc>
          <w:tcPr>
            <w:tcW w:w="4536" w:type="dxa"/>
            <w:vAlign w:val="center"/>
          </w:tcPr>
          <w:p w14:paraId="7329BD94" w14:textId="77777777" w:rsidR="000D757D" w:rsidRPr="008E01DF" w:rsidRDefault="000D757D" w:rsidP="006C0235">
            <w:pPr>
              <w:pStyle w:val="TableText"/>
              <w:keepNext/>
              <w:keepLines/>
            </w:pPr>
            <w:r w:rsidRPr="008E01DF">
              <w:t>The event would be very unlikely to occur</w:t>
            </w:r>
          </w:p>
        </w:tc>
      </w:tr>
      <w:tr w:rsidR="000D757D" w:rsidRPr="008E01DF" w14:paraId="2AD0AB9C" w14:textId="77777777" w:rsidTr="005246EA">
        <w:trPr>
          <w:trHeight w:val="349"/>
        </w:trPr>
        <w:tc>
          <w:tcPr>
            <w:tcW w:w="1696" w:type="dxa"/>
            <w:vAlign w:val="center"/>
          </w:tcPr>
          <w:p w14:paraId="6B0A870C" w14:textId="77777777" w:rsidR="000D757D" w:rsidRPr="008E01DF" w:rsidRDefault="000D757D" w:rsidP="005B050E">
            <w:pPr>
              <w:pStyle w:val="TableText"/>
              <w:keepNext/>
              <w:keepLines/>
            </w:pPr>
            <w:r w:rsidRPr="008E01DF">
              <w:t>Extremely low</w:t>
            </w:r>
          </w:p>
        </w:tc>
        <w:tc>
          <w:tcPr>
            <w:tcW w:w="4536" w:type="dxa"/>
            <w:vAlign w:val="center"/>
          </w:tcPr>
          <w:p w14:paraId="0DEBD17F" w14:textId="77777777" w:rsidR="000D757D" w:rsidRPr="008E01DF" w:rsidRDefault="000D757D" w:rsidP="006C0235">
            <w:pPr>
              <w:pStyle w:val="TableText"/>
              <w:keepNext/>
              <w:keepLines/>
            </w:pPr>
            <w:r w:rsidRPr="008E01DF">
              <w:t>The event would be extremely unlikely to occur</w:t>
            </w:r>
          </w:p>
        </w:tc>
      </w:tr>
      <w:tr w:rsidR="000D757D" w:rsidRPr="008E01DF" w14:paraId="094EB6C8" w14:textId="77777777" w:rsidTr="005246EA">
        <w:trPr>
          <w:trHeight w:val="349"/>
        </w:trPr>
        <w:tc>
          <w:tcPr>
            <w:tcW w:w="1696" w:type="dxa"/>
            <w:vAlign w:val="center"/>
          </w:tcPr>
          <w:p w14:paraId="22545B89" w14:textId="77777777" w:rsidR="000D757D" w:rsidRPr="008E01DF" w:rsidRDefault="000D757D" w:rsidP="005B050E">
            <w:pPr>
              <w:pStyle w:val="TableText"/>
              <w:keepNext/>
              <w:keepLines/>
            </w:pPr>
            <w:r w:rsidRPr="008E01DF">
              <w:t>Negligible</w:t>
            </w:r>
          </w:p>
        </w:tc>
        <w:tc>
          <w:tcPr>
            <w:tcW w:w="4536" w:type="dxa"/>
            <w:vAlign w:val="center"/>
          </w:tcPr>
          <w:p w14:paraId="194864C6" w14:textId="77777777" w:rsidR="000D757D" w:rsidRPr="008E01DF" w:rsidRDefault="000D757D" w:rsidP="006C0235">
            <w:pPr>
              <w:pStyle w:val="TableText"/>
              <w:keepNext/>
              <w:keepLines/>
            </w:pPr>
            <w:r w:rsidRPr="008E01DF">
              <w:t>The event would almost certainly not occur</w:t>
            </w:r>
          </w:p>
        </w:tc>
      </w:tr>
    </w:tbl>
    <w:p w14:paraId="653D4D56" w14:textId="7C68E17B" w:rsidR="003C090C" w:rsidRDefault="003C090C" w:rsidP="003C090C"/>
    <w:p w14:paraId="665D3375" w14:textId="31FED0FE" w:rsidR="00E2098C" w:rsidRDefault="00E2098C" w:rsidP="006C0235">
      <w:pPr>
        <w:pStyle w:val="Caption"/>
      </w:pPr>
      <w:r w:rsidRPr="006C0235">
        <w:t xml:space="preserve">Table 2: Matrix for combining </w:t>
      </w:r>
      <w:r w:rsidR="00366733">
        <w:t>likelihood of entry and exposure</w:t>
      </w:r>
    </w:p>
    <w:p w14:paraId="4093E36A" w14:textId="78716BA3" w:rsidR="001E2849" w:rsidRPr="001E2849" w:rsidRDefault="001E2849" w:rsidP="006179E4">
      <w:r w:rsidRPr="008E01DF">
        <w:rPr>
          <w:noProof/>
          <w:lang w:eastAsia="en-AU"/>
        </w:rPr>
        <w:drawing>
          <wp:inline distT="0" distB="0" distL="0" distR="0" wp14:anchorId="323B53E9" wp14:editId="290EE9B0">
            <wp:extent cx="5731510" cy="2056266"/>
            <wp:effectExtent l="0" t="0" r="2540" b="1270"/>
            <wp:docPr id="6" name="Picture 6" descr="Shows the matrix for combining qualitative likelihoods and nomenclature involved. for example, a low likelihood of entry combined with a very low likelihood of exposure produces an overall likelihood of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056266"/>
                    </a:xfrm>
                    <a:prstGeom prst="rect">
                      <a:avLst/>
                    </a:prstGeom>
                  </pic:spPr>
                </pic:pic>
              </a:graphicData>
            </a:graphic>
          </wp:inline>
        </w:drawing>
      </w:r>
    </w:p>
    <w:p w14:paraId="45FD643D" w14:textId="77777777" w:rsidR="005B050E" w:rsidRDefault="005B050E">
      <w:pPr>
        <w:spacing w:after="0" w:line="240" w:lineRule="auto"/>
      </w:pPr>
    </w:p>
    <w:p w14:paraId="721108FF" w14:textId="05F66633" w:rsidR="005B050E" w:rsidRPr="006C0235" w:rsidRDefault="005B050E" w:rsidP="006C0235">
      <w:pPr>
        <w:pStyle w:val="Caption"/>
      </w:pPr>
      <w:r w:rsidRPr="006C0235">
        <w:t>Table 3: Nomenclature for magnitude of effect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5B050E" w14:paraId="01BC1837" w14:textId="77777777" w:rsidTr="006C0235">
        <w:tc>
          <w:tcPr>
            <w:tcW w:w="1249" w:type="pct"/>
          </w:tcPr>
          <w:p w14:paraId="7B110520" w14:textId="32EF45C3" w:rsidR="005B050E" w:rsidRDefault="005B050E" w:rsidP="006C0235">
            <w:pPr>
              <w:pStyle w:val="TableHeading"/>
            </w:pPr>
            <w:r>
              <w:t>Effect</w:t>
            </w:r>
          </w:p>
        </w:tc>
        <w:tc>
          <w:tcPr>
            <w:tcW w:w="3751" w:type="pct"/>
          </w:tcPr>
          <w:p w14:paraId="56FEA2E5" w14:textId="55007C08" w:rsidR="005B050E" w:rsidRDefault="005B050E" w:rsidP="006C0235">
            <w:pPr>
              <w:pStyle w:val="TableHeading"/>
            </w:pPr>
            <w:r>
              <w:t>Descriptive definition</w:t>
            </w:r>
          </w:p>
        </w:tc>
      </w:tr>
      <w:tr w:rsidR="005B050E" w14:paraId="14AFDFAC" w14:textId="77777777" w:rsidTr="006C0235">
        <w:tc>
          <w:tcPr>
            <w:tcW w:w="1249" w:type="pct"/>
          </w:tcPr>
          <w:p w14:paraId="27F9B479" w14:textId="54DEA125" w:rsidR="005B050E" w:rsidRDefault="005B050E" w:rsidP="006C0235">
            <w:pPr>
              <w:pStyle w:val="TableText"/>
            </w:pPr>
            <w:r>
              <w:t>Highly significant</w:t>
            </w:r>
          </w:p>
        </w:tc>
        <w:tc>
          <w:tcPr>
            <w:tcW w:w="3751" w:type="pct"/>
          </w:tcPr>
          <w:p w14:paraId="318D4C2B" w14:textId="1D7FF717" w:rsidR="005B050E" w:rsidRDefault="005B050E" w:rsidP="006C0235">
            <w:pPr>
              <w:pStyle w:val="TableText"/>
            </w:pPr>
            <w:r>
              <w:t>The effect is extremely serious and irreversible and likely to disturb either economic viability of the intrinsic val</w:t>
            </w:r>
            <w:r w:rsidR="002229C8">
              <w:t>u</w:t>
            </w:r>
            <w:r>
              <w:t>e of the criterion.</w:t>
            </w:r>
          </w:p>
        </w:tc>
      </w:tr>
      <w:tr w:rsidR="005B050E" w14:paraId="21B25BD2" w14:textId="77777777" w:rsidTr="006C0235">
        <w:tc>
          <w:tcPr>
            <w:tcW w:w="1249" w:type="pct"/>
          </w:tcPr>
          <w:p w14:paraId="3A2478FD" w14:textId="1E9D3857" w:rsidR="005B050E" w:rsidRDefault="005B050E" w:rsidP="006C0235">
            <w:pPr>
              <w:pStyle w:val="TableText"/>
            </w:pPr>
            <w:r>
              <w:t>Significant</w:t>
            </w:r>
          </w:p>
        </w:tc>
        <w:tc>
          <w:tcPr>
            <w:tcW w:w="3751" w:type="pct"/>
          </w:tcPr>
          <w:p w14:paraId="244261E5" w14:textId="7CF75558" w:rsidR="005B050E" w:rsidRDefault="002229C8" w:rsidP="006C0235">
            <w:pPr>
              <w:pStyle w:val="TableText"/>
            </w:pPr>
            <w:r>
              <w:t>The effect is serious and substantive but reversible and unlikely to disturb either economic viability or the intrinsic value of the criterion.</w:t>
            </w:r>
          </w:p>
        </w:tc>
      </w:tr>
      <w:tr w:rsidR="005B050E" w14:paraId="64F072B4" w14:textId="77777777" w:rsidTr="006C0235">
        <w:tc>
          <w:tcPr>
            <w:tcW w:w="1249" w:type="pct"/>
          </w:tcPr>
          <w:p w14:paraId="527941A8" w14:textId="50510978" w:rsidR="005B050E" w:rsidRDefault="005B050E" w:rsidP="006C0235">
            <w:pPr>
              <w:pStyle w:val="TableText"/>
            </w:pPr>
            <w:r>
              <w:t>Minor significance</w:t>
            </w:r>
          </w:p>
        </w:tc>
        <w:tc>
          <w:tcPr>
            <w:tcW w:w="3751" w:type="pct"/>
          </w:tcPr>
          <w:p w14:paraId="10D8B6FB" w14:textId="32896408" w:rsidR="005B050E" w:rsidRDefault="002229C8" w:rsidP="006C0235">
            <w:pPr>
              <w:pStyle w:val="TableText"/>
            </w:pPr>
            <w:r>
              <w:t>The effect is recognisable but minor and reversible.</w:t>
            </w:r>
          </w:p>
        </w:tc>
      </w:tr>
      <w:tr w:rsidR="005B050E" w14:paraId="78B757EC" w14:textId="77777777" w:rsidTr="006C0235">
        <w:tc>
          <w:tcPr>
            <w:tcW w:w="1249" w:type="pct"/>
          </w:tcPr>
          <w:p w14:paraId="776D5414" w14:textId="5A1FC5A7" w:rsidR="005B050E" w:rsidRDefault="005B050E" w:rsidP="006C0235">
            <w:pPr>
              <w:pStyle w:val="TableText"/>
            </w:pPr>
            <w:r>
              <w:t>Unlikely to be discernible</w:t>
            </w:r>
          </w:p>
        </w:tc>
        <w:tc>
          <w:tcPr>
            <w:tcW w:w="3751" w:type="pct"/>
          </w:tcPr>
          <w:p w14:paraId="383F8AA9" w14:textId="07FDBB4E" w:rsidR="005B050E" w:rsidRDefault="002229C8" w:rsidP="006C0235">
            <w:pPr>
              <w:pStyle w:val="TableText"/>
            </w:pPr>
            <w:r>
              <w:t>The effect is not unusually distinguishable from normal day to day variation in the criterion.</w:t>
            </w:r>
          </w:p>
        </w:tc>
      </w:tr>
    </w:tbl>
    <w:p w14:paraId="3FBB3E3B" w14:textId="05C7CD84" w:rsidR="003C090C" w:rsidRDefault="003C090C">
      <w:pPr>
        <w:spacing w:after="0" w:line="240" w:lineRule="auto"/>
      </w:pPr>
    </w:p>
    <w:p w14:paraId="56041538" w14:textId="716BF118" w:rsidR="002A701E" w:rsidRDefault="002A701E" w:rsidP="006179E4">
      <w:pPr>
        <w:pStyle w:val="Caption"/>
        <w:keepLines/>
      </w:pPr>
      <w:r>
        <w:lastRenderedPageBreak/>
        <w:t>Table 4: Definition of geographic levels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803"/>
      </w:tblGrid>
      <w:tr w:rsidR="002A701E" w14:paraId="659ADAF2" w14:textId="77777777" w:rsidTr="006179E4">
        <w:tc>
          <w:tcPr>
            <w:tcW w:w="1250" w:type="pct"/>
          </w:tcPr>
          <w:p w14:paraId="16BE9FEE" w14:textId="1B6BB98D" w:rsidR="002A701E" w:rsidRDefault="002A701E" w:rsidP="006179E4">
            <w:pPr>
              <w:pStyle w:val="TableHeading"/>
              <w:keepLines/>
            </w:pPr>
            <w:r>
              <w:t>Geographic levels</w:t>
            </w:r>
          </w:p>
        </w:tc>
        <w:tc>
          <w:tcPr>
            <w:tcW w:w="3750" w:type="pct"/>
          </w:tcPr>
          <w:p w14:paraId="2A0A3B8A" w14:textId="4D09D712" w:rsidR="002A701E" w:rsidRDefault="002A701E" w:rsidP="006179E4">
            <w:pPr>
              <w:pStyle w:val="TableHeading"/>
              <w:keepLines/>
            </w:pPr>
            <w:r>
              <w:t>Description</w:t>
            </w:r>
          </w:p>
        </w:tc>
      </w:tr>
      <w:tr w:rsidR="002A701E" w14:paraId="4CE46AA1" w14:textId="77777777" w:rsidTr="006179E4">
        <w:tc>
          <w:tcPr>
            <w:tcW w:w="1250" w:type="pct"/>
          </w:tcPr>
          <w:p w14:paraId="00CE7080" w14:textId="1F4C0675" w:rsidR="002A701E" w:rsidRDefault="002A701E" w:rsidP="006179E4">
            <w:pPr>
              <w:pStyle w:val="TableText"/>
              <w:keepNext/>
              <w:keepLines/>
            </w:pPr>
            <w:r>
              <w:t>Local</w:t>
            </w:r>
          </w:p>
        </w:tc>
        <w:tc>
          <w:tcPr>
            <w:tcW w:w="3750" w:type="pct"/>
          </w:tcPr>
          <w:p w14:paraId="0ABE9846" w14:textId="016C0E43" w:rsidR="002A701E" w:rsidRDefault="002A701E" w:rsidP="006179E4">
            <w:pPr>
              <w:pStyle w:val="TableText"/>
              <w:keepNext/>
              <w:keepLines/>
            </w:pPr>
            <w:r w:rsidRPr="00B71CE4">
              <w:t xml:space="preserve">an aggregate of households or enterprises (a rural community, a </w:t>
            </w:r>
            <w:proofErr w:type="gramStart"/>
            <w:r w:rsidRPr="00B71CE4">
              <w:t>town</w:t>
            </w:r>
            <w:proofErr w:type="gramEnd"/>
            <w:r w:rsidRPr="00B71CE4">
              <w:t xml:space="preserve"> or a local government area).</w:t>
            </w:r>
          </w:p>
        </w:tc>
      </w:tr>
      <w:tr w:rsidR="002A701E" w14:paraId="0AE5AAF3" w14:textId="77777777" w:rsidTr="006179E4">
        <w:tc>
          <w:tcPr>
            <w:tcW w:w="1250" w:type="pct"/>
          </w:tcPr>
          <w:p w14:paraId="71DB867A" w14:textId="0E7AA4F1" w:rsidR="002A701E" w:rsidRDefault="002A701E" w:rsidP="006179E4">
            <w:pPr>
              <w:pStyle w:val="TableText"/>
              <w:keepNext/>
              <w:keepLines/>
            </w:pPr>
            <w:r>
              <w:t>District or region</w:t>
            </w:r>
          </w:p>
        </w:tc>
        <w:tc>
          <w:tcPr>
            <w:tcW w:w="3750" w:type="pct"/>
          </w:tcPr>
          <w:p w14:paraId="0DC2F2B4" w14:textId="0990679C" w:rsidR="002A701E" w:rsidRDefault="002A701E" w:rsidP="006179E4">
            <w:pPr>
              <w:pStyle w:val="TableText"/>
              <w:keepNext/>
              <w:keepLines/>
            </w:pPr>
            <w:r w:rsidRPr="00B71CE4">
              <w:t>a geographically or geopolitically associated collection of aggregates (generally a recognised section of a state or territory, such as ‘Far North Queensland’).</w:t>
            </w:r>
          </w:p>
        </w:tc>
      </w:tr>
      <w:tr w:rsidR="002A701E" w14:paraId="1F649448" w14:textId="77777777" w:rsidTr="006179E4">
        <w:tc>
          <w:tcPr>
            <w:tcW w:w="1250" w:type="pct"/>
          </w:tcPr>
          <w:p w14:paraId="27DBF1AA" w14:textId="3E5A3488" w:rsidR="002A701E" w:rsidRDefault="002A701E" w:rsidP="006179E4">
            <w:pPr>
              <w:pStyle w:val="TableText"/>
              <w:keepNext/>
              <w:keepLines/>
            </w:pPr>
            <w:r>
              <w:t>State or territory</w:t>
            </w:r>
          </w:p>
        </w:tc>
        <w:tc>
          <w:tcPr>
            <w:tcW w:w="3750" w:type="pct"/>
          </w:tcPr>
          <w:p w14:paraId="3BD2C1E0" w14:textId="0F5FFEF0" w:rsidR="002A701E" w:rsidRDefault="002A701E" w:rsidP="006179E4">
            <w:pPr>
              <w:pStyle w:val="TableText"/>
              <w:keepNext/>
              <w:keepLines/>
            </w:pPr>
            <w:r w:rsidRPr="00B71CE4">
              <w:t>a geographically or geopolitically associated collection of districts in a geographic area (generally a state or territory, although there may be exceptions with larger states such as Western Australia).</w:t>
            </w:r>
          </w:p>
        </w:tc>
      </w:tr>
      <w:tr w:rsidR="002A701E" w14:paraId="69E24D78" w14:textId="77777777" w:rsidTr="006179E4">
        <w:tc>
          <w:tcPr>
            <w:tcW w:w="1250" w:type="pct"/>
          </w:tcPr>
          <w:p w14:paraId="709942D4" w14:textId="67B9CF31" w:rsidR="002A701E" w:rsidRDefault="002A701E" w:rsidP="006179E4">
            <w:pPr>
              <w:pStyle w:val="TableText"/>
              <w:keepNext/>
              <w:keepLines/>
            </w:pPr>
            <w:r>
              <w:t>National</w:t>
            </w:r>
          </w:p>
        </w:tc>
        <w:tc>
          <w:tcPr>
            <w:tcW w:w="3750" w:type="pct"/>
          </w:tcPr>
          <w:p w14:paraId="42A5B374" w14:textId="287B955A" w:rsidR="002A701E" w:rsidRDefault="002A701E" w:rsidP="006179E4">
            <w:pPr>
              <w:pStyle w:val="TableText"/>
              <w:keepNext/>
              <w:keepLines/>
            </w:pPr>
            <w:r w:rsidRPr="00B71CE4">
              <w:t>Australia wide (Australian mainland states and territories and Tasmania).</w:t>
            </w:r>
          </w:p>
        </w:tc>
      </w:tr>
    </w:tbl>
    <w:p w14:paraId="5D240237" w14:textId="5CDE44D9" w:rsidR="002A701E" w:rsidRDefault="002A701E">
      <w:pPr>
        <w:spacing w:after="0" w:line="240" w:lineRule="auto"/>
      </w:pPr>
    </w:p>
    <w:p w14:paraId="0F8377A3" w14:textId="48E323AD" w:rsidR="002229C8" w:rsidRDefault="002229C8" w:rsidP="006C0235">
      <w:pPr>
        <w:pStyle w:val="Caption"/>
      </w:pPr>
      <w:r w:rsidRPr="006C0235">
        <w:t xml:space="preserve">Table </w:t>
      </w:r>
      <w:r w:rsidR="008E24B7">
        <w:t>5</w:t>
      </w:r>
      <w:r w:rsidRPr="006C0235">
        <w:t>: Assessment of direct or indirect effects on a national scale</w:t>
      </w:r>
    </w:p>
    <w:p w14:paraId="693081B1" w14:textId="77777777" w:rsidR="00B81172" w:rsidRDefault="00B81172" w:rsidP="00B81172">
      <w:pPr>
        <w:rPr>
          <w:lang w:eastAsia="ja-JP"/>
        </w:rPr>
      </w:pPr>
      <w:r>
        <w:rPr>
          <w:noProof/>
        </w:rPr>
        <w:drawing>
          <wp:inline distT="0" distB="0" distL="0" distR="0" wp14:anchorId="04EC4862" wp14:editId="77A18C59">
            <wp:extent cx="5731510" cy="4244603"/>
            <wp:effectExtent l="0" t="0" r="2540" b="381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2"/>
                    <a:stretch>
                      <a:fillRect/>
                    </a:stretch>
                  </pic:blipFill>
                  <pic:spPr>
                    <a:xfrm>
                      <a:off x="0" y="0"/>
                      <a:ext cx="5731510" cy="4244603"/>
                    </a:xfrm>
                    <a:prstGeom prst="rect">
                      <a:avLst/>
                    </a:prstGeom>
                  </pic:spPr>
                </pic:pic>
              </a:graphicData>
            </a:graphic>
          </wp:inline>
        </w:drawing>
      </w:r>
    </w:p>
    <w:p w14:paraId="18274D6C" w14:textId="5EFACBFC" w:rsidR="002229C8" w:rsidRDefault="002229C8">
      <w:pPr>
        <w:spacing w:after="0" w:line="240" w:lineRule="auto"/>
        <w:rPr>
          <w:rFonts w:ascii="Calibri" w:eastAsiaTheme="majorEastAsia" w:hAnsi="Calibri" w:cstheme="majorBidi"/>
          <w:b/>
          <w:bCs/>
          <w:color w:val="C6281C"/>
          <w:sz w:val="34"/>
          <w:szCs w:val="26"/>
        </w:rPr>
      </w:pPr>
    </w:p>
    <w:p w14:paraId="513302DB" w14:textId="41392156" w:rsidR="0012795E" w:rsidRDefault="00D7418C" w:rsidP="006C0235">
      <w:pPr>
        <w:pStyle w:val="Caption"/>
      </w:pPr>
      <w:r w:rsidRPr="006C0235">
        <w:t xml:space="preserve">Table </w:t>
      </w:r>
      <w:r w:rsidR="008E24B7">
        <w:t>6</w:t>
      </w:r>
      <w:r w:rsidRPr="006C0235">
        <w:t>: Rules used for combining direct and indirect effects</w:t>
      </w:r>
    </w:p>
    <w:tbl>
      <w:tblPr>
        <w:tblW w:w="4976" w:type="pct"/>
        <w:tblLook w:val="04A0" w:firstRow="1" w:lastRow="0" w:firstColumn="1" w:lastColumn="0" w:noHBand="0" w:noVBand="1"/>
      </w:tblPr>
      <w:tblGrid>
        <w:gridCol w:w="795"/>
        <w:gridCol w:w="5787"/>
        <w:gridCol w:w="2444"/>
      </w:tblGrid>
      <w:tr w:rsidR="00B81172" w:rsidRPr="00B71CE4" w14:paraId="37770168" w14:textId="77777777" w:rsidTr="00B81172">
        <w:trPr>
          <w:cantSplit/>
          <w:trHeight w:val="414"/>
          <w:tblHeader/>
        </w:trPr>
        <w:tc>
          <w:tcPr>
            <w:tcW w:w="440" w:type="pct"/>
            <w:tcBorders>
              <w:top w:val="single" w:sz="4" w:space="0" w:color="auto"/>
              <w:bottom w:val="single" w:sz="4" w:space="0" w:color="auto"/>
            </w:tcBorders>
          </w:tcPr>
          <w:p w14:paraId="41253F3E" w14:textId="77777777" w:rsidR="00B81172" w:rsidRPr="00B71CE4" w:rsidRDefault="00B81172" w:rsidP="002327CC">
            <w:pPr>
              <w:keepNext/>
              <w:spacing w:before="60" w:after="60"/>
              <w:rPr>
                <w:b/>
                <w:sz w:val="18"/>
              </w:rPr>
            </w:pPr>
            <w:r w:rsidRPr="00B71CE4">
              <w:rPr>
                <w:b/>
                <w:sz w:val="18"/>
              </w:rPr>
              <w:t>Rule</w:t>
            </w:r>
          </w:p>
        </w:tc>
        <w:tc>
          <w:tcPr>
            <w:tcW w:w="3206" w:type="pct"/>
            <w:tcBorders>
              <w:top w:val="single" w:sz="4" w:space="0" w:color="auto"/>
              <w:bottom w:val="single" w:sz="4" w:space="0" w:color="auto"/>
            </w:tcBorders>
          </w:tcPr>
          <w:p w14:paraId="4CF800D8" w14:textId="77777777" w:rsidR="00B81172" w:rsidRPr="00B71CE4" w:rsidRDefault="00B81172" w:rsidP="002327CC">
            <w:pPr>
              <w:keepNext/>
              <w:spacing w:before="60" w:after="60"/>
              <w:rPr>
                <w:b/>
                <w:sz w:val="18"/>
              </w:rPr>
            </w:pPr>
            <w:r>
              <w:rPr>
                <w:b/>
                <w:sz w:val="18"/>
              </w:rPr>
              <w:t>Effect</w:t>
            </w:r>
            <w:r w:rsidRPr="00B71CE4">
              <w:rPr>
                <w:b/>
                <w:sz w:val="18"/>
              </w:rPr>
              <w:t xml:space="preserve"> scores for each direct and indirect </w:t>
            </w:r>
            <w:proofErr w:type="gramStart"/>
            <w:r w:rsidRPr="00B71CE4">
              <w:rPr>
                <w:b/>
                <w:sz w:val="18"/>
              </w:rPr>
              <w:t>criteria</w:t>
            </w:r>
            <w:proofErr w:type="gramEnd"/>
          </w:p>
        </w:tc>
        <w:tc>
          <w:tcPr>
            <w:tcW w:w="1354" w:type="pct"/>
            <w:tcBorders>
              <w:top w:val="single" w:sz="4" w:space="0" w:color="auto"/>
              <w:bottom w:val="single" w:sz="4" w:space="0" w:color="auto"/>
            </w:tcBorders>
          </w:tcPr>
          <w:p w14:paraId="614537B5" w14:textId="77777777" w:rsidR="00B81172" w:rsidRPr="00B71CE4" w:rsidRDefault="00B81172" w:rsidP="002327CC">
            <w:pPr>
              <w:keepNext/>
              <w:spacing w:before="60" w:after="60"/>
              <w:rPr>
                <w:b/>
                <w:sz w:val="18"/>
              </w:rPr>
            </w:pPr>
            <w:r w:rsidRPr="00B71CE4">
              <w:rPr>
                <w:b/>
                <w:sz w:val="18"/>
              </w:rPr>
              <w:t xml:space="preserve">Overall </w:t>
            </w:r>
            <w:r>
              <w:rPr>
                <w:b/>
                <w:sz w:val="18"/>
              </w:rPr>
              <w:t>effect</w:t>
            </w:r>
          </w:p>
        </w:tc>
      </w:tr>
      <w:tr w:rsidR="00B81172" w:rsidRPr="00B71CE4" w14:paraId="2700C581" w14:textId="77777777" w:rsidTr="00B81172">
        <w:tc>
          <w:tcPr>
            <w:tcW w:w="440" w:type="pct"/>
            <w:tcBorders>
              <w:top w:val="single" w:sz="4" w:space="0" w:color="auto"/>
            </w:tcBorders>
          </w:tcPr>
          <w:p w14:paraId="6B7DC6C6" w14:textId="77777777" w:rsidR="00B81172" w:rsidRPr="00B71CE4" w:rsidRDefault="00B81172" w:rsidP="002327CC">
            <w:pPr>
              <w:spacing w:before="60" w:after="60"/>
              <w:rPr>
                <w:sz w:val="18"/>
              </w:rPr>
            </w:pPr>
            <w:r w:rsidRPr="00B71CE4">
              <w:rPr>
                <w:sz w:val="18"/>
              </w:rPr>
              <w:t>1</w:t>
            </w:r>
          </w:p>
        </w:tc>
        <w:tc>
          <w:tcPr>
            <w:tcW w:w="3206" w:type="pct"/>
            <w:tcBorders>
              <w:top w:val="single" w:sz="4" w:space="0" w:color="auto"/>
            </w:tcBorders>
          </w:tcPr>
          <w:p w14:paraId="533F8B85" w14:textId="77777777" w:rsidR="00B81172" w:rsidRPr="00B71CE4" w:rsidRDefault="00B81172" w:rsidP="002327CC">
            <w:pPr>
              <w:spacing w:before="60" w:after="60"/>
              <w:rPr>
                <w:sz w:val="18"/>
              </w:rPr>
            </w:pPr>
            <w:r w:rsidRPr="00B71CE4">
              <w:rPr>
                <w:sz w:val="18"/>
              </w:rPr>
              <w:t>Any criterion has an impact of ‘G’; or</w:t>
            </w:r>
          </w:p>
          <w:p w14:paraId="47D8553E" w14:textId="77777777" w:rsidR="00B81172" w:rsidRPr="00B71CE4" w:rsidRDefault="00B81172" w:rsidP="002327CC">
            <w:pPr>
              <w:spacing w:before="60" w:after="60"/>
              <w:rPr>
                <w:sz w:val="18"/>
              </w:rPr>
            </w:pPr>
            <w:r w:rsidRPr="00B71CE4">
              <w:rPr>
                <w:sz w:val="18"/>
              </w:rPr>
              <w:t>more than one criterion has an impact of ‘F</w:t>
            </w:r>
            <w:proofErr w:type="gramStart"/>
            <w:r w:rsidRPr="00B71CE4">
              <w:rPr>
                <w:sz w:val="18"/>
              </w:rPr>
              <w:t>’;</w:t>
            </w:r>
            <w:proofErr w:type="gramEnd"/>
            <w:r w:rsidRPr="00B71CE4">
              <w:rPr>
                <w:sz w:val="18"/>
              </w:rPr>
              <w:t xml:space="preserve"> or</w:t>
            </w:r>
          </w:p>
          <w:p w14:paraId="514B02E4" w14:textId="77777777" w:rsidR="00B81172" w:rsidRPr="00B71CE4" w:rsidRDefault="00B81172" w:rsidP="002327CC">
            <w:pPr>
              <w:spacing w:before="60" w:after="60"/>
              <w:rPr>
                <w:sz w:val="18"/>
              </w:rPr>
            </w:pPr>
            <w:r w:rsidRPr="00B71CE4">
              <w:rPr>
                <w:sz w:val="18"/>
              </w:rPr>
              <w:t>a single criterion has an impact of ‘F’ and each remaining criterion an ‘E’.</w:t>
            </w:r>
          </w:p>
        </w:tc>
        <w:tc>
          <w:tcPr>
            <w:tcW w:w="1354" w:type="pct"/>
            <w:tcBorders>
              <w:top w:val="single" w:sz="4" w:space="0" w:color="auto"/>
            </w:tcBorders>
          </w:tcPr>
          <w:p w14:paraId="45BAB6BA" w14:textId="77777777" w:rsidR="00B81172" w:rsidRPr="00B71CE4" w:rsidRDefault="00B81172" w:rsidP="002327CC">
            <w:pPr>
              <w:spacing w:before="60" w:after="60"/>
              <w:rPr>
                <w:sz w:val="18"/>
              </w:rPr>
            </w:pPr>
            <w:r w:rsidRPr="00B71CE4">
              <w:rPr>
                <w:sz w:val="18"/>
              </w:rPr>
              <w:t>Extreme</w:t>
            </w:r>
          </w:p>
        </w:tc>
      </w:tr>
      <w:tr w:rsidR="00B81172" w:rsidRPr="00B71CE4" w14:paraId="123A0693" w14:textId="77777777" w:rsidTr="00B81172">
        <w:tc>
          <w:tcPr>
            <w:tcW w:w="440" w:type="pct"/>
          </w:tcPr>
          <w:p w14:paraId="63A5A7B9" w14:textId="77777777" w:rsidR="00B81172" w:rsidRPr="00B71CE4" w:rsidRDefault="00B81172" w:rsidP="002327CC">
            <w:pPr>
              <w:spacing w:before="60" w:after="60"/>
              <w:rPr>
                <w:sz w:val="18"/>
              </w:rPr>
            </w:pPr>
            <w:r w:rsidRPr="00B71CE4">
              <w:rPr>
                <w:sz w:val="18"/>
              </w:rPr>
              <w:t>2</w:t>
            </w:r>
          </w:p>
        </w:tc>
        <w:tc>
          <w:tcPr>
            <w:tcW w:w="3206" w:type="pct"/>
          </w:tcPr>
          <w:p w14:paraId="65205772" w14:textId="77777777" w:rsidR="00B81172" w:rsidRPr="00B71CE4" w:rsidRDefault="00B81172" w:rsidP="002327CC">
            <w:pPr>
              <w:spacing w:before="60" w:after="60"/>
              <w:rPr>
                <w:sz w:val="18"/>
              </w:rPr>
            </w:pPr>
            <w:r w:rsidRPr="00B71CE4">
              <w:rPr>
                <w:sz w:val="18"/>
              </w:rPr>
              <w:t>A single criterion has an impact of ‘F’; or</w:t>
            </w:r>
          </w:p>
          <w:p w14:paraId="24C79831" w14:textId="77777777" w:rsidR="00B81172" w:rsidRPr="00B71CE4" w:rsidRDefault="00B81172" w:rsidP="002327CC">
            <w:pPr>
              <w:spacing w:before="60" w:after="60"/>
              <w:rPr>
                <w:sz w:val="18"/>
              </w:rPr>
            </w:pPr>
            <w:r w:rsidRPr="00B71CE4">
              <w:rPr>
                <w:sz w:val="18"/>
              </w:rPr>
              <w:t>all criteria have an impact of ‘E’.</w:t>
            </w:r>
          </w:p>
        </w:tc>
        <w:tc>
          <w:tcPr>
            <w:tcW w:w="1354" w:type="pct"/>
          </w:tcPr>
          <w:p w14:paraId="1826593C" w14:textId="77777777" w:rsidR="00B81172" w:rsidRPr="00B71CE4" w:rsidRDefault="00B81172" w:rsidP="002327CC">
            <w:pPr>
              <w:spacing w:before="60" w:after="60"/>
              <w:rPr>
                <w:sz w:val="18"/>
              </w:rPr>
            </w:pPr>
            <w:r w:rsidRPr="00B71CE4">
              <w:rPr>
                <w:sz w:val="18"/>
              </w:rPr>
              <w:t>High</w:t>
            </w:r>
          </w:p>
        </w:tc>
      </w:tr>
      <w:tr w:rsidR="00B81172" w:rsidRPr="00B71CE4" w14:paraId="04DC3770" w14:textId="77777777" w:rsidTr="00B81172">
        <w:tc>
          <w:tcPr>
            <w:tcW w:w="440" w:type="pct"/>
          </w:tcPr>
          <w:p w14:paraId="571AFC95" w14:textId="77777777" w:rsidR="00B81172" w:rsidRPr="00B71CE4" w:rsidRDefault="00B81172" w:rsidP="002327CC">
            <w:pPr>
              <w:spacing w:before="60" w:after="60"/>
              <w:rPr>
                <w:sz w:val="18"/>
              </w:rPr>
            </w:pPr>
            <w:r w:rsidRPr="00B71CE4">
              <w:rPr>
                <w:sz w:val="18"/>
              </w:rPr>
              <w:t>3</w:t>
            </w:r>
          </w:p>
        </w:tc>
        <w:tc>
          <w:tcPr>
            <w:tcW w:w="3206" w:type="pct"/>
          </w:tcPr>
          <w:p w14:paraId="4158CF66" w14:textId="77777777" w:rsidR="00B81172" w:rsidRPr="00B71CE4" w:rsidRDefault="00B81172" w:rsidP="002327CC">
            <w:pPr>
              <w:spacing w:before="60" w:after="60"/>
              <w:rPr>
                <w:sz w:val="18"/>
              </w:rPr>
            </w:pPr>
            <w:r w:rsidRPr="00B71CE4">
              <w:rPr>
                <w:sz w:val="18"/>
              </w:rPr>
              <w:t>One or more criteria have an impact of ‘E’; or</w:t>
            </w:r>
          </w:p>
          <w:p w14:paraId="07194BC8" w14:textId="77777777" w:rsidR="00B81172" w:rsidRPr="00B71CE4" w:rsidRDefault="00B81172" w:rsidP="002327CC">
            <w:pPr>
              <w:spacing w:before="60" w:after="60"/>
              <w:rPr>
                <w:sz w:val="18"/>
              </w:rPr>
            </w:pPr>
            <w:r w:rsidRPr="00B71CE4">
              <w:rPr>
                <w:sz w:val="18"/>
              </w:rPr>
              <w:t>all criteria have an impact of ‘D’.</w:t>
            </w:r>
          </w:p>
        </w:tc>
        <w:tc>
          <w:tcPr>
            <w:tcW w:w="1354" w:type="pct"/>
          </w:tcPr>
          <w:p w14:paraId="707CF552" w14:textId="77777777" w:rsidR="00B81172" w:rsidRPr="00B71CE4" w:rsidRDefault="00B81172" w:rsidP="002327CC">
            <w:pPr>
              <w:spacing w:before="60" w:after="60"/>
              <w:rPr>
                <w:sz w:val="18"/>
              </w:rPr>
            </w:pPr>
            <w:r w:rsidRPr="00B71CE4">
              <w:rPr>
                <w:sz w:val="18"/>
              </w:rPr>
              <w:t>Moderate</w:t>
            </w:r>
          </w:p>
        </w:tc>
      </w:tr>
      <w:tr w:rsidR="00B81172" w:rsidRPr="00B71CE4" w14:paraId="5803624F" w14:textId="77777777" w:rsidTr="00B81172">
        <w:tc>
          <w:tcPr>
            <w:tcW w:w="440" w:type="pct"/>
          </w:tcPr>
          <w:p w14:paraId="0F4785DA" w14:textId="77777777" w:rsidR="00B81172" w:rsidRPr="00B71CE4" w:rsidRDefault="00B81172" w:rsidP="002327CC">
            <w:pPr>
              <w:spacing w:before="60" w:after="60"/>
              <w:rPr>
                <w:sz w:val="18"/>
              </w:rPr>
            </w:pPr>
            <w:r w:rsidRPr="00B71CE4">
              <w:rPr>
                <w:sz w:val="18"/>
              </w:rPr>
              <w:lastRenderedPageBreak/>
              <w:t>4</w:t>
            </w:r>
          </w:p>
        </w:tc>
        <w:tc>
          <w:tcPr>
            <w:tcW w:w="3206" w:type="pct"/>
          </w:tcPr>
          <w:p w14:paraId="45E6BE95" w14:textId="77777777" w:rsidR="00B81172" w:rsidRPr="00B71CE4" w:rsidRDefault="00B81172" w:rsidP="002327CC">
            <w:pPr>
              <w:spacing w:before="60" w:after="60"/>
              <w:rPr>
                <w:sz w:val="18"/>
              </w:rPr>
            </w:pPr>
            <w:r w:rsidRPr="00B71CE4">
              <w:rPr>
                <w:sz w:val="18"/>
              </w:rPr>
              <w:t>One or more criteria have an impact of ‘D’; or</w:t>
            </w:r>
          </w:p>
          <w:p w14:paraId="402A316C" w14:textId="77777777" w:rsidR="00B81172" w:rsidRPr="00B71CE4" w:rsidRDefault="00B81172" w:rsidP="002327CC">
            <w:pPr>
              <w:spacing w:before="60" w:after="60"/>
              <w:rPr>
                <w:sz w:val="18"/>
              </w:rPr>
            </w:pPr>
            <w:r w:rsidRPr="00B71CE4">
              <w:rPr>
                <w:sz w:val="18"/>
              </w:rPr>
              <w:t>all criteria have an impact of ‘C’.</w:t>
            </w:r>
          </w:p>
        </w:tc>
        <w:tc>
          <w:tcPr>
            <w:tcW w:w="1354" w:type="pct"/>
          </w:tcPr>
          <w:p w14:paraId="2DB6C72A" w14:textId="77777777" w:rsidR="00B81172" w:rsidRPr="00B71CE4" w:rsidRDefault="00B81172" w:rsidP="002327CC">
            <w:pPr>
              <w:spacing w:before="60" w:after="60"/>
              <w:rPr>
                <w:sz w:val="18"/>
              </w:rPr>
            </w:pPr>
            <w:r w:rsidRPr="00B71CE4">
              <w:rPr>
                <w:sz w:val="18"/>
              </w:rPr>
              <w:t>Low</w:t>
            </w:r>
          </w:p>
        </w:tc>
      </w:tr>
      <w:tr w:rsidR="00B81172" w:rsidRPr="00B71CE4" w14:paraId="5F5B0170" w14:textId="77777777" w:rsidTr="00B81172">
        <w:tc>
          <w:tcPr>
            <w:tcW w:w="440" w:type="pct"/>
          </w:tcPr>
          <w:p w14:paraId="14DF588E" w14:textId="77777777" w:rsidR="00B81172" w:rsidRPr="00B71CE4" w:rsidRDefault="00B81172" w:rsidP="002327CC">
            <w:pPr>
              <w:spacing w:before="60" w:after="60"/>
              <w:rPr>
                <w:sz w:val="18"/>
              </w:rPr>
            </w:pPr>
            <w:r w:rsidRPr="00B71CE4">
              <w:rPr>
                <w:sz w:val="18"/>
              </w:rPr>
              <w:t>5</w:t>
            </w:r>
          </w:p>
        </w:tc>
        <w:tc>
          <w:tcPr>
            <w:tcW w:w="3206" w:type="pct"/>
          </w:tcPr>
          <w:p w14:paraId="5754E99F" w14:textId="77777777" w:rsidR="00B81172" w:rsidRPr="00B71CE4" w:rsidRDefault="00B81172" w:rsidP="002327CC">
            <w:pPr>
              <w:spacing w:before="60" w:after="60"/>
              <w:rPr>
                <w:sz w:val="18"/>
              </w:rPr>
            </w:pPr>
            <w:r w:rsidRPr="00B71CE4">
              <w:rPr>
                <w:sz w:val="18"/>
              </w:rPr>
              <w:t>One or more criteria have an impact of ‘C’; or</w:t>
            </w:r>
          </w:p>
          <w:p w14:paraId="6F934EC7" w14:textId="77777777" w:rsidR="00B81172" w:rsidRPr="00B71CE4" w:rsidRDefault="00B81172" w:rsidP="002327CC">
            <w:pPr>
              <w:spacing w:before="60" w:after="60"/>
              <w:rPr>
                <w:sz w:val="18"/>
              </w:rPr>
            </w:pPr>
            <w:r w:rsidRPr="00B71CE4">
              <w:rPr>
                <w:sz w:val="18"/>
              </w:rPr>
              <w:t>all criteria have an impact of ‘B’.</w:t>
            </w:r>
          </w:p>
        </w:tc>
        <w:tc>
          <w:tcPr>
            <w:tcW w:w="1354" w:type="pct"/>
          </w:tcPr>
          <w:p w14:paraId="01421638" w14:textId="77777777" w:rsidR="00B81172" w:rsidRPr="00B71CE4" w:rsidRDefault="00B81172" w:rsidP="002327CC">
            <w:pPr>
              <w:spacing w:before="60" w:after="60"/>
              <w:rPr>
                <w:sz w:val="18"/>
              </w:rPr>
            </w:pPr>
            <w:r w:rsidRPr="00B71CE4">
              <w:rPr>
                <w:sz w:val="18"/>
              </w:rPr>
              <w:t>Very Low</w:t>
            </w:r>
          </w:p>
        </w:tc>
      </w:tr>
      <w:tr w:rsidR="00B81172" w:rsidRPr="00B71CE4" w14:paraId="4FE9120C" w14:textId="77777777" w:rsidTr="00B81172">
        <w:tc>
          <w:tcPr>
            <w:tcW w:w="440" w:type="pct"/>
            <w:tcBorders>
              <w:bottom w:val="single" w:sz="4" w:space="0" w:color="auto"/>
            </w:tcBorders>
          </w:tcPr>
          <w:p w14:paraId="41530E24" w14:textId="77777777" w:rsidR="00B81172" w:rsidRPr="00B71CE4" w:rsidRDefault="00B81172" w:rsidP="002327CC">
            <w:pPr>
              <w:spacing w:before="60" w:after="60"/>
              <w:rPr>
                <w:sz w:val="18"/>
              </w:rPr>
            </w:pPr>
            <w:r w:rsidRPr="00B71CE4">
              <w:rPr>
                <w:sz w:val="18"/>
              </w:rPr>
              <w:t>6</w:t>
            </w:r>
          </w:p>
        </w:tc>
        <w:tc>
          <w:tcPr>
            <w:tcW w:w="3206" w:type="pct"/>
            <w:tcBorders>
              <w:bottom w:val="single" w:sz="4" w:space="0" w:color="auto"/>
            </w:tcBorders>
          </w:tcPr>
          <w:p w14:paraId="2A5241F6" w14:textId="77777777" w:rsidR="00B81172" w:rsidRPr="00B71CE4" w:rsidRDefault="00B81172" w:rsidP="002327CC">
            <w:pPr>
              <w:spacing w:before="60" w:after="60"/>
              <w:rPr>
                <w:sz w:val="18"/>
              </w:rPr>
            </w:pPr>
            <w:r w:rsidRPr="00B71CE4">
              <w:rPr>
                <w:sz w:val="18"/>
              </w:rPr>
              <w:t>One or more but not all criteria have an impact of ‘B’; or all criteria have an effect of ‘A’.</w:t>
            </w:r>
          </w:p>
        </w:tc>
        <w:tc>
          <w:tcPr>
            <w:tcW w:w="1354" w:type="pct"/>
            <w:tcBorders>
              <w:bottom w:val="single" w:sz="4" w:space="0" w:color="auto"/>
            </w:tcBorders>
          </w:tcPr>
          <w:p w14:paraId="30B94DC3" w14:textId="77777777" w:rsidR="00B81172" w:rsidRPr="00B71CE4" w:rsidRDefault="00B81172" w:rsidP="002327CC">
            <w:pPr>
              <w:spacing w:before="60" w:after="60"/>
              <w:rPr>
                <w:sz w:val="18"/>
              </w:rPr>
            </w:pPr>
            <w:r w:rsidRPr="00B71CE4">
              <w:rPr>
                <w:sz w:val="18"/>
              </w:rPr>
              <w:t>Negligible</w:t>
            </w:r>
          </w:p>
        </w:tc>
      </w:tr>
    </w:tbl>
    <w:p w14:paraId="021D9F7E" w14:textId="36BCED26" w:rsidR="00D7418C" w:rsidRDefault="00D7418C" w:rsidP="0012795E"/>
    <w:p w14:paraId="08E293DD" w14:textId="56707017" w:rsidR="00DC49C4" w:rsidRDefault="00DC49C4" w:rsidP="006C0235">
      <w:pPr>
        <w:pStyle w:val="Caption"/>
      </w:pPr>
      <w:r>
        <w:t xml:space="preserve">Table </w:t>
      </w:r>
      <w:r w:rsidR="008E24B7">
        <w:t>7</w:t>
      </w:r>
      <w:r>
        <w:t xml:space="preserve">: Matrix for </w:t>
      </w:r>
      <w:r w:rsidR="00EF6770">
        <w:t xml:space="preserve">determining likely consequences: </w:t>
      </w:r>
      <w:r>
        <w:t>combining the likelihood and overall effect of establishment and</w:t>
      </w:r>
      <w:r w:rsidR="002777BC">
        <w:t>/</w:t>
      </w:r>
      <w:r>
        <w:t>or spread.</w:t>
      </w:r>
    </w:p>
    <w:p w14:paraId="2E920D30" w14:textId="3410BA89" w:rsidR="00B81172" w:rsidRPr="006179E4" w:rsidRDefault="00B81172" w:rsidP="006179E4">
      <w:r w:rsidRPr="008E01DF">
        <w:rPr>
          <w:noProof/>
          <w:lang w:eastAsia="en-AU"/>
        </w:rPr>
        <w:drawing>
          <wp:inline distT="0" distB="0" distL="0" distR="0" wp14:anchorId="00D0FA48" wp14:editId="6C1E4DD5">
            <wp:extent cx="5731510" cy="2023406"/>
            <wp:effectExtent l="0" t="0" r="2540" b="0"/>
            <wp:docPr id="7" name="Picture 7" descr="Shows the matrix for combining the likelihood of establishment and spread and the overall effect of this to determine the likely consequences. For example, a low likelihood of establishment and spread combined with a very low effect produces an overall likely consequence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23406"/>
                    </a:xfrm>
                    <a:prstGeom prst="rect">
                      <a:avLst/>
                    </a:prstGeom>
                  </pic:spPr>
                </pic:pic>
              </a:graphicData>
            </a:graphic>
          </wp:inline>
        </w:drawing>
      </w:r>
    </w:p>
    <w:p w14:paraId="67B2655F" w14:textId="323F29C4" w:rsidR="00DC49C4" w:rsidRDefault="00DC49C4" w:rsidP="0012795E"/>
    <w:p w14:paraId="3C320697" w14:textId="5AA3F9CE" w:rsidR="00BC3306" w:rsidRDefault="00BC3306" w:rsidP="006C0235">
      <w:pPr>
        <w:pStyle w:val="Caption"/>
      </w:pPr>
      <w:r>
        <w:t xml:space="preserve">Table </w:t>
      </w:r>
      <w:r w:rsidR="008E24B7">
        <w:t>8</w:t>
      </w:r>
      <w:r>
        <w:t>: Risk estimation matrix</w:t>
      </w:r>
    </w:p>
    <w:p w14:paraId="12AAC1ED" w14:textId="6FEE88C3" w:rsidR="00BC3306" w:rsidRDefault="00B81172" w:rsidP="0012795E">
      <w:r w:rsidRPr="008E01DF">
        <w:rPr>
          <w:noProof/>
          <w:lang w:eastAsia="en-AU"/>
        </w:rPr>
        <w:drawing>
          <wp:inline distT="0" distB="0" distL="0" distR="0" wp14:anchorId="2D018672" wp14:editId="2E8F8294">
            <wp:extent cx="5731510" cy="2014559"/>
            <wp:effectExtent l="0" t="0" r="2540" b="508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14559"/>
                    </a:xfrm>
                    <a:prstGeom prst="rect">
                      <a:avLst/>
                    </a:prstGeom>
                  </pic:spPr>
                </pic:pic>
              </a:graphicData>
            </a:graphic>
          </wp:inline>
        </w:drawing>
      </w:r>
    </w:p>
    <w:p w14:paraId="5C7ED024" w14:textId="77777777" w:rsidR="00BC3306" w:rsidRDefault="00BC3306" w:rsidP="006C0235"/>
    <w:p w14:paraId="37532118" w14:textId="77777777" w:rsidR="006C0235" w:rsidRDefault="006C0235">
      <w:pPr>
        <w:spacing w:after="0" w:line="240" w:lineRule="auto"/>
        <w:rPr>
          <w:rFonts w:ascii="Calibri" w:eastAsiaTheme="majorEastAsia" w:hAnsi="Calibri" w:cstheme="majorBidi"/>
          <w:b/>
          <w:bCs/>
          <w:color w:val="C6281C"/>
          <w:sz w:val="34"/>
          <w:szCs w:val="26"/>
        </w:rPr>
      </w:pPr>
      <w:r>
        <w:br w:type="page"/>
      </w:r>
    </w:p>
    <w:p w14:paraId="34A1F98E" w14:textId="09D479D9" w:rsidR="00D869B1" w:rsidRPr="000D738A" w:rsidRDefault="00D869B1" w:rsidP="000D757D">
      <w:pPr>
        <w:pStyle w:val="Heading2"/>
        <w:numPr>
          <w:ilvl w:val="0"/>
          <w:numId w:val="0"/>
        </w:numPr>
      </w:pPr>
      <w:r>
        <w:lastRenderedPageBreak/>
        <w:t>Appendix</w:t>
      </w:r>
      <w:r w:rsidR="00D943F5">
        <w:t xml:space="preserve"> </w:t>
      </w:r>
      <w:r w:rsidR="000D757D">
        <w:t>2</w:t>
      </w:r>
    </w:p>
    <w:p w14:paraId="28B0A297" w14:textId="77777777" w:rsidR="00D869B1" w:rsidRPr="00C81966" w:rsidRDefault="00D869B1" w:rsidP="00D743E6">
      <w:pPr>
        <w:keepNext/>
        <w:keepLines/>
        <w:rPr>
          <w:b/>
        </w:rPr>
      </w:pPr>
      <w:r>
        <w:rPr>
          <w:b/>
        </w:rPr>
        <w:t>Criteria for assessing country freedom from glanders</w:t>
      </w:r>
    </w:p>
    <w:p w14:paraId="1B5A318E" w14:textId="132E87A7" w:rsidR="00D869B1" w:rsidRDefault="00D869B1" w:rsidP="00D743E6">
      <w:pPr>
        <w:keepNext/>
        <w:keepLines/>
      </w:pPr>
      <w:r>
        <w:t xml:space="preserve">The unrestricted glanders biosecurity risk to Australia associated with the importation of live horses and </w:t>
      </w:r>
      <w:r w:rsidR="00984CFE">
        <w:t xml:space="preserve">horse </w:t>
      </w:r>
      <w:r>
        <w:t xml:space="preserve">semen </w:t>
      </w:r>
      <w:r w:rsidR="00F32201">
        <w:t>exceeds Australia’s ALOP and warrants biosecurity measures</w:t>
      </w:r>
      <w:r w:rsidR="007F7EA9">
        <w:t xml:space="preserve"> (Figure 1)</w:t>
      </w:r>
      <w:r>
        <w:t xml:space="preserve">. Consequently, the recommended import conditions for the export of horses from non-approved countries to Australia, require the horse/s to have resided in glanders free countries for </w:t>
      </w:r>
      <w:r w:rsidR="00F32201">
        <w:t>180 days</w:t>
      </w:r>
      <w:r>
        <w:t xml:space="preserve"> prior to export. The final 60 days must be spent in a country approved to export horses to Australia. All countries approved to export horses to Australia are glanders free (for a minimum of three years). </w:t>
      </w:r>
    </w:p>
    <w:p w14:paraId="6E2BDEFD" w14:textId="3CAFA326" w:rsidR="00D869B1" w:rsidRDefault="00D869B1" w:rsidP="00D869B1">
      <w:r>
        <w:t xml:space="preserve">This difference in residency requirements has led to questions about the glanders status of </w:t>
      </w:r>
      <w:proofErr w:type="gramStart"/>
      <w:r>
        <w:t>a number of</w:t>
      </w:r>
      <w:proofErr w:type="gramEnd"/>
      <w:r>
        <w:t xml:space="preserve"> countries which have not been assessed by the department for the importation of horses. For a country to be considered glanders free by Australia, the department would need to undertake an assessment to ensure that the glanders biosecurity risk me</w:t>
      </w:r>
      <w:r w:rsidR="008E6058">
        <w:t>e</w:t>
      </w:r>
      <w:r>
        <w:t>t</w:t>
      </w:r>
      <w:r w:rsidR="008E6058">
        <w:t>s</w:t>
      </w:r>
      <w:r>
        <w:t xml:space="preserve"> Australia’s appropriate level of protection. </w:t>
      </w:r>
    </w:p>
    <w:p w14:paraId="241677EA" w14:textId="77777777" w:rsidR="00D869B1" w:rsidRDefault="00D869B1" w:rsidP="00D869B1">
      <w:r>
        <w:t xml:space="preserve">The department takes </w:t>
      </w:r>
      <w:r w:rsidRPr="002E3905">
        <w:t>a</w:t>
      </w:r>
      <w:r>
        <w:t>n evidence based,</w:t>
      </w:r>
      <w:r w:rsidRPr="002E3905">
        <w:t xml:space="preserve"> </w:t>
      </w:r>
      <w:r>
        <w:t>scientific approach to such assessment of a country’s glanders status</w:t>
      </w:r>
      <w:r w:rsidRPr="002E3905">
        <w:t xml:space="preserve"> for the </w:t>
      </w:r>
      <w:r>
        <w:t>im</w:t>
      </w:r>
      <w:r w:rsidRPr="002E3905">
        <w:t xml:space="preserve">port of </w:t>
      </w:r>
      <w:r>
        <w:t xml:space="preserve">live </w:t>
      </w:r>
      <w:r w:rsidRPr="002E3905">
        <w:t>horses</w:t>
      </w:r>
      <w:r>
        <w:t xml:space="preserve"> and their reproductive material into Australia. This assessment may consider</w:t>
      </w:r>
      <w:r w:rsidRPr="002E3905">
        <w:t xml:space="preserve">: </w:t>
      </w:r>
    </w:p>
    <w:p w14:paraId="0D0303FC" w14:textId="77777777" w:rsidR="00D869B1" w:rsidRDefault="00D869B1" w:rsidP="004C2F56">
      <w:pPr>
        <w:pStyle w:val="ListParagraph"/>
        <w:numPr>
          <w:ilvl w:val="0"/>
          <w:numId w:val="18"/>
        </w:numPr>
        <w:spacing w:after="160" w:line="259" w:lineRule="auto"/>
        <w:contextualSpacing/>
      </w:pPr>
      <w:r w:rsidRPr="002E3905">
        <w:t xml:space="preserve">the animal health status of the country </w:t>
      </w:r>
    </w:p>
    <w:p w14:paraId="47BC81F6" w14:textId="77777777" w:rsidR="00D869B1" w:rsidRDefault="00D869B1" w:rsidP="004C2F56">
      <w:pPr>
        <w:pStyle w:val="ListParagraph"/>
        <w:numPr>
          <w:ilvl w:val="0"/>
          <w:numId w:val="18"/>
        </w:numPr>
        <w:spacing w:after="160" w:line="259" w:lineRule="auto"/>
        <w:contextualSpacing/>
      </w:pPr>
      <w:r w:rsidRPr="002E3905">
        <w:t xml:space="preserve">the effectiveness of veterinary services and other relevant certifying authorities </w:t>
      </w:r>
    </w:p>
    <w:p w14:paraId="25D282AD" w14:textId="77777777" w:rsidR="00D869B1" w:rsidRDefault="00D869B1" w:rsidP="004C2F56">
      <w:pPr>
        <w:pStyle w:val="ListParagraph"/>
        <w:numPr>
          <w:ilvl w:val="0"/>
          <w:numId w:val="18"/>
        </w:numPr>
        <w:spacing w:after="160" w:line="259" w:lineRule="auto"/>
        <w:contextualSpacing/>
      </w:pPr>
      <w:r>
        <w:t xml:space="preserve">competent authority </w:t>
      </w:r>
      <w:r w:rsidRPr="002E3905">
        <w:t xml:space="preserve">controls over animal health, including </w:t>
      </w:r>
      <w:r>
        <w:t xml:space="preserve">relevant legislation, </w:t>
      </w:r>
      <w:r w:rsidRPr="002E3905">
        <w:t xml:space="preserve">quarantine policies and practices </w:t>
      </w:r>
    </w:p>
    <w:p w14:paraId="17EBE531" w14:textId="77777777" w:rsidR="00D869B1" w:rsidRDefault="00D869B1" w:rsidP="004C2F56">
      <w:pPr>
        <w:pStyle w:val="ListParagraph"/>
        <w:numPr>
          <w:ilvl w:val="0"/>
          <w:numId w:val="18"/>
        </w:numPr>
        <w:spacing w:after="160" w:line="259" w:lineRule="auto"/>
        <w:contextualSpacing/>
      </w:pPr>
      <w:r>
        <w:t>surveillance practices including import controls for horses</w:t>
      </w:r>
    </w:p>
    <w:p w14:paraId="4FC44112" w14:textId="463E2F86" w:rsidR="00D869B1" w:rsidRDefault="00D869B1" w:rsidP="004C2F56">
      <w:pPr>
        <w:pStyle w:val="ListParagraph"/>
        <w:numPr>
          <w:ilvl w:val="0"/>
          <w:numId w:val="18"/>
        </w:numPr>
        <w:spacing w:after="160" w:line="259" w:lineRule="auto"/>
        <w:contextualSpacing/>
      </w:pPr>
      <w:r w:rsidRPr="002E3905">
        <w:t xml:space="preserve">the standard of reporting to the </w:t>
      </w:r>
      <w:r w:rsidR="003C6D77">
        <w:t>WOAH</w:t>
      </w:r>
      <w:r w:rsidRPr="002E3905">
        <w:t xml:space="preserve"> of </w:t>
      </w:r>
      <w:r>
        <w:t>notifiable</w:t>
      </w:r>
      <w:r w:rsidRPr="002E3905">
        <w:t xml:space="preserve"> disease outbreaks </w:t>
      </w:r>
    </w:p>
    <w:p w14:paraId="37013930" w14:textId="77777777" w:rsidR="00D869B1" w:rsidRDefault="00D869B1" w:rsidP="004C2F56">
      <w:pPr>
        <w:pStyle w:val="ListParagraph"/>
        <w:numPr>
          <w:ilvl w:val="0"/>
          <w:numId w:val="18"/>
        </w:numPr>
        <w:spacing w:after="160" w:line="259" w:lineRule="auto"/>
        <w:contextualSpacing/>
      </w:pPr>
      <w:r w:rsidRPr="002E3905">
        <w:t xml:space="preserve">effectiveness of veterinary laboratory services, including compliance with relevant international standards </w:t>
      </w:r>
    </w:p>
    <w:p w14:paraId="44FBC49F" w14:textId="77777777" w:rsidR="00D869B1" w:rsidRDefault="00D869B1" w:rsidP="004C2F56">
      <w:pPr>
        <w:pStyle w:val="ListParagraph"/>
        <w:numPr>
          <w:ilvl w:val="0"/>
          <w:numId w:val="18"/>
        </w:numPr>
        <w:spacing w:after="160" w:line="259" w:lineRule="auto"/>
        <w:contextualSpacing/>
      </w:pPr>
      <w:r w:rsidRPr="002E3905">
        <w:t>effectiveness of systems for control over certification/documentation of products in</w:t>
      </w:r>
      <w:r>
        <w:t>tended for export to Australia</w:t>
      </w:r>
    </w:p>
    <w:p w14:paraId="09B2EDF8" w14:textId="38B0506E" w:rsidR="00D869B1" w:rsidRDefault="00D869B1" w:rsidP="004C2F56">
      <w:pPr>
        <w:pStyle w:val="ListParagraph"/>
        <w:numPr>
          <w:ilvl w:val="0"/>
          <w:numId w:val="18"/>
        </w:numPr>
        <w:spacing w:after="160" w:line="259" w:lineRule="auto"/>
        <w:contextualSpacing/>
      </w:pPr>
      <w:r>
        <w:t>border controls and health status of neighbouring countries</w:t>
      </w:r>
      <w:r w:rsidR="00E63287">
        <w:t>.</w:t>
      </w:r>
    </w:p>
    <w:p w14:paraId="40CC4AAE" w14:textId="0B5CA1FC" w:rsidR="00D943F5" w:rsidRPr="00D869B1" w:rsidRDefault="00D869B1" w:rsidP="00D869B1">
      <w:r>
        <w:t>After a country has been assessed by the department as glanders free, this may change if there is a disease incursion or significant changes in the competent authority’s controls and oversight. In these cases, the department may no longer consider a country to be glanders free for the purposes of the importation of live horses and semen into Australia.</w:t>
      </w:r>
    </w:p>
    <w:p w14:paraId="234266C1" w14:textId="040BCE9D" w:rsidR="000D757D" w:rsidRDefault="000D757D">
      <w:pPr>
        <w:spacing w:after="0" w:line="240" w:lineRule="auto"/>
      </w:pPr>
      <w:r>
        <w:br w:type="page"/>
      </w:r>
    </w:p>
    <w:p w14:paraId="1BF972F3" w14:textId="58693A72" w:rsidR="004A0FA3" w:rsidRPr="000D738A" w:rsidRDefault="006868A7" w:rsidP="000D738A">
      <w:pPr>
        <w:pStyle w:val="Heading2"/>
        <w:numPr>
          <w:ilvl w:val="0"/>
          <w:numId w:val="0"/>
        </w:numPr>
      </w:pPr>
      <w:bookmarkStart w:id="7" w:name="_Toc11849538"/>
      <w:bookmarkStart w:id="8" w:name="_Toc11849539"/>
      <w:r>
        <w:lastRenderedPageBreak/>
        <w:t>Glossary</w:t>
      </w:r>
      <w:bookmarkEnd w:id="7"/>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4A0FA3" w14:paraId="48C229A4" w14:textId="77777777">
        <w:trPr>
          <w:cantSplit/>
          <w:tblHeader/>
        </w:trPr>
        <w:tc>
          <w:tcPr>
            <w:tcW w:w="1509" w:type="pct"/>
          </w:tcPr>
          <w:p w14:paraId="4BBB9F94" w14:textId="77777777" w:rsidR="004A0FA3" w:rsidRDefault="006868A7">
            <w:pPr>
              <w:pStyle w:val="TableHeading"/>
            </w:pPr>
            <w:r>
              <w:t>Term or abbreviation</w:t>
            </w:r>
          </w:p>
        </w:tc>
        <w:tc>
          <w:tcPr>
            <w:tcW w:w="3491" w:type="pct"/>
          </w:tcPr>
          <w:p w14:paraId="77E5DFA8" w14:textId="77777777" w:rsidR="004A0FA3" w:rsidRDefault="006868A7">
            <w:pPr>
              <w:pStyle w:val="TableHeading"/>
            </w:pPr>
            <w:r>
              <w:t>Definition</w:t>
            </w:r>
          </w:p>
        </w:tc>
      </w:tr>
      <w:tr w:rsidR="004A0FA3" w14:paraId="5525E4D1" w14:textId="77777777">
        <w:trPr>
          <w:trHeight w:val="414"/>
        </w:trPr>
        <w:tc>
          <w:tcPr>
            <w:tcW w:w="1509" w:type="pct"/>
          </w:tcPr>
          <w:p w14:paraId="5BC44AEC" w14:textId="77777777" w:rsidR="004A0FA3" w:rsidRDefault="006868A7">
            <w:pPr>
              <w:pStyle w:val="TableText"/>
            </w:pPr>
            <w:r>
              <w:t>ALOP</w:t>
            </w:r>
          </w:p>
        </w:tc>
        <w:tc>
          <w:tcPr>
            <w:tcW w:w="3491" w:type="pct"/>
          </w:tcPr>
          <w:p w14:paraId="147B317A" w14:textId="77777777" w:rsidR="004A0FA3" w:rsidRDefault="006868A7">
            <w:pPr>
              <w:pStyle w:val="TableText"/>
            </w:pPr>
            <w:r>
              <w:t>Appropriate level of protection</w:t>
            </w:r>
          </w:p>
        </w:tc>
      </w:tr>
      <w:tr w:rsidR="004A0FA3" w14:paraId="666AB36B" w14:textId="77777777">
        <w:tc>
          <w:tcPr>
            <w:tcW w:w="1509" w:type="pct"/>
          </w:tcPr>
          <w:p w14:paraId="29C81B6A" w14:textId="77777777" w:rsidR="004A0FA3" w:rsidRDefault="006868A7">
            <w:pPr>
              <w:pStyle w:val="TableText"/>
            </w:pPr>
            <w:r>
              <w:t>appropriate level of protection (ALOP) for Australia</w:t>
            </w:r>
          </w:p>
        </w:tc>
        <w:tc>
          <w:tcPr>
            <w:tcW w:w="3491" w:type="pct"/>
          </w:tcPr>
          <w:p w14:paraId="7CD08426" w14:textId="77777777" w:rsidR="004A0FA3" w:rsidRDefault="006868A7">
            <w:pPr>
              <w:pStyle w:val="TableText"/>
            </w:pPr>
            <w:r>
              <w:t xml:space="preserve">The </w:t>
            </w:r>
            <w:r>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4A0FA3" w14:paraId="3E82F1B7" w14:textId="77777777">
        <w:trPr>
          <w:trHeight w:val="414"/>
        </w:trPr>
        <w:tc>
          <w:tcPr>
            <w:tcW w:w="1509" w:type="pct"/>
          </w:tcPr>
          <w:p w14:paraId="2671F567" w14:textId="77777777" w:rsidR="004A0FA3" w:rsidRDefault="006868A7">
            <w:pPr>
              <w:pStyle w:val="TableText"/>
            </w:pPr>
            <w:r>
              <w:t>AUSVETPLAN</w:t>
            </w:r>
          </w:p>
        </w:tc>
        <w:tc>
          <w:tcPr>
            <w:tcW w:w="3491" w:type="pct"/>
          </w:tcPr>
          <w:p w14:paraId="7CE0289C" w14:textId="77777777" w:rsidR="004A0FA3" w:rsidRDefault="006868A7">
            <w:pPr>
              <w:pStyle w:val="TableText"/>
            </w:pPr>
            <w:r>
              <w:t>Australian Veterinary Emergency Plan</w:t>
            </w:r>
          </w:p>
        </w:tc>
      </w:tr>
      <w:tr w:rsidR="004A0FA3" w14:paraId="0A980D6F" w14:textId="77777777">
        <w:tc>
          <w:tcPr>
            <w:tcW w:w="1509" w:type="pct"/>
          </w:tcPr>
          <w:p w14:paraId="67D5697B" w14:textId="77777777" w:rsidR="004A0FA3" w:rsidRDefault="006868A7">
            <w:pPr>
              <w:pStyle w:val="TableText"/>
            </w:pPr>
            <w:r>
              <w:t>biosecurity</w:t>
            </w:r>
          </w:p>
        </w:tc>
        <w:tc>
          <w:tcPr>
            <w:tcW w:w="3491" w:type="pct"/>
          </w:tcPr>
          <w:p w14:paraId="013C8A73" w14:textId="77777777" w:rsidR="004A0FA3" w:rsidRDefault="006868A7">
            <w:pPr>
              <w:pStyle w:val="TableText"/>
            </w:pPr>
            <w:r>
              <w:t>The prevention of the entry, establishment or spread of unwanted pests and infectious disease agents to protect human, animal or plant health or life, and the environment.</w:t>
            </w:r>
          </w:p>
        </w:tc>
      </w:tr>
      <w:tr w:rsidR="004A0FA3" w14:paraId="79C6D2CA" w14:textId="77777777">
        <w:tc>
          <w:tcPr>
            <w:tcW w:w="1509" w:type="pct"/>
          </w:tcPr>
          <w:p w14:paraId="2339222A" w14:textId="77777777" w:rsidR="004A0FA3" w:rsidRDefault="006868A7">
            <w:pPr>
              <w:pStyle w:val="TableText"/>
            </w:pPr>
            <w:r>
              <w:t>biosecurity measures</w:t>
            </w:r>
          </w:p>
        </w:tc>
        <w:tc>
          <w:tcPr>
            <w:tcW w:w="3491" w:type="pct"/>
          </w:tcPr>
          <w:p w14:paraId="61E06D1D" w14:textId="77777777" w:rsidR="004A0FA3" w:rsidRDefault="006868A7">
            <w:pPr>
              <w:pStyle w:val="TableText"/>
            </w:pPr>
            <w:r>
              <w:t xml:space="preserve">The </w:t>
            </w:r>
            <w:r>
              <w:rPr>
                <w:i/>
              </w:rPr>
              <w:t>Biosecurity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4A0FA3" w14:paraId="6C98186B" w14:textId="77777777">
        <w:tc>
          <w:tcPr>
            <w:tcW w:w="1509" w:type="pct"/>
          </w:tcPr>
          <w:p w14:paraId="5B9186BE" w14:textId="77777777" w:rsidR="004A0FA3" w:rsidRDefault="006868A7">
            <w:pPr>
              <w:pStyle w:val="TableText"/>
            </w:pPr>
            <w:r>
              <w:t>biosecurity risk</w:t>
            </w:r>
          </w:p>
        </w:tc>
        <w:tc>
          <w:tcPr>
            <w:tcW w:w="3491" w:type="pct"/>
          </w:tcPr>
          <w:p w14:paraId="78EB0E7F" w14:textId="77777777" w:rsidR="004A0FA3" w:rsidRDefault="006868A7">
            <w:pPr>
              <w:pStyle w:val="TableText"/>
            </w:pPr>
            <w:r>
              <w:t xml:space="preserve">The </w:t>
            </w:r>
            <w:r>
              <w:rPr>
                <w:i/>
              </w:rPr>
              <w:t>Biosecurity Act 2015</w:t>
            </w:r>
            <w:r>
              <w:t xml:space="preserve"> refers to biosecurity risk as the likelihood of a disease or pest entering, </w:t>
            </w:r>
            <w:proofErr w:type="gramStart"/>
            <w:r>
              <w:t>establishing</w:t>
            </w:r>
            <w:proofErr w:type="gramEnd"/>
            <w:r>
              <w:t xml:space="preserve"> or spreading in Australian territory, and the potential for the disease or pest causing harm to human, animal or plant health, the environment, economic or community activities.</w:t>
            </w:r>
          </w:p>
        </w:tc>
      </w:tr>
      <w:tr w:rsidR="00D869B1" w14:paraId="7EEF74ED" w14:textId="77777777">
        <w:tc>
          <w:tcPr>
            <w:tcW w:w="1509" w:type="pct"/>
          </w:tcPr>
          <w:p w14:paraId="5B1E4A71" w14:textId="4365A9CC" w:rsidR="00D869B1" w:rsidRDefault="00D869B1">
            <w:pPr>
              <w:pStyle w:val="TableText"/>
            </w:pPr>
            <w:r>
              <w:t>CFT</w:t>
            </w:r>
          </w:p>
        </w:tc>
        <w:tc>
          <w:tcPr>
            <w:tcW w:w="3491" w:type="pct"/>
          </w:tcPr>
          <w:p w14:paraId="341AB070" w14:textId="1751518B" w:rsidR="00D869B1" w:rsidRDefault="00D869B1">
            <w:pPr>
              <w:pStyle w:val="TableText"/>
            </w:pPr>
            <w:r>
              <w:t>Complement fixation test</w:t>
            </w:r>
          </w:p>
        </w:tc>
      </w:tr>
      <w:tr w:rsidR="004A0FA3" w14:paraId="5E04EB26" w14:textId="77777777">
        <w:trPr>
          <w:trHeight w:val="414"/>
        </w:trPr>
        <w:tc>
          <w:tcPr>
            <w:tcW w:w="1509" w:type="pct"/>
          </w:tcPr>
          <w:p w14:paraId="21EDAB7F" w14:textId="77777777" w:rsidR="004A0FA3" w:rsidRDefault="006868A7">
            <w:pPr>
              <w:pStyle w:val="TableText"/>
            </w:pPr>
            <w:r>
              <w:t>EADRA</w:t>
            </w:r>
          </w:p>
        </w:tc>
        <w:tc>
          <w:tcPr>
            <w:tcW w:w="3491" w:type="pct"/>
          </w:tcPr>
          <w:p w14:paraId="35D8ECE5" w14:textId="77777777" w:rsidR="004A0FA3" w:rsidRDefault="006868A7">
            <w:pPr>
              <w:pStyle w:val="TableText"/>
            </w:pPr>
            <w:r>
              <w:t>Emergency animal disease response agreement</w:t>
            </w:r>
          </w:p>
        </w:tc>
      </w:tr>
      <w:tr w:rsidR="004A0FA3" w14:paraId="01C139EA" w14:textId="77777777">
        <w:trPr>
          <w:trHeight w:val="414"/>
        </w:trPr>
        <w:tc>
          <w:tcPr>
            <w:tcW w:w="1509" w:type="pct"/>
          </w:tcPr>
          <w:p w14:paraId="7DBE0876" w14:textId="77777777" w:rsidR="004A0FA3" w:rsidRDefault="006868A7">
            <w:pPr>
              <w:pStyle w:val="TableText"/>
            </w:pPr>
            <w:r>
              <w:t>ELISA</w:t>
            </w:r>
          </w:p>
        </w:tc>
        <w:tc>
          <w:tcPr>
            <w:tcW w:w="3491" w:type="pct"/>
          </w:tcPr>
          <w:p w14:paraId="7E579A23" w14:textId="77777777" w:rsidR="004A0FA3" w:rsidRDefault="006868A7">
            <w:pPr>
              <w:pStyle w:val="TableText"/>
            </w:pPr>
            <w:r>
              <w:t>enzyme-linked immunosorbent assay</w:t>
            </w:r>
          </w:p>
        </w:tc>
      </w:tr>
      <w:tr w:rsidR="004A0FA3" w14:paraId="57E23041" w14:textId="77777777">
        <w:trPr>
          <w:trHeight w:val="414"/>
        </w:trPr>
        <w:tc>
          <w:tcPr>
            <w:tcW w:w="1509" w:type="pct"/>
          </w:tcPr>
          <w:p w14:paraId="3522532E" w14:textId="77777777" w:rsidR="004A0FA3" w:rsidRDefault="006868A7">
            <w:pPr>
              <w:pStyle w:val="TableText"/>
            </w:pPr>
            <w:r>
              <w:t>IRA</w:t>
            </w:r>
          </w:p>
        </w:tc>
        <w:tc>
          <w:tcPr>
            <w:tcW w:w="3491" w:type="pct"/>
          </w:tcPr>
          <w:p w14:paraId="00DDCBDB" w14:textId="77777777" w:rsidR="004A0FA3" w:rsidRDefault="006868A7">
            <w:pPr>
              <w:pStyle w:val="TableText"/>
            </w:pPr>
            <w:r>
              <w:t>Import risk analysis</w:t>
            </w:r>
          </w:p>
        </w:tc>
      </w:tr>
      <w:tr w:rsidR="004A0FA3" w14:paraId="259A8BCE" w14:textId="77777777">
        <w:trPr>
          <w:trHeight w:val="414"/>
        </w:trPr>
        <w:tc>
          <w:tcPr>
            <w:tcW w:w="1509" w:type="pct"/>
          </w:tcPr>
          <w:p w14:paraId="5944A8E7" w14:textId="734CC517" w:rsidR="004A0FA3" w:rsidRDefault="003C6D77">
            <w:pPr>
              <w:pStyle w:val="TableText"/>
            </w:pPr>
            <w:r>
              <w:t>WOAH</w:t>
            </w:r>
          </w:p>
        </w:tc>
        <w:tc>
          <w:tcPr>
            <w:tcW w:w="3491" w:type="pct"/>
          </w:tcPr>
          <w:p w14:paraId="3A107D0F" w14:textId="77777777" w:rsidR="004A0FA3" w:rsidRDefault="006868A7">
            <w:pPr>
              <w:pStyle w:val="TableText"/>
            </w:pPr>
            <w:r>
              <w:t>World Organisation for Animal Health</w:t>
            </w:r>
          </w:p>
        </w:tc>
      </w:tr>
      <w:tr w:rsidR="004A0FA3" w14:paraId="45D560CC" w14:textId="77777777">
        <w:trPr>
          <w:trHeight w:val="414"/>
        </w:trPr>
        <w:tc>
          <w:tcPr>
            <w:tcW w:w="1509" w:type="pct"/>
          </w:tcPr>
          <w:p w14:paraId="34F23222" w14:textId="62E1DF6C" w:rsidR="004A0FA3" w:rsidRDefault="003C6D77">
            <w:pPr>
              <w:pStyle w:val="TableText"/>
            </w:pPr>
            <w:r>
              <w:t>WOAH</w:t>
            </w:r>
            <w:r w:rsidR="006868A7">
              <w:t xml:space="preserve"> Code</w:t>
            </w:r>
          </w:p>
        </w:tc>
        <w:tc>
          <w:tcPr>
            <w:tcW w:w="3491" w:type="pct"/>
          </w:tcPr>
          <w:p w14:paraId="4A7A0317" w14:textId="2CAC7E37" w:rsidR="004A0FA3" w:rsidRDefault="003C6D77" w:rsidP="00D869B1">
            <w:pPr>
              <w:pStyle w:val="TableText"/>
            </w:pPr>
            <w:r>
              <w:t>WOAH</w:t>
            </w:r>
            <w:r w:rsidR="006868A7">
              <w:t xml:space="preserve"> Terrestrial Animal Health Code </w:t>
            </w:r>
          </w:p>
        </w:tc>
      </w:tr>
      <w:tr w:rsidR="004A0FA3" w14:paraId="19833517" w14:textId="77777777">
        <w:trPr>
          <w:trHeight w:val="414"/>
        </w:trPr>
        <w:tc>
          <w:tcPr>
            <w:tcW w:w="1509" w:type="pct"/>
          </w:tcPr>
          <w:p w14:paraId="25EF4AFA" w14:textId="07DDF165" w:rsidR="004A0FA3" w:rsidRDefault="003C6D77">
            <w:pPr>
              <w:pStyle w:val="TableText"/>
            </w:pPr>
            <w:r>
              <w:t>WOAH</w:t>
            </w:r>
            <w:r w:rsidR="006868A7">
              <w:t xml:space="preserve"> Manual</w:t>
            </w:r>
          </w:p>
        </w:tc>
        <w:tc>
          <w:tcPr>
            <w:tcW w:w="3491" w:type="pct"/>
          </w:tcPr>
          <w:p w14:paraId="681C1CA1" w14:textId="6E97A94E" w:rsidR="004A0FA3" w:rsidRDefault="003C6D77" w:rsidP="00D869B1">
            <w:pPr>
              <w:pStyle w:val="TableText"/>
            </w:pPr>
            <w:r>
              <w:t>WOAH</w:t>
            </w:r>
            <w:r w:rsidR="006868A7">
              <w:t xml:space="preserve"> Manual of Diagnostic Tests and Vaccines for Terrestrial Animals </w:t>
            </w:r>
          </w:p>
        </w:tc>
      </w:tr>
      <w:tr w:rsidR="004A0FA3" w14:paraId="32AA4559" w14:textId="77777777">
        <w:trPr>
          <w:trHeight w:val="414"/>
        </w:trPr>
        <w:tc>
          <w:tcPr>
            <w:tcW w:w="1509" w:type="pct"/>
          </w:tcPr>
          <w:p w14:paraId="4B965026" w14:textId="77777777" w:rsidR="004A0FA3" w:rsidRDefault="006868A7">
            <w:pPr>
              <w:pStyle w:val="TableText"/>
            </w:pPr>
            <w:r>
              <w:t>PCR</w:t>
            </w:r>
          </w:p>
        </w:tc>
        <w:tc>
          <w:tcPr>
            <w:tcW w:w="3491" w:type="pct"/>
          </w:tcPr>
          <w:p w14:paraId="608D956C" w14:textId="77777777" w:rsidR="004A0FA3" w:rsidRDefault="006868A7">
            <w:pPr>
              <w:pStyle w:val="TableText"/>
            </w:pPr>
            <w:r>
              <w:t>polymerase chain reaction</w:t>
            </w:r>
          </w:p>
        </w:tc>
      </w:tr>
      <w:tr w:rsidR="004A0FA3" w14:paraId="7B15C5BF" w14:textId="77777777">
        <w:tc>
          <w:tcPr>
            <w:tcW w:w="1509" w:type="pct"/>
          </w:tcPr>
          <w:p w14:paraId="23D7675F" w14:textId="77777777" w:rsidR="004A0FA3" w:rsidRDefault="006868A7">
            <w:pPr>
              <w:pStyle w:val="TableText"/>
            </w:pPr>
            <w:r>
              <w:t>risk analysis</w:t>
            </w:r>
          </w:p>
        </w:tc>
        <w:tc>
          <w:tcPr>
            <w:tcW w:w="3491" w:type="pct"/>
          </w:tcPr>
          <w:p w14:paraId="19A57211" w14:textId="77777777" w:rsidR="004A0FA3" w:rsidRDefault="006868A7">
            <w:pPr>
              <w:pStyle w:val="TableText"/>
            </w:pPr>
            <w:r>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bl>
    <w:p w14:paraId="5468A519" w14:textId="77777777" w:rsidR="004A0FA3" w:rsidRDefault="004A0FA3">
      <w:pPr>
        <w:pStyle w:val="Heading2"/>
        <w:numPr>
          <w:ilvl w:val="0"/>
          <w:numId w:val="0"/>
        </w:numPr>
        <w:sectPr w:rsidR="004A0FA3">
          <w:footerReference w:type="default" r:id="rId25"/>
          <w:pgSz w:w="11906" w:h="16838"/>
          <w:pgMar w:top="1418" w:right="1418" w:bottom="1418" w:left="1418" w:header="567" w:footer="283" w:gutter="0"/>
          <w:cols w:space="708"/>
          <w:docGrid w:linePitch="360"/>
        </w:sectPr>
      </w:pPr>
    </w:p>
    <w:p w14:paraId="4D92A1AC" w14:textId="77777777" w:rsidR="004A0FA3" w:rsidRDefault="006868A7">
      <w:pPr>
        <w:pStyle w:val="Heading2"/>
        <w:numPr>
          <w:ilvl w:val="0"/>
          <w:numId w:val="0"/>
        </w:numPr>
      </w:pPr>
      <w:bookmarkStart w:id="9" w:name="_Ref14174697"/>
      <w:r>
        <w:lastRenderedPageBreak/>
        <w:t>References</w:t>
      </w:r>
      <w:bookmarkEnd w:id="8"/>
      <w:bookmarkEnd w:id="9"/>
    </w:p>
    <w:p w14:paraId="38CED5A9" w14:textId="7478EA46" w:rsidR="00C074B6" w:rsidRDefault="00B03E34" w:rsidP="00C074B6">
      <w:pPr>
        <w:pStyle w:val="EndNoteBibliography"/>
        <w:spacing w:after="0"/>
        <w:rPr>
          <w:rStyle w:val="identifier"/>
          <w:rFonts w:asciiTheme="majorHAnsi" w:hAnsiTheme="majorHAnsi" w:cs="Segoe UI"/>
          <w:color w:val="212121"/>
        </w:rPr>
      </w:pPr>
      <w:r>
        <w:t xml:space="preserve">Abreu, D., </w:t>
      </w:r>
      <w:r w:rsidRPr="00B03E34">
        <w:rPr>
          <w:rFonts w:asciiTheme="majorHAnsi" w:hAnsiTheme="majorHAnsi"/>
        </w:rPr>
        <w:t xml:space="preserve">Gomes, A., Tesslet D., Chiebao, D., Fava, C., Romaldini, A., Araujo, M., Pompei, J., Marques, G., Harakava, R., Pituco, E. &amp; Nassar, A. 2020. </w:t>
      </w:r>
      <w:hyperlink r:id="rId26" w:history="1">
        <w:r w:rsidRPr="00B03E34">
          <w:rPr>
            <w:rStyle w:val="Hyperlink"/>
            <w:rFonts w:asciiTheme="majorHAnsi" w:hAnsiTheme="majorHAnsi"/>
          </w:rPr>
          <w:t>Systematic monitoring of glanders-infected horses by complement fixation test, bacterial isolation, and PCR</w:t>
        </w:r>
      </w:hyperlink>
      <w:r w:rsidRPr="00B03E34">
        <w:rPr>
          <w:rFonts w:asciiTheme="majorHAnsi" w:hAnsiTheme="majorHAnsi"/>
        </w:rPr>
        <w:t xml:space="preserve">, </w:t>
      </w:r>
      <w:r w:rsidRPr="00B03E34">
        <w:rPr>
          <w:rFonts w:asciiTheme="majorHAnsi" w:hAnsiTheme="majorHAnsi"/>
          <w:i/>
        </w:rPr>
        <w:t>Veterinary and Animal Science</w:t>
      </w:r>
      <w:r w:rsidRPr="00B03E34">
        <w:rPr>
          <w:rFonts w:asciiTheme="majorHAnsi" w:hAnsiTheme="majorHAnsi"/>
        </w:rPr>
        <w:t xml:space="preserve">, vol. 10, DOI: </w:t>
      </w:r>
      <w:r w:rsidRPr="00906B0F">
        <w:rPr>
          <w:rStyle w:val="Hyperlink"/>
          <w:rFonts w:asciiTheme="majorHAnsi" w:hAnsiTheme="majorHAnsi" w:cs="Segoe UI"/>
          <w:color w:val="auto"/>
          <w:u w:val="none"/>
        </w:rPr>
        <w:t>0.1016/j.vas.2020.100147</w:t>
      </w:r>
      <w:r w:rsidRPr="00B03E34">
        <w:rPr>
          <w:rStyle w:val="identifier"/>
          <w:rFonts w:asciiTheme="majorHAnsi" w:hAnsiTheme="majorHAnsi" w:cs="Segoe UI"/>
          <w:color w:val="212121"/>
        </w:rPr>
        <w:t>, accessed 12 February 2021</w:t>
      </w:r>
      <w:r>
        <w:rPr>
          <w:rStyle w:val="identifier"/>
          <w:rFonts w:asciiTheme="majorHAnsi" w:hAnsiTheme="majorHAnsi" w:cs="Segoe UI"/>
          <w:color w:val="212121"/>
        </w:rPr>
        <w:t>.</w:t>
      </w:r>
    </w:p>
    <w:p w14:paraId="2994F66F" w14:textId="77777777" w:rsidR="00B03E34" w:rsidRDefault="00B03E34" w:rsidP="00C074B6">
      <w:pPr>
        <w:pStyle w:val="EndNoteBibliography"/>
        <w:spacing w:after="0"/>
        <w:rPr>
          <w:rStyle w:val="identifier"/>
          <w:rFonts w:asciiTheme="majorHAnsi" w:hAnsiTheme="majorHAnsi" w:cs="Segoe UI"/>
          <w:color w:val="212121"/>
        </w:rPr>
      </w:pPr>
    </w:p>
    <w:p w14:paraId="52BEC329" w14:textId="6AC112D6" w:rsidR="00B03E34" w:rsidRDefault="00B03E34" w:rsidP="00C074B6">
      <w:pPr>
        <w:pStyle w:val="EndNoteBibliography"/>
        <w:spacing w:after="0"/>
        <w:rPr>
          <w:rFonts w:asciiTheme="majorHAnsi" w:hAnsiTheme="majorHAnsi"/>
        </w:rPr>
      </w:pPr>
      <w:r w:rsidRPr="004C2F56">
        <w:rPr>
          <w:rFonts w:asciiTheme="majorHAnsi" w:hAnsiTheme="majorHAnsi"/>
        </w:rPr>
        <w:t>Adhikari, N</w:t>
      </w:r>
      <w:r>
        <w:rPr>
          <w:rFonts w:asciiTheme="majorHAnsi" w:hAnsiTheme="majorHAnsi"/>
        </w:rPr>
        <w:t>.</w:t>
      </w:r>
      <w:r w:rsidRPr="004C2F56">
        <w:rPr>
          <w:rFonts w:asciiTheme="majorHAnsi" w:hAnsiTheme="majorHAnsi"/>
        </w:rPr>
        <w:t xml:space="preserve">, </w:t>
      </w:r>
      <w:r w:rsidRPr="00B03E34">
        <w:rPr>
          <w:rFonts w:asciiTheme="majorHAnsi" w:hAnsiTheme="majorHAnsi"/>
        </w:rPr>
        <w:t xml:space="preserve">Acharya, K. &amp; Wilson, R. 2019. </w:t>
      </w:r>
      <w:hyperlink r:id="rId27" w:history="1">
        <w:r w:rsidRPr="00B03E34">
          <w:rPr>
            <w:rStyle w:val="Hyperlink"/>
            <w:rFonts w:asciiTheme="majorHAnsi" w:hAnsiTheme="majorHAnsi"/>
          </w:rPr>
          <w:t>The potential for an outbreak of glanders in Nepal</w:t>
        </w:r>
      </w:hyperlink>
      <w:r w:rsidRPr="00B03E34">
        <w:rPr>
          <w:rFonts w:asciiTheme="majorHAnsi" w:hAnsiTheme="majorHAnsi"/>
        </w:rPr>
        <w:t>,</w:t>
      </w:r>
      <w:r w:rsidRPr="00B03E34">
        <w:rPr>
          <w:rFonts w:asciiTheme="majorHAnsi" w:hAnsiTheme="majorHAnsi"/>
          <w:i/>
        </w:rPr>
        <w:t xml:space="preserve"> Tropical Medicine and Health</w:t>
      </w:r>
      <w:r w:rsidRPr="00B03E34">
        <w:rPr>
          <w:rFonts w:asciiTheme="majorHAnsi" w:hAnsiTheme="majorHAnsi"/>
        </w:rPr>
        <w:t>, vol. 47, no. 1, p</w:t>
      </w:r>
      <w:r w:rsidR="00B174A0">
        <w:rPr>
          <w:rFonts w:asciiTheme="majorHAnsi" w:hAnsiTheme="majorHAnsi"/>
        </w:rPr>
        <w:t>p</w:t>
      </w:r>
      <w:r w:rsidRPr="00B03E34">
        <w:rPr>
          <w:rFonts w:asciiTheme="majorHAnsi" w:hAnsiTheme="majorHAnsi"/>
        </w:rPr>
        <w:t xml:space="preserve">. 57-59, DOI: </w:t>
      </w:r>
      <w:r w:rsidRPr="00906B0F">
        <w:rPr>
          <w:rStyle w:val="Hyperlink"/>
          <w:rFonts w:asciiTheme="majorHAnsi" w:hAnsiTheme="majorHAnsi" w:cs="Segoe UI"/>
          <w:color w:val="auto"/>
          <w:u w:val="none"/>
          <w:shd w:val="clear" w:color="auto" w:fill="FFFFFF"/>
        </w:rPr>
        <w:t>10.1186/s41182-019-0185-2</w:t>
      </w:r>
      <w:r w:rsidRPr="00906B0F">
        <w:rPr>
          <w:rFonts w:asciiTheme="majorHAnsi" w:hAnsiTheme="majorHAnsi"/>
        </w:rPr>
        <w:t>,</w:t>
      </w:r>
      <w:r w:rsidRPr="00B03E34">
        <w:rPr>
          <w:rFonts w:asciiTheme="majorHAnsi" w:hAnsiTheme="majorHAnsi"/>
        </w:rPr>
        <w:t xml:space="preserve"> accessed 11 December 2019.</w:t>
      </w:r>
    </w:p>
    <w:p w14:paraId="40B6D3D3" w14:textId="77777777" w:rsidR="00B03E34" w:rsidRDefault="00B03E34" w:rsidP="00C074B6">
      <w:pPr>
        <w:pStyle w:val="EndNoteBibliography"/>
        <w:spacing w:after="0"/>
        <w:rPr>
          <w:rFonts w:asciiTheme="majorHAnsi" w:hAnsiTheme="majorHAnsi"/>
        </w:rPr>
      </w:pPr>
    </w:p>
    <w:p w14:paraId="40E91C74" w14:textId="2DE05503" w:rsidR="00B03E34" w:rsidRDefault="00B03E34" w:rsidP="00C074B6">
      <w:pPr>
        <w:pStyle w:val="EndNoteBibliography"/>
        <w:spacing w:after="0"/>
        <w:rPr>
          <w:rFonts w:asciiTheme="majorHAnsi" w:hAnsiTheme="majorHAnsi"/>
        </w:rPr>
      </w:pPr>
      <w:r w:rsidRPr="00B03E34">
        <w:rPr>
          <w:rFonts w:asciiTheme="majorHAnsi" w:hAnsiTheme="majorHAnsi"/>
        </w:rPr>
        <w:t xml:space="preserve">Al-Ani, F, Rawashdeh, O, A., &amp; Hassan, F. 1998. </w:t>
      </w:r>
      <w:hyperlink r:id="rId28" w:history="1">
        <w:r w:rsidRPr="00B03E34">
          <w:rPr>
            <w:rStyle w:val="Hyperlink"/>
            <w:rFonts w:asciiTheme="majorHAnsi" w:hAnsiTheme="majorHAnsi"/>
          </w:rPr>
          <w:t>Glanders in horses: clinical, biochemical and serological studies in Iraq,</w:t>
        </w:r>
      </w:hyperlink>
      <w:r w:rsidRPr="00B03E34">
        <w:rPr>
          <w:rFonts w:asciiTheme="majorHAnsi" w:hAnsiTheme="majorHAnsi"/>
        </w:rPr>
        <w:t xml:space="preserve"> </w:t>
      </w:r>
      <w:r w:rsidRPr="00B03E34">
        <w:rPr>
          <w:rFonts w:asciiTheme="majorHAnsi" w:hAnsiTheme="majorHAnsi"/>
          <w:i/>
        </w:rPr>
        <w:t>Journal of Veterinary Archives</w:t>
      </w:r>
      <w:r w:rsidRPr="00B03E34">
        <w:rPr>
          <w:rFonts w:asciiTheme="majorHAnsi" w:hAnsiTheme="majorHAnsi"/>
        </w:rPr>
        <w:t>, vol. 68, no. 5, pp. 155-62.</w:t>
      </w:r>
    </w:p>
    <w:p w14:paraId="771C0AF8" w14:textId="77777777" w:rsidR="00B03E34" w:rsidRDefault="00B03E34" w:rsidP="00C074B6">
      <w:pPr>
        <w:pStyle w:val="EndNoteBibliography"/>
        <w:spacing w:after="0"/>
        <w:rPr>
          <w:rFonts w:asciiTheme="majorHAnsi" w:hAnsiTheme="majorHAnsi"/>
        </w:rPr>
      </w:pPr>
    </w:p>
    <w:p w14:paraId="09DDC482" w14:textId="6A381728" w:rsidR="00B03E34" w:rsidRDefault="00B03E34" w:rsidP="00C074B6">
      <w:pPr>
        <w:pStyle w:val="EndNoteBibliography"/>
        <w:spacing w:after="0"/>
        <w:rPr>
          <w:rFonts w:asciiTheme="majorHAnsi" w:hAnsiTheme="majorHAnsi"/>
        </w:rPr>
      </w:pPr>
      <w:r w:rsidRPr="004C2F56">
        <w:rPr>
          <w:rFonts w:asciiTheme="majorHAnsi" w:hAnsiTheme="majorHAnsi"/>
        </w:rPr>
        <w:t>Anderson, M</w:t>
      </w:r>
      <w:r>
        <w:rPr>
          <w:rFonts w:asciiTheme="majorHAnsi" w:hAnsiTheme="majorHAnsi"/>
        </w:rPr>
        <w:t xml:space="preserve">. 2013. </w:t>
      </w:r>
      <w:hyperlink r:id="rId29" w:history="1">
        <w:r w:rsidRPr="00B03E34">
          <w:rPr>
            <w:rStyle w:val="Hyperlink"/>
            <w:rFonts w:asciiTheme="majorHAnsi" w:hAnsiTheme="majorHAnsi"/>
          </w:rPr>
          <w:t>Glanders: a re-emerging disease in the Middle East</w:t>
        </w:r>
      </w:hyperlink>
      <w:r w:rsidRPr="004C2F56">
        <w:rPr>
          <w:rFonts w:asciiTheme="majorHAnsi" w:hAnsiTheme="majorHAnsi"/>
        </w:rPr>
        <w:t xml:space="preserve">, </w:t>
      </w:r>
      <w:r w:rsidRPr="004C2F56">
        <w:rPr>
          <w:rFonts w:asciiTheme="majorHAnsi" w:hAnsiTheme="majorHAnsi"/>
          <w:i/>
        </w:rPr>
        <w:t>The Horse</w:t>
      </w:r>
      <w:r w:rsidRPr="004C2F56">
        <w:rPr>
          <w:rFonts w:asciiTheme="majorHAnsi" w:hAnsiTheme="majorHAnsi"/>
        </w:rPr>
        <w:t xml:space="preserve">, </w:t>
      </w:r>
      <w:r w:rsidR="00B174A0">
        <w:rPr>
          <w:rFonts w:asciiTheme="majorHAnsi" w:hAnsiTheme="majorHAnsi"/>
        </w:rPr>
        <w:t xml:space="preserve">accessed </w:t>
      </w:r>
      <w:r w:rsidRPr="004C2F56">
        <w:rPr>
          <w:rFonts w:asciiTheme="majorHAnsi" w:hAnsiTheme="majorHAnsi"/>
        </w:rPr>
        <w:t>29 January</w:t>
      </w:r>
      <w:r>
        <w:rPr>
          <w:rFonts w:asciiTheme="majorHAnsi" w:hAnsiTheme="majorHAnsi"/>
        </w:rPr>
        <w:t xml:space="preserve"> 2020. </w:t>
      </w:r>
    </w:p>
    <w:p w14:paraId="13A0AD3E" w14:textId="77777777" w:rsidR="00B03E34" w:rsidRDefault="00B03E34" w:rsidP="00C074B6">
      <w:pPr>
        <w:pStyle w:val="EndNoteBibliography"/>
        <w:spacing w:after="0"/>
        <w:rPr>
          <w:rFonts w:asciiTheme="majorHAnsi" w:hAnsiTheme="majorHAnsi"/>
        </w:rPr>
      </w:pPr>
    </w:p>
    <w:p w14:paraId="1622E34A" w14:textId="1FBB08F7" w:rsidR="00B03E34" w:rsidRDefault="00B03E34" w:rsidP="00C074B6">
      <w:pPr>
        <w:pStyle w:val="EndNoteBibliography"/>
        <w:spacing w:after="0"/>
        <w:rPr>
          <w:rFonts w:asciiTheme="majorHAnsi" w:hAnsiTheme="majorHAnsi"/>
        </w:rPr>
      </w:pPr>
      <w:r>
        <w:rPr>
          <w:rFonts w:asciiTheme="majorHAnsi" w:hAnsiTheme="majorHAnsi"/>
        </w:rPr>
        <w:t>Animal Health Australia. 2018.</w:t>
      </w:r>
      <w:r w:rsidRPr="004C2F56">
        <w:rPr>
          <w:rFonts w:asciiTheme="majorHAnsi" w:hAnsiTheme="majorHAnsi"/>
        </w:rPr>
        <w:t xml:space="preserve"> </w:t>
      </w:r>
      <w:hyperlink r:id="rId30" w:history="1">
        <w:r w:rsidRPr="00B03E34">
          <w:rPr>
            <w:rStyle w:val="Hyperlink"/>
            <w:rFonts w:asciiTheme="majorHAnsi" w:hAnsiTheme="majorHAnsi"/>
          </w:rPr>
          <w:t>Glanders</w:t>
        </w:r>
      </w:hyperlink>
      <w:r>
        <w:rPr>
          <w:rFonts w:asciiTheme="majorHAnsi" w:hAnsiTheme="majorHAnsi"/>
        </w:rPr>
        <w:t xml:space="preserve">, </w:t>
      </w:r>
      <w:r w:rsidRPr="00B03E34">
        <w:rPr>
          <w:rFonts w:asciiTheme="majorHAnsi" w:hAnsiTheme="majorHAnsi"/>
        </w:rPr>
        <w:t>AUSVETPLAN: Response policy briefs</w:t>
      </w:r>
      <w:r w:rsidRPr="004C2F56">
        <w:rPr>
          <w:rFonts w:asciiTheme="majorHAnsi" w:hAnsiTheme="majorHAnsi"/>
        </w:rPr>
        <w:t xml:space="preserve">, Canberra, ACT, </w:t>
      </w:r>
      <w:r w:rsidR="00B174A0">
        <w:rPr>
          <w:rFonts w:asciiTheme="majorHAnsi" w:hAnsiTheme="majorHAnsi"/>
        </w:rPr>
        <w:t>pp</w:t>
      </w:r>
      <w:r>
        <w:rPr>
          <w:rFonts w:asciiTheme="majorHAnsi" w:hAnsiTheme="majorHAnsi"/>
        </w:rPr>
        <w:t xml:space="preserve"> 36-37, accessed 17 May 2020.</w:t>
      </w:r>
    </w:p>
    <w:p w14:paraId="12D8F46F" w14:textId="77777777" w:rsidR="00B03E34" w:rsidRDefault="00B03E34" w:rsidP="00C074B6">
      <w:pPr>
        <w:pStyle w:val="EndNoteBibliography"/>
        <w:spacing w:after="0"/>
        <w:rPr>
          <w:rFonts w:asciiTheme="majorHAnsi" w:hAnsiTheme="majorHAnsi"/>
        </w:rPr>
      </w:pPr>
    </w:p>
    <w:p w14:paraId="28261261" w14:textId="05EC8BB2" w:rsidR="00B03E34" w:rsidRDefault="00B03E34" w:rsidP="00C074B6">
      <w:pPr>
        <w:pStyle w:val="EndNoteBibliography"/>
        <w:spacing w:after="0"/>
        <w:rPr>
          <w:rFonts w:asciiTheme="majorHAnsi" w:hAnsiTheme="majorHAnsi"/>
        </w:rPr>
      </w:pPr>
      <w:r w:rsidRPr="004C2F56">
        <w:rPr>
          <w:rFonts w:asciiTheme="majorHAnsi" w:hAnsiTheme="majorHAnsi"/>
        </w:rPr>
        <w:t>Arun, S</w:t>
      </w:r>
      <w:r>
        <w:rPr>
          <w:rFonts w:asciiTheme="majorHAnsi" w:hAnsiTheme="majorHAnsi"/>
        </w:rPr>
        <w:t>.</w:t>
      </w:r>
      <w:r w:rsidRPr="004C2F56">
        <w:rPr>
          <w:rFonts w:asciiTheme="majorHAnsi" w:hAnsiTheme="majorHAnsi"/>
        </w:rPr>
        <w:t>, Neubauer, H</w:t>
      </w:r>
      <w:r>
        <w:rPr>
          <w:rFonts w:asciiTheme="majorHAnsi" w:hAnsiTheme="majorHAnsi"/>
        </w:rPr>
        <w:t>.</w:t>
      </w:r>
      <w:r w:rsidRPr="004C2F56">
        <w:rPr>
          <w:rFonts w:asciiTheme="majorHAnsi" w:hAnsiTheme="majorHAnsi"/>
        </w:rPr>
        <w:t>, Gurel, A</w:t>
      </w:r>
      <w:r w:rsidRPr="00B03E34">
        <w:rPr>
          <w:rFonts w:asciiTheme="majorHAnsi" w:hAnsiTheme="majorHAnsi"/>
        </w:rPr>
        <w:t xml:space="preserve">., Ayyildlz, G., KusSu, B., Yesildere, T., Meyer, H. &amp; Hermanns, W. 1999. </w:t>
      </w:r>
      <w:hyperlink r:id="rId31" w:history="1">
        <w:r w:rsidR="00FA359D">
          <w:rPr>
            <w:rStyle w:val="Hyperlink"/>
            <w:rFonts w:asciiTheme="majorHAnsi" w:hAnsiTheme="majorHAnsi"/>
          </w:rPr>
          <w:t>Equine</w:t>
        </w:r>
        <w:r w:rsidR="00FA359D" w:rsidRPr="00B03E34">
          <w:rPr>
            <w:rStyle w:val="Hyperlink"/>
            <w:rFonts w:asciiTheme="majorHAnsi" w:hAnsiTheme="majorHAnsi"/>
          </w:rPr>
          <w:t xml:space="preserve"> glanders in Turkey</w:t>
        </w:r>
      </w:hyperlink>
      <w:r w:rsidRPr="00B03E34">
        <w:rPr>
          <w:rFonts w:asciiTheme="majorHAnsi" w:hAnsiTheme="majorHAnsi"/>
        </w:rPr>
        <w:t xml:space="preserve">, </w:t>
      </w:r>
      <w:r w:rsidRPr="00B03E34">
        <w:rPr>
          <w:rFonts w:asciiTheme="majorHAnsi" w:hAnsiTheme="majorHAnsi"/>
          <w:i/>
        </w:rPr>
        <w:t>Veterinary Record</w:t>
      </w:r>
      <w:r w:rsidRPr="00B03E34">
        <w:rPr>
          <w:rFonts w:asciiTheme="majorHAnsi" w:hAnsiTheme="majorHAnsi"/>
        </w:rPr>
        <w:t xml:space="preserve">, vol. 144, no. 10, pp. 255-85, DOI: </w:t>
      </w:r>
      <w:r w:rsidRPr="00906B0F">
        <w:rPr>
          <w:rStyle w:val="Hyperlink"/>
          <w:rFonts w:asciiTheme="majorHAnsi" w:hAnsiTheme="majorHAnsi" w:cs="Segoe UI"/>
          <w:color w:val="auto"/>
          <w:u w:val="none"/>
        </w:rPr>
        <w:t>10.1136/vr.144.10.255</w:t>
      </w:r>
      <w:r w:rsidRPr="00B03E34">
        <w:rPr>
          <w:rStyle w:val="identifier"/>
          <w:rFonts w:asciiTheme="majorHAnsi" w:hAnsiTheme="majorHAnsi" w:cs="Segoe UI"/>
          <w:color w:val="212121"/>
        </w:rPr>
        <w:t>, accessed 17 May 2020</w:t>
      </w:r>
      <w:r w:rsidRPr="00B03E34">
        <w:rPr>
          <w:rFonts w:asciiTheme="majorHAnsi" w:hAnsiTheme="majorHAnsi"/>
        </w:rPr>
        <w:t>.</w:t>
      </w:r>
    </w:p>
    <w:p w14:paraId="003472D9" w14:textId="77777777" w:rsidR="00B03E34" w:rsidRDefault="00B03E34" w:rsidP="00C074B6">
      <w:pPr>
        <w:pStyle w:val="EndNoteBibliography"/>
        <w:spacing w:after="0"/>
        <w:rPr>
          <w:rFonts w:asciiTheme="majorHAnsi" w:hAnsiTheme="majorHAnsi"/>
        </w:rPr>
      </w:pPr>
    </w:p>
    <w:p w14:paraId="7726A7A0" w14:textId="783169EB" w:rsidR="00B03E34" w:rsidRDefault="00B03E34" w:rsidP="00C074B6">
      <w:pPr>
        <w:pStyle w:val="EndNoteBibliography"/>
        <w:spacing w:after="0"/>
        <w:rPr>
          <w:rFonts w:asciiTheme="majorHAnsi" w:hAnsiTheme="majorHAnsi"/>
        </w:rPr>
      </w:pPr>
      <w:r>
        <w:rPr>
          <w:rFonts w:asciiTheme="majorHAnsi" w:hAnsiTheme="majorHAnsi"/>
        </w:rPr>
        <w:t xml:space="preserve">Centre for Disease Control and Prevention. 2017. </w:t>
      </w:r>
      <w:hyperlink r:id="rId32" w:history="1">
        <w:r w:rsidRPr="00B03E34">
          <w:rPr>
            <w:rStyle w:val="Hyperlink"/>
            <w:rFonts w:asciiTheme="majorHAnsi" w:hAnsiTheme="majorHAnsi"/>
          </w:rPr>
          <w:t>Glanders</w:t>
        </w:r>
      </w:hyperlink>
      <w:r>
        <w:rPr>
          <w:rFonts w:asciiTheme="majorHAnsi" w:hAnsiTheme="majorHAnsi"/>
        </w:rPr>
        <w:t xml:space="preserve">. Centre for Disease Control and Prevention, Atlanta, USA, accessed 17 May 2020. </w:t>
      </w:r>
    </w:p>
    <w:p w14:paraId="29FA12E0" w14:textId="77777777" w:rsidR="00B03E34" w:rsidRDefault="00B03E34" w:rsidP="00C074B6">
      <w:pPr>
        <w:pStyle w:val="EndNoteBibliography"/>
        <w:spacing w:after="0"/>
        <w:rPr>
          <w:rFonts w:asciiTheme="majorHAnsi" w:hAnsiTheme="majorHAnsi"/>
        </w:rPr>
      </w:pPr>
    </w:p>
    <w:p w14:paraId="79B2F6B6" w14:textId="5C1458BF" w:rsidR="00B03E34" w:rsidRDefault="00B03E34" w:rsidP="00C074B6">
      <w:pPr>
        <w:pStyle w:val="EndNoteBibliography"/>
        <w:spacing w:after="0"/>
        <w:rPr>
          <w:rStyle w:val="identifier"/>
          <w:rFonts w:asciiTheme="majorHAnsi" w:hAnsiTheme="majorHAnsi" w:cs="Segoe UI"/>
          <w:color w:val="212121"/>
        </w:rPr>
      </w:pPr>
      <w:r>
        <w:rPr>
          <w:rFonts w:asciiTheme="majorHAnsi" w:hAnsiTheme="majorHAnsi"/>
        </w:rPr>
        <w:t xml:space="preserve">Derbyshire, J. </w:t>
      </w:r>
      <w:r w:rsidRPr="00B03E34">
        <w:rPr>
          <w:rFonts w:asciiTheme="majorHAnsi" w:hAnsiTheme="majorHAnsi"/>
        </w:rPr>
        <w:t xml:space="preserve">2002. </w:t>
      </w:r>
      <w:hyperlink r:id="rId33" w:history="1">
        <w:r w:rsidRPr="00B03E34">
          <w:rPr>
            <w:rStyle w:val="Hyperlink"/>
            <w:rFonts w:asciiTheme="majorHAnsi" w:hAnsiTheme="majorHAnsi"/>
          </w:rPr>
          <w:t>The eradication of glanders in Canada</w:t>
        </w:r>
      </w:hyperlink>
      <w:r w:rsidRPr="00B03E34">
        <w:rPr>
          <w:rFonts w:asciiTheme="majorHAnsi" w:hAnsiTheme="majorHAnsi"/>
        </w:rPr>
        <w:t xml:space="preserve">, </w:t>
      </w:r>
      <w:r w:rsidRPr="00B03E34">
        <w:rPr>
          <w:rFonts w:asciiTheme="majorHAnsi" w:hAnsiTheme="majorHAnsi"/>
          <w:i/>
        </w:rPr>
        <w:t>The Canadian veterinary journal</w:t>
      </w:r>
      <w:r w:rsidRPr="00B03E34">
        <w:rPr>
          <w:rFonts w:asciiTheme="majorHAnsi" w:hAnsiTheme="majorHAnsi"/>
        </w:rPr>
        <w:t xml:space="preserve">, vol. 43, no. 9, pp. 722-6, </w:t>
      </w:r>
      <w:r w:rsidRPr="00B03E34">
        <w:rPr>
          <w:rStyle w:val="id-label"/>
          <w:rFonts w:asciiTheme="majorHAnsi" w:hAnsiTheme="majorHAnsi" w:cs="Segoe UI"/>
          <w:color w:val="212121"/>
        </w:rPr>
        <w:t>PMCID: </w:t>
      </w:r>
      <w:r w:rsidRPr="00906B0F">
        <w:rPr>
          <w:rStyle w:val="Hyperlink"/>
          <w:rFonts w:asciiTheme="majorHAnsi" w:hAnsiTheme="majorHAnsi" w:cs="Segoe UI"/>
          <w:color w:val="auto"/>
          <w:u w:val="none"/>
        </w:rPr>
        <w:t>PMC339565</w:t>
      </w:r>
      <w:r w:rsidRPr="00906B0F">
        <w:rPr>
          <w:rStyle w:val="identifier"/>
          <w:rFonts w:asciiTheme="majorHAnsi" w:hAnsiTheme="majorHAnsi" w:cs="Segoe UI"/>
        </w:rPr>
        <w:t>,</w:t>
      </w:r>
      <w:r w:rsidRPr="00B03E34">
        <w:rPr>
          <w:rStyle w:val="identifier"/>
          <w:rFonts w:asciiTheme="majorHAnsi" w:hAnsiTheme="majorHAnsi" w:cs="Segoe UI"/>
          <w:color w:val="212121"/>
        </w:rPr>
        <w:t xml:space="preserve"> accessed 17 May 2020.</w:t>
      </w:r>
    </w:p>
    <w:p w14:paraId="51CD0540" w14:textId="77777777" w:rsidR="00B03E34" w:rsidRDefault="00B03E34" w:rsidP="00C074B6">
      <w:pPr>
        <w:pStyle w:val="EndNoteBibliography"/>
        <w:spacing w:after="0"/>
        <w:rPr>
          <w:rStyle w:val="identifier"/>
          <w:rFonts w:asciiTheme="majorHAnsi" w:hAnsiTheme="majorHAnsi" w:cs="Segoe UI"/>
          <w:color w:val="212121"/>
        </w:rPr>
      </w:pPr>
    </w:p>
    <w:p w14:paraId="414F52F3" w14:textId="31929FBC" w:rsidR="00B03E34" w:rsidRDefault="00B03E34" w:rsidP="00C074B6">
      <w:pPr>
        <w:pStyle w:val="EndNoteBibliography"/>
        <w:spacing w:after="0"/>
        <w:rPr>
          <w:rStyle w:val="identifier"/>
          <w:rFonts w:asciiTheme="majorHAnsi" w:hAnsiTheme="majorHAnsi" w:cs="Segoe UI"/>
          <w:color w:val="212121"/>
        </w:rPr>
      </w:pPr>
      <w:r>
        <w:rPr>
          <w:rFonts w:asciiTheme="majorHAnsi" w:hAnsiTheme="majorHAnsi"/>
        </w:rPr>
        <w:t>Dvorak, G. &amp; Spickler, A. 2008.</w:t>
      </w:r>
      <w:r w:rsidRPr="004C2F56">
        <w:rPr>
          <w:rFonts w:asciiTheme="majorHAnsi" w:hAnsiTheme="majorHAnsi"/>
        </w:rPr>
        <w:t xml:space="preserve"> </w:t>
      </w:r>
      <w:hyperlink r:id="rId34" w:history="1">
        <w:r w:rsidRPr="00B174A0">
          <w:rPr>
            <w:rStyle w:val="Hyperlink"/>
            <w:rFonts w:asciiTheme="majorHAnsi" w:hAnsiTheme="majorHAnsi"/>
          </w:rPr>
          <w:t>Glanders</w:t>
        </w:r>
      </w:hyperlink>
      <w:r w:rsidRPr="004C2F56">
        <w:rPr>
          <w:rFonts w:asciiTheme="majorHAnsi" w:hAnsiTheme="majorHAnsi"/>
        </w:rPr>
        <w:t xml:space="preserve">, </w:t>
      </w:r>
      <w:r>
        <w:rPr>
          <w:rFonts w:asciiTheme="majorHAnsi" w:hAnsiTheme="majorHAnsi"/>
          <w:i/>
        </w:rPr>
        <w:t>Jou</w:t>
      </w:r>
      <w:r w:rsidRPr="004C2F56">
        <w:rPr>
          <w:rFonts w:asciiTheme="majorHAnsi" w:hAnsiTheme="majorHAnsi"/>
          <w:i/>
        </w:rPr>
        <w:t>rnal of the American Veterinary Medical Association</w:t>
      </w:r>
      <w:r>
        <w:rPr>
          <w:rFonts w:asciiTheme="majorHAnsi" w:hAnsiTheme="majorHAnsi"/>
        </w:rPr>
        <w:t xml:space="preserve">, vol. 233, no. 4, pp. </w:t>
      </w:r>
      <w:r w:rsidRPr="00B174A0">
        <w:rPr>
          <w:rFonts w:asciiTheme="majorHAnsi" w:hAnsiTheme="majorHAnsi"/>
        </w:rPr>
        <w:t xml:space="preserve">570-7, </w:t>
      </w:r>
      <w:r w:rsidRPr="00B174A0">
        <w:rPr>
          <w:rStyle w:val="id-label"/>
          <w:rFonts w:asciiTheme="majorHAnsi" w:hAnsiTheme="majorHAnsi" w:cs="Segoe UI"/>
          <w:color w:val="212121"/>
        </w:rPr>
        <w:t>DOI: </w:t>
      </w:r>
      <w:r w:rsidRPr="00906B0F">
        <w:rPr>
          <w:rStyle w:val="Hyperlink"/>
          <w:rFonts w:asciiTheme="majorHAnsi" w:hAnsiTheme="majorHAnsi" w:cs="Segoe UI"/>
          <w:color w:val="auto"/>
          <w:u w:val="none"/>
        </w:rPr>
        <w:t>10.2460/javma.233.4.570</w:t>
      </w:r>
      <w:r w:rsidRPr="00B174A0">
        <w:rPr>
          <w:rStyle w:val="identifier"/>
          <w:rFonts w:asciiTheme="majorHAnsi" w:hAnsiTheme="majorHAnsi" w:cs="Segoe UI"/>
          <w:color w:val="212121"/>
        </w:rPr>
        <w:t>, accessed 28 July 2020.</w:t>
      </w:r>
    </w:p>
    <w:p w14:paraId="6476E306" w14:textId="77777777" w:rsidR="00B174A0" w:rsidRDefault="00B174A0" w:rsidP="00C074B6">
      <w:pPr>
        <w:pStyle w:val="EndNoteBibliography"/>
        <w:spacing w:after="0"/>
        <w:rPr>
          <w:rStyle w:val="identifier"/>
          <w:rFonts w:asciiTheme="majorHAnsi" w:hAnsiTheme="majorHAnsi" w:cs="Segoe UI"/>
          <w:color w:val="212121"/>
        </w:rPr>
      </w:pPr>
    </w:p>
    <w:p w14:paraId="3FF048ED" w14:textId="4D90C361" w:rsidR="00B174A0" w:rsidRDefault="00B174A0" w:rsidP="00C074B6">
      <w:pPr>
        <w:pStyle w:val="EndNoteBibliography"/>
        <w:spacing w:after="0"/>
        <w:rPr>
          <w:rFonts w:asciiTheme="majorHAnsi" w:eastAsia="Cambria" w:hAnsiTheme="majorHAnsi" w:cs="Segoe UI"/>
          <w:lang w:eastAsia="en-AU"/>
        </w:rPr>
      </w:pPr>
      <w:r>
        <w:rPr>
          <w:rFonts w:asciiTheme="majorHAnsi" w:hAnsiTheme="majorHAnsi"/>
        </w:rPr>
        <w:t xml:space="preserve">Ellis, P. 2020. </w:t>
      </w:r>
      <w:hyperlink r:id="rId35" w:history="1">
        <w:r w:rsidRPr="00B174A0">
          <w:rPr>
            <w:rStyle w:val="Hyperlink"/>
            <w:rFonts w:asciiTheme="majorHAnsi" w:hAnsiTheme="majorHAnsi"/>
          </w:rPr>
          <w:t>Glanders: re-emergence of an ancient zoonosis</w:t>
        </w:r>
      </w:hyperlink>
      <w:r w:rsidRPr="004C2F56">
        <w:rPr>
          <w:rFonts w:asciiTheme="majorHAnsi" w:hAnsiTheme="majorHAnsi"/>
        </w:rPr>
        <w:t xml:space="preserve">, </w:t>
      </w:r>
      <w:r w:rsidRPr="004C2F56">
        <w:rPr>
          <w:rFonts w:asciiTheme="majorHAnsi" w:hAnsiTheme="majorHAnsi"/>
          <w:i/>
        </w:rPr>
        <w:t>Microbiology Australia</w:t>
      </w:r>
      <w:r w:rsidRPr="004C2F56">
        <w:rPr>
          <w:rFonts w:asciiTheme="majorHAnsi" w:hAnsiTheme="majorHAnsi"/>
        </w:rPr>
        <w:t>, vol. 41, no. 1, pp. 41-4</w:t>
      </w:r>
      <w:r w:rsidRPr="00B174A0">
        <w:rPr>
          <w:rFonts w:asciiTheme="majorHAnsi" w:hAnsiTheme="majorHAnsi"/>
        </w:rPr>
        <w:t xml:space="preserve">, DOI: </w:t>
      </w:r>
      <w:r w:rsidRPr="00906B0F">
        <w:rPr>
          <w:rFonts w:asciiTheme="majorHAnsi" w:eastAsia="Cambria" w:hAnsiTheme="majorHAnsi" w:cs="Segoe UI"/>
          <w:lang w:eastAsia="en-AU"/>
        </w:rPr>
        <w:t>10.1071/MA20011</w:t>
      </w:r>
      <w:r w:rsidRPr="00B174A0">
        <w:rPr>
          <w:rFonts w:asciiTheme="majorHAnsi" w:eastAsia="Cambria" w:hAnsiTheme="majorHAnsi" w:cs="Segoe UI"/>
          <w:lang w:eastAsia="en-AU"/>
        </w:rPr>
        <w:t>, accessed 10 May 2020</w:t>
      </w:r>
      <w:r>
        <w:rPr>
          <w:rFonts w:asciiTheme="majorHAnsi" w:eastAsia="Cambria" w:hAnsiTheme="majorHAnsi" w:cs="Segoe UI"/>
          <w:lang w:eastAsia="en-AU"/>
        </w:rPr>
        <w:t>.</w:t>
      </w:r>
    </w:p>
    <w:p w14:paraId="45A4488A" w14:textId="77777777" w:rsidR="00B174A0" w:rsidRDefault="00B174A0" w:rsidP="00C074B6">
      <w:pPr>
        <w:pStyle w:val="EndNoteBibliography"/>
        <w:spacing w:after="0"/>
        <w:rPr>
          <w:rFonts w:asciiTheme="majorHAnsi" w:eastAsia="Cambria" w:hAnsiTheme="majorHAnsi" w:cs="Segoe UI"/>
          <w:lang w:eastAsia="en-AU"/>
        </w:rPr>
      </w:pPr>
    </w:p>
    <w:p w14:paraId="4A7FA9FA" w14:textId="6D3EF1F7" w:rsidR="00B174A0" w:rsidRDefault="00B174A0" w:rsidP="00C074B6">
      <w:pPr>
        <w:pStyle w:val="EndNoteBibliography"/>
        <w:spacing w:after="0"/>
        <w:rPr>
          <w:rFonts w:asciiTheme="majorHAnsi" w:eastAsia="Cambria" w:hAnsiTheme="majorHAnsi" w:cs="Segoe UI"/>
          <w:lang w:eastAsia="en-AU"/>
        </w:rPr>
      </w:pPr>
      <w:r w:rsidRPr="004C2F56">
        <w:rPr>
          <w:rFonts w:asciiTheme="majorHAnsi" w:hAnsiTheme="majorHAnsi"/>
        </w:rPr>
        <w:t>Elschner, M</w:t>
      </w:r>
      <w:r>
        <w:rPr>
          <w:rFonts w:asciiTheme="majorHAnsi" w:hAnsiTheme="majorHAnsi"/>
        </w:rPr>
        <w:t>.</w:t>
      </w:r>
      <w:r w:rsidRPr="004C2F56">
        <w:rPr>
          <w:rFonts w:asciiTheme="majorHAnsi" w:hAnsiTheme="majorHAnsi"/>
        </w:rPr>
        <w:t>, Klaus, C</w:t>
      </w:r>
      <w:r>
        <w:rPr>
          <w:rFonts w:asciiTheme="majorHAnsi" w:hAnsiTheme="majorHAnsi"/>
        </w:rPr>
        <w:t>.</w:t>
      </w:r>
      <w:r w:rsidRPr="004C2F56">
        <w:rPr>
          <w:rFonts w:asciiTheme="majorHAnsi" w:hAnsiTheme="majorHAnsi"/>
        </w:rPr>
        <w:t>, Liebler-Tenorio, E</w:t>
      </w:r>
      <w:r>
        <w:rPr>
          <w:rFonts w:asciiTheme="majorHAnsi" w:hAnsiTheme="majorHAnsi"/>
        </w:rPr>
        <w:t>.</w:t>
      </w:r>
      <w:r w:rsidRPr="004C2F56">
        <w:rPr>
          <w:rFonts w:asciiTheme="majorHAnsi" w:hAnsiTheme="majorHAnsi"/>
        </w:rPr>
        <w:t>, Schmoock, G</w:t>
      </w:r>
      <w:r>
        <w:rPr>
          <w:rFonts w:asciiTheme="majorHAnsi" w:hAnsiTheme="majorHAnsi"/>
        </w:rPr>
        <w:t>.</w:t>
      </w:r>
      <w:r w:rsidRPr="004C2F56">
        <w:rPr>
          <w:rFonts w:asciiTheme="majorHAnsi" w:hAnsiTheme="majorHAnsi"/>
        </w:rPr>
        <w:t>, Wohlsein, P</w:t>
      </w:r>
      <w:r>
        <w:rPr>
          <w:rFonts w:asciiTheme="majorHAnsi" w:hAnsiTheme="majorHAnsi"/>
        </w:rPr>
        <w:t>.</w:t>
      </w:r>
      <w:r w:rsidRPr="004C2F56">
        <w:rPr>
          <w:rFonts w:asciiTheme="majorHAnsi" w:hAnsiTheme="majorHAnsi"/>
        </w:rPr>
        <w:t>, Tinschmann, O</w:t>
      </w:r>
      <w:r>
        <w:rPr>
          <w:rFonts w:asciiTheme="majorHAnsi" w:hAnsiTheme="majorHAnsi"/>
        </w:rPr>
        <w:t>.</w:t>
      </w:r>
      <w:r w:rsidRPr="004C2F56">
        <w:rPr>
          <w:rFonts w:asciiTheme="majorHAnsi" w:hAnsiTheme="majorHAnsi"/>
        </w:rPr>
        <w:t>, Lange, E</w:t>
      </w:r>
      <w:r>
        <w:rPr>
          <w:rFonts w:asciiTheme="majorHAnsi" w:hAnsiTheme="majorHAnsi"/>
        </w:rPr>
        <w:t>.</w:t>
      </w:r>
      <w:r w:rsidRPr="004C2F56">
        <w:rPr>
          <w:rFonts w:asciiTheme="majorHAnsi" w:hAnsiTheme="majorHAnsi"/>
        </w:rPr>
        <w:t>, Kaden, V</w:t>
      </w:r>
      <w:r>
        <w:rPr>
          <w:rFonts w:asciiTheme="majorHAnsi" w:hAnsiTheme="majorHAnsi"/>
        </w:rPr>
        <w:t>.</w:t>
      </w:r>
      <w:r w:rsidRPr="004C2F56">
        <w:rPr>
          <w:rFonts w:asciiTheme="majorHAnsi" w:hAnsiTheme="majorHAnsi"/>
        </w:rPr>
        <w:t>, Klopfleisch</w:t>
      </w:r>
      <w:r w:rsidRPr="00B174A0">
        <w:rPr>
          <w:rFonts w:asciiTheme="majorHAnsi" w:hAnsiTheme="majorHAnsi"/>
        </w:rPr>
        <w:t>, R</w:t>
      </w:r>
      <w:r>
        <w:rPr>
          <w:rFonts w:asciiTheme="majorHAnsi" w:hAnsiTheme="majorHAnsi"/>
        </w:rPr>
        <w:t>.</w:t>
      </w:r>
      <w:r w:rsidRPr="00B174A0">
        <w:rPr>
          <w:rFonts w:asciiTheme="majorHAnsi" w:hAnsiTheme="majorHAnsi"/>
        </w:rPr>
        <w:t>, Melzer, F</w:t>
      </w:r>
      <w:r>
        <w:rPr>
          <w:rFonts w:asciiTheme="majorHAnsi" w:hAnsiTheme="majorHAnsi"/>
        </w:rPr>
        <w:t>.</w:t>
      </w:r>
      <w:r w:rsidRPr="00B174A0">
        <w:rPr>
          <w:rFonts w:asciiTheme="majorHAnsi" w:hAnsiTheme="majorHAnsi"/>
        </w:rPr>
        <w:t>, Rassback, A</w:t>
      </w:r>
      <w:r>
        <w:rPr>
          <w:rFonts w:asciiTheme="majorHAnsi" w:hAnsiTheme="majorHAnsi"/>
        </w:rPr>
        <w:t>.</w:t>
      </w:r>
      <w:r w:rsidRPr="00B174A0">
        <w:rPr>
          <w:rFonts w:asciiTheme="majorHAnsi" w:hAnsiTheme="majorHAnsi"/>
        </w:rPr>
        <w:t xml:space="preserve"> &amp; Neubauer, H</w:t>
      </w:r>
      <w:r>
        <w:rPr>
          <w:rFonts w:asciiTheme="majorHAnsi" w:hAnsiTheme="majorHAnsi"/>
        </w:rPr>
        <w:t xml:space="preserve">. 2009. </w:t>
      </w:r>
      <w:hyperlink r:id="rId36" w:history="1">
        <w:r w:rsidRPr="00B174A0">
          <w:rPr>
            <w:rStyle w:val="Hyperlink"/>
            <w:rFonts w:asciiTheme="majorHAnsi" w:hAnsiTheme="majorHAnsi"/>
          </w:rPr>
          <w:t>Burkholderia mallei infection in a horse imported from Brazil</w:t>
        </w:r>
      </w:hyperlink>
      <w:r w:rsidRPr="00B174A0">
        <w:rPr>
          <w:rFonts w:asciiTheme="majorHAnsi" w:hAnsiTheme="majorHAnsi"/>
        </w:rPr>
        <w:t xml:space="preserve">, </w:t>
      </w:r>
      <w:r w:rsidR="00FA359D">
        <w:rPr>
          <w:rFonts w:asciiTheme="majorHAnsi" w:hAnsiTheme="majorHAnsi"/>
          <w:i/>
        </w:rPr>
        <w:t>Equine</w:t>
      </w:r>
      <w:r w:rsidR="00FA359D" w:rsidRPr="00B174A0">
        <w:rPr>
          <w:rFonts w:asciiTheme="majorHAnsi" w:hAnsiTheme="majorHAnsi"/>
          <w:i/>
        </w:rPr>
        <w:t xml:space="preserve"> </w:t>
      </w:r>
      <w:r w:rsidRPr="00B174A0">
        <w:rPr>
          <w:rFonts w:asciiTheme="majorHAnsi" w:hAnsiTheme="majorHAnsi"/>
          <w:i/>
        </w:rPr>
        <w:t>Veterinary Education</w:t>
      </w:r>
      <w:r w:rsidRPr="00B174A0">
        <w:rPr>
          <w:rFonts w:asciiTheme="majorHAnsi" w:hAnsiTheme="majorHAnsi"/>
        </w:rPr>
        <w:t xml:space="preserve">, vol. 21, no. 3, pp. 147-50, DOI: </w:t>
      </w:r>
      <w:r w:rsidRPr="00B174A0">
        <w:rPr>
          <w:rFonts w:asciiTheme="majorHAnsi" w:eastAsia="Cambria" w:hAnsiTheme="majorHAnsi" w:cs="Segoe UI"/>
          <w:lang w:eastAsia="en-AU"/>
        </w:rPr>
        <w:t>10.2746/095777309x401071, accessed 12 May 2020</w:t>
      </w:r>
      <w:r>
        <w:rPr>
          <w:rFonts w:asciiTheme="majorHAnsi" w:eastAsia="Cambria" w:hAnsiTheme="majorHAnsi" w:cs="Segoe UI"/>
          <w:lang w:eastAsia="en-AU"/>
        </w:rPr>
        <w:t>.</w:t>
      </w:r>
    </w:p>
    <w:p w14:paraId="5AEF9DAC" w14:textId="77777777" w:rsidR="00B174A0" w:rsidRDefault="00B174A0" w:rsidP="00C074B6">
      <w:pPr>
        <w:pStyle w:val="EndNoteBibliography"/>
        <w:spacing w:after="0"/>
        <w:rPr>
          <w:rFonts w:asciiTheme="majorHAnsi" w:eastAsia="Cambria" w:hAnsiTheme="majorHAnsi" w:cs="Segoe UI"/>
          <w:lang w:eastAsia="en-AU"/>
        </w:rPr>
      </w:pPr>
    </w:p>
    <w:p w14:paraId="3580A608" w14:textId="5EC91CDC" w:rsidR="00B174A0" w:rsidRDefault="00B174A0" w:rsidP="00C074B6">
      <w:pPr>
        <w:pStyle w:val="EndNoteBibliography"/>
        <w:spacing w:after="0"/>
        <w:rPr>
          <w:rFonts w:asciiTheme="majorHAnsi" w:eastAsia="Cambria" w:hAnsiTheme="majorHAnsi" w:cs="Segoe UI"/>
          <w:lang w:eastAsia="en-AU"/>
        </w:rPr>
      </w:pPr>
      <w:r w:rsidRPr="004C2F56">
        <w:rPr>
          <w:rFonts w:asciiTheme="majorHAnsi" w:hAnsiTheme="majorHAnsi"/>
        </w:rPr>
        <w:t>Elschner, M</w:t>
      </w:r>
      <w:r>
        <w:rPr>
          <w:rFonts w:asciiTheme="majorHAnsi" w:hAnsiTheme="majorHAnsi"/>
        </w:rPr>
        <w:t>.</w:t>
      </w:r>
      <w:r w:rsidRPr="004C2F56">
        <w:rPr>
          <w:rFonts w:asciiTheme="majorHAnsi" w:hAnsiTheme="majorHAnsi"/>
        </w:rPr>
        <w:t xml:space="preserve">, </w:t>
      </w:r>
      <w:r w:rsidRPr="00B174A0">
        <w:rPr>
          <w:rFonts w:asciiTheme="majorHAnsi" w:hAnsiTheme="majorHAnsi"/>
        </w:rPr>
        <w:t xml:space="preserve">Laroucau, K., Singha, H., Tripathi, B., Saqib, M., Gardner, I., Saini, S., Kumar, S., El-Adawy, H., Melzer, F., Khan, I., Malik, P., Sauter-Louis, C. &amp; Neubauer, H. 2019. </w:t>
      </w:r>
      <w:hyperlink r:id="rId37" w:history="1">
        <w:r w:rsidRPr="00B174A0">
          <w:rPr>
            <w:rStyle w:val="Hyperlink"/>
            <w:rFonts w:asciiTheme="majorHAnsi" w:hAnsiTheme="majorHAnsi"/>
          </w:rPr>
          <w:t>Evaluation of the comparative accuracy of the complement fixation test, Western blot and five enzyme-linked immunosorbent assays for serodiagnosis of glanders</w:t>
        </w:r>
      </w:hyperlink>
      <w:r w:rsidRPr="00B174A0">
        <w:rPr>
          <w:rFonts w:asciiTheme="majorHAnsi" w:hAnsiTheme="majorHAnsi"/>
        </w:rPr>
        <w:t xml:space="preserve">, </w:t>
      </w:r>
      <w:r w:rsidRPr="00B174A0">
        <w:rPr>
          <w:rFonts w:asciiTheme="majorHAnsi" w:hAnsiTheme="majorHAnsi"/>
          <w:i/>
        </w:rPr>
        <w:t>PLOS ONE</w:t>
      </w:r>
      <w:r w:rsidRPr="00B174A0">
        <w:rPr>
          <w:rFonts w:asciiTheme="majorHAnsi" w:hAnsiTheme="majorHAnsi"/>
        </w:rPr>
        <w:t xml:space="preserve">, vol. 14, no. 4, DOI: </w:t>
      </w:r>
      <w:r w:rsidRPr="00B174A0">
        <w:rPr>
          <w:rFonts w:asciiTheme="majorHAnsi" w:eastAsia="Cambria" w:hAnsiTheme="majorHAnsi" w:cs="Segoe UI"/>
          <w:lang w:eastAsia="en-AU"/>
        </w:rPr>
        <w:t>10.1371/journal.pone.0214963, accessed 18 May 2020.</w:t>
      </w:r>
    </w:p>
    <w:p w14:paraId="7EB576A7" w14:textId="77777777" w:rsidR="00B174A0" w:rsidRDefault="00B174A0" w:rsidP="00C074B6">
      <w:pPr>
        <w:pStyle w:val="EndNoteBibliography"/>
        <w:spacing w:after="0"/>
        <w:rPr>
          <w:rFonts w:asciiTheme="majorHAnsi" w:eastAsia="Cambria" w:hAnsiTheme="majorHAnsi" w:cs="Segoe UI"/>
          <w:lang w:eastAsia="en-AU"/>
        </w:rPr>
      </w:pPr>
    </w:p>
    <w:p w14:paraId="1295F056" w14:textId="3185465A" w:rsidR="00B174A0" w:rsidRDefault="00B174A0" w:rsidP="00C074B6">
      <w:pPr>
        <w:pStyle w:val="EndNoteBibliography"/>
        <w:spacing w:after="0"/>
        <w:rPr>
          <w:rFonts w:asciiTheme="majorHAnsi" w:eastAsia="Cambria" w:hAnsiTheme="majorHAnsi" w:cs="Segoe UI"/>
          <w:lang w:eastAsia="en-AU"/>
        </w:rPr>
      </w:pPr>
      <w:r w:rsidRPr="004C2F56">
        <w:rPr>
          <w:rFonts w:asciiTheme="majorHAnsi" w:hAnsiTheme="majorHAnsi"/>
        </w:rPr>
        <w:t>Elschner, M</w:t>
      </w:r>
      <w:r>
        <w:rPr>
          <w:rFonts w:asciiTheme="majorHAnsi" w:hAnsiTheme="majorHAnsi"/>
        </w:rPr>
        <w:t>.</w:t>
      </w:r>
      <w:r w:rsidRPr="004C2F56">
        <w:rPr>
          <w:rFonts w:asciiTheme="majorHAnsi" w:hAnsiTheme="majorHAnsi"/>
        </w:rPr>
        <w:t>, Scholz, H</w:t>
      </w:r>
      <w:r>
        <w:rPr>
          <w:rFonts w:asciiTheme="majorHAnsi" w:hAnsiTheme="majorHAnsi"/>
        </w:rPr>
        <w:t>.</w:t>
      </w:r>
      <w:r w:rsidRPr="004C2F56">
        <w:rPr>
          <w:rFonts w:asciiTheme="majorHAnsi" w:hAnsiTheme="majorHAnsi"/>
        </w:rPr>
        <w:t>, Melzer, F</w:t>
      </w:r>
      <w:r>
        <w:rPr>
          <w:rFonts w:asciiTheme="majorHAnsi" w:hAnsiTheme="majorHAnsi"/>
        </w:rPr>
        <w:t>.</w:t>
      </w:r>
      <w:r w:rsidRPr="004C2F56">
        <w:rPr>
          <w:rFonts w:asciiTheme="majorHAnsi" w:hAnsiTheme="majorHAnsi"/>
        </w:rPr>
        <w:t>, Saqib, M</w:t>
      </w:r>
      <w:r>
        <w:rPr>
          <w:rFonts w:asciiTheme="majorHAnsi" w:hAnsiTheme="majorHAnsi"/>
        </w:rPr>
        <w:t>.</w:t>
      </w:r>
      <w:r w:rsidRPr="004C2F56">
        <w:rPr>
          <w:rFonts w:asciiTheme="majorHAnsi" w:hAnsiTheme="majorHAnsi"/>
        </w:rPr>
        <w:t>, Marten, P</w:t>
      </w:r>
      <w:r>
        <w:rPr>
          <w:rFonts w:asciiTheme="majorHAnsi" w:hAnsiTheme="majorHAnsi"/>
        </w:rPr>
        <w:t>.</w:t>
      </w:r>
      <w:r w:rsidRPr="004C2F56">
        <w:rPr>
          <w:rFonts w:asciiTheme="majorHAnsi" w:hAnsiTheme="majorHAnsi"/>
        </w:rPr>
        <w:t>, Rassbach, A</w:t>
      </w:r>
      <w:r>
        <w:rPr>
          <w:rFonts w:asciiTheme="majorHAnsi" w:hAnsiTheme="majorHAnsi"/>
        </w:rPr>
        <w:t>.</w:t>
      </w:r>
      <w:r w:rsidRPr="004C2F56">
        <w:rPr>
          <w:rFonts w:asciiTheme="majorHAnsi" w:hAnsiTheme="majorHAnsi"/>
        </w:rPr>
        <w:t>, Dietzsch, M</w:t>
      </w:r>
      <w:r>
        <w:rPr>
          <w:rFonts w:asciiTheme="majorHAnsi" w:hAnsiTheme="majorHAnsi"/>
        </w:rPr>
        <w:t>.</w:t>
      </w:r>
      <w:r w:rsidRPr="004C2F56">
        <w:rPr>
          <w:rFonts w:asciiTheme="majorHAnsi" w:hAnsiTheme="majorHAnsi"/>
        </w:rPr>
        <w:t>, Schmoock, G</w:t>
      </w:r>
      <w:r>
        <w:rPr>
          <w:rFonts w:asciiTheme="majorHAnsi" w:hAnsiTheme="majorHAnsi"/>
        </w:rPr>
        <w:t>.</w:t>
      </w:r>
      <w:r w:rsidRPr="004C2F56">
        <w:rPr>
          <w:rFonts w:asciiTheme="majorHAnsi" w:hAnsiTheme="majorHAnsi"/>
        </w:rPr>
        <w:t>, de Assis Santana, V</w:t>
      </w:r>
      <w:r>
        <w:rPr>
          <w:rFonts w:asciiTheme="majorHAnsi" w:hAnsiTheme="majorHAnsi"/>
        </w:rPr>
        <w:t>.</w:t>
      </w:r>
      <w:r w:rsidRPr="004C2F56">
        <w:rPr>
          <w:rFonts w:asciiTheme="majorHAnsi" w:hAnsiTheme="majorHAnsi"/>
        </w:rPr>
        <w:t>, de Souza, M</w:t>
      </w:r>
      <w:r>
        <w:rPr>
          <w:rFonts w:asciiTheme="majorHAnsi" w:hAnsiTheme="majorHAnsi"/>
        </w:rPr>
        <w:t>.</w:t>
      </w:r>
      <w:r w:rsidRPr="004C2F56">
        <w:rPr>
          <w:rFonts w:asciiTheme="majorHAnsi" w:hAnsiTheme="majorHAnsi"/>
        </w:rPr>
        <w:t>, Wernery, R</w:t>
      </w:r>
      <w:r>
        <w:rPr>
          <w:rFonts w:asciiTheme="majorHAnsi" w:hAnsiTheme="majorHAnsi"/>
        </w:rPr>
        <w:t>.</w:t>
      </w:r>
      <w:r w:rsidRPr="004C2F56">
        <w:rPr>
          <w:rFonts w:asciiTheme="majorHAnsi" w:hAnsiTheme="majorHAnsi"/>
        </w:rPr>
        <w:t>, Wernery, U</w:t>
      </w:r>
      <w:r>
        <w:rPr>
          <w:rFonts w:asciiTheme="majorHAnsi" w:hAnsiTheme="majorHAnsi"/>
        </w:rPr>
        <w:t>.</w:t>
      </w:r>
      <w:r w:rsidRPr="004C2F56">
        <w:rPr>
          <w:rFonts w:asciiTheme="majorHAnsi" w:hAnsiTheme="majorHAnsi"/>
        </w:rPr>
        <w:t xml:space="preserve"> &amp; Neubauer, H</w:t>
      </w:r>
      <w:r>
        <w:rPr>
          <w:rFonts w:asciiTheme="majorHAnsi" w:hAnsiTheme="majorHAnsi"/>
        </w:rPr>
        <w:t xml:space="preserve">. 2011. </w:t>
      </w:r>
      <w:hyperlink r:id="rId38" w:history="1">
        <w:r w:rsidRPr="00B174A0">
          <w:rPr>
            <w:rStyle w:val="Hyperlink"/>
            <w:rFonts w:asciiTheme="majorHAnsi" w:hAnsiTheme="majorHAnsi"/>
          </w:rPr>
          <w:t>Use of a Western blot technique for the serodiagnosis of glanders</w:t>
        </w:r>
      </w:hyperlink>
      <w:r w:rsidRPr="00B174A0">
        <w:rPr>
          <w:rFonts w:asciiTheme="majorHAnsi" w:hAnsiTheme="majorHAnsi"/>
        </w:rPr>
        <w:t xml:space="preserve"> (in eng), </w:t>
      </w:r>
      <w:r w:rsidRPr="00B174A0">
        <w:rPr>
          <w:rFonts w:asciiTheme="majorHAnsi" w:hAnsiTheme="majorHAnsi"/>
          <w:i/>
        </w:rPr>
        <w:t>BioMed Central Veterinary Research</w:t>
      </w:r>
      <w:r w:rsidRPr="00B174A0">
        <w:rPr>
          <w:rFonts w:asciiTheme="majorHAnsi" w:hAnsiTheme="majorHAnsi"/>
        </w:rPr>
        <w:t xml:space="preserve">, vol. 7, p. 4-12, DOI: </w:t>
      </w:r>
      <w:r w:rsidRPr="00B174A0">
        <w:rPr>
          <w:rFonts w:asciiTheme="majorHAnsi" w:eastAsia="Cambria" w:hAnsiTheme="majorHAnsi" w:cs="Segoe UI"/>
          <w:lang w:eastAsia="en-AU"/>
        </w:rPr>
        <w:t>10.1186/1746-6148-7-4, accessed 19 May 2020.</w:t>
      </w:r>
    </w:p>
    <w:p w14:paraId="75BDFFC4" w14:textId="77777777" w:rsidR="004A0AFE" w:rsidRDefault="004A0AFE" w:rsidP="00C074B6">
      <w:pPr>
        <w:pStyle w:val="EndNoteBibliography"/>
        <w:spacing w:after="0"/>
        <w:rPr>
          <w:rFonts w:asciiTheme="majorHAnsi" w:eastAsia="Cambria" w:hAnsiTheme="majorHAnsi" w:cs="Segoe UI"/>
          <w:lang w:eastAsia="en-AU"/>
        </w:rPr>
      </w:pPr>
    </w:p>
    <w:p w14:paraId="597C9C4D" w14:textId="5FC1A474" w:rsidR="004A0AFE" w:rsidRPr="00906B0F" w:rsidRDefault="004A0AFE" w:rsidP="00C074B6">
      <w:pPr>
        <w:pStyle w:val="EndNoteBibliography"/>
        <w:spacing w:after="0"/>
        <w:rPr>
          <w:rFonts w:asciiTheme="majorHAnsi" w:hAnsiTheme="majorHAnsi"/>
        </w:rPr>
      </w:pPr>
      <w:r w:rsidRPr="00906B0F">
        <w:rPr>
          <w:rFonts w:asciiTheme="majorHAnsi" w:hAnsiTheme="majorHAnsi"/>
        </w:rPr>
        <w:lastRenderedPageBreak/>
        <w:t xml:space="preserve">European Commission. 2009. Final report of a mission carried out in Mauritius from 24 March to 2 April 2009 in order to evaluate the animal health controls in place for </w:t>
      </w:r>
      <w:r w:rsidR="00896A8A">
        <w:rPr>
          <w:rFonts w:asciiTheme="majorHAnsi" w:hAnsiTheme="majorHAnsi"/>
        </w:rPr>
        <w:t>horse</w:t>
      </w:r>
      <w:r w:rsidR="002162E3">
        <w:rPr>
          <w:rFonts w:asciiTheme="majorHAnsi" w:hAnsiTheme="majorHAnsi"/>
        </w:rPr>
        <w:t>s</w:t>
      </w:r>
      <w:r w:rsidRPr="00906B0F">
        <w:rPr>
          <w:rFonts w:asciiTheme="majorHAnsi" w:hAnsiTheme="majorHAnsi"/>
        </w:rPr>
        <w:t xml:space="preserve"> destined for export to the European Union, European Commission, Brussels, accessed 18 May 2020.</w:t>
      </w:r>
    </w:p>
    <w:p w14:paraId="3B6E25B0" w14:textId="77777777" w:rsidR="004A0AFE" w:rsidRPr="00906B0F" w:rsidRDefault="004A0AFE" w:rsidP="00C074B6">
      <w:pPr>
        <w:pStyle w:val="EndNoteBibliography"/>
        <w:spacing w:after="0"/>
        <w:rPr>
          <w:rFonts w:asciiTheme="majorHAnsi" w:hAnsiTheme="majorHAnsi"/>
        </w:rPr>
      </w:pPr>
    </w:p>
    <w:p w14:paraId="1509FDB0" w14:textId="283033E7" w:rsidR="004A0AFE" w:rsidRDefault="004A0AFE" w:rsidP="00C074B6">
      <w:pPr>
        <w:pStyle w:val="EndNoteBibliography"/>
        <w:spacing w:after="0"/>
        <w:rPr>
          <w:rFonts w:asciiTheme="majorHAnsi" w:hAnsiTheme="majorHAnsi"/>
        </w:rPr>
      </w:pPr>
      <w:r w:rsidRPr="00906B0F">
        <w:rPr>
          <w:rFonts w:asciiTheme="majorHAnsi" w:hAnsiTheme="majorHAnsi"/>
        </w:rPr>
        <w:t xml:space="preserve">European Commission. 2013. Final report of an audit carried out in South Africa from 20 to 29 May 2013 in order to evaluate the animal health controls in place in relation to export of </w:t>
      </w:r>
      <w:r w:rsidR="00896A8A">
        <w:rPr>
          <w:rFonts w:asciiTheme="majorHAnsi" w:hAnsiTheme="majorHAnsi"/>
        </w:rPr>
        <w:t>horse</w:t>
      </w:r>
      <w:r w:rsidR="002162E3">
        <w:rPr>
          <w:rFonts w:asciiTheme="majorHAnsi" w:hAnsiTheme="majorHAnsi"/>
        </w:rPr>
        <w:t>s</w:t>
      </w:r>
      <w:r w:rsidRPr="00906B0F">
        <w:rPr>
          <w:rFonts w:asciiTheme="majorHAnsi" w:hAnsiTheme="majorHAnsi"/>
        </w:rPr>
        <w:t xml:space="preserve"> to the EU, with particular reference to African horse sickness, European Commission, Brussels, accessed</w:t>
      </w:r>
      <w:r w:rsidR="00906B0F" w:rsidRPr="00906B0F">
        <w:rPr>
          <w:rFonts w:asciiTheme="majorHAnsi" w:hAnsiTheme="majorHAnsi"/>
        </w:rPr>
        <w:t xml:space="preserve"> </w:t>
      </w:r>
      <w:r w:rsidRPr="00906B0F">
        <w:rPr>
          <w:rFonts w:asciiTheme="majorHAnsi" w:hAnsiTheme="majorHAnsi"/>
        </w:rPr>
        <w:t>18 May 2020.</w:t>
      </w:r>
      <w:r>
        <w:rPr>
          <w:rFonts w:asciiTheme="majorHAnsi" w:hAnsiTheme="majorHAnsi"/>
        </w:rPr>
        <w:t xml:space="preserve"> </w:t>
      </w:r>
    </w:p>
    <w:p w14:paraId="484D5C7A" w14:textId="77777777" w:rsidR="004A0AFE" w:rsidRDefault="004A0AFE" w:rsidP="00C074B6">
      <w:pPr>
        <w:pStyle w:val="EndNoteBibliography"/>
        <w:spacing w:after="0"/>
        <w:rPr>
          <w:rFonts w:asciiTheme="majorHAnsi" w:hAnsiTheme="majorHAnsi"/>
        </w:rPr>
      </w:pPr>
    </w:p>
    <w:p w14:paraId="5AE17CD9" w14:textId="6AD9B455" w:rsidR="004A0AFE" w:rsidRDefault="004A0AFE" w:rsidP="00C074B6">
      <w:pPr>
        <w:pStyle w:val="EndNoteBibliography"/>
        <w:spacing w:after="0"/>
        <w:rPr>
          <w:rFonts w:asciiTheme="majorHAnsi" w:hAnsiTheme="majorHAnsi"/>
        </w:rPr>
      </w:pPr>
      <w:r w:rsidRPr="004C2F56">
        <w:rPr>
          <w:rFonts w:asciiTheme="majorHAnsi" w:hAnsiTheme="majorHAnsi"/>
        </w:rPr>
        <w:t>Filho, M</w:t>
      </w:r>
      <w:r>
        <w:rPr>
          <w:rFonts w:asciiTheme="majorHAnsi" w:hAnsiTheme="majorHAnsi"/>
        </w:rPr>
        <w:t>.</w:t>
      </w:r>
      <w:r w:rsidRPr="004C2F56">
        <w:rPr>
          <w:rFonts w:asciiTheme="majorHAnsi" w:hAnsiTheme="majorHAnsi"/>
        </w:rPr>
        <w:t>, Ramos, R</w:t>
      </w:r>
      <w:r>
        <w:rPr>
          <w:rFonts w:asciiTheme="majorHAnsi" w:hAnsiTheme="majorHAnsi"/>
        </w:rPr>
        <w:t>.</w:t>
      </w:r>
      <w:r w:rsidRPr="004C2F56">
        <w:rPr>
          <w:rFonts w:asciiTheme="majorHAnsi" w:hAnsiTheme="majorHAnsi"/>
        </w:rPr>
        <w:t>, Fonseca, AJ</w:t>
      </w:r>
      <w:r>
        <w:rPr>
          <w:rFonts w:asciiTheme="majorHAnsi" w:hAnsiTheme="majorHAnsi"/>
        </w:rPr>
        <w:t>.</w:t>
      </w:r>
      <w:r w:rsidRPr="004C2F56">
        <w:rPr>
          <w:rFonts w:asciiTheme="majorHAnsi" w:hAnsiTheme="majorHAnsi"/>
        </w:rPr>
        <w:t>, de Lima Orzil, L</w:t>
      </w:r>
      <w:r>
        <w:rPr>
          <w:rFonts w:asciiTheme="majorHAnsi" w:hAnsiTheme="majorHAnsi"/>
        </w:rPr>
        <w:t>.</w:t>
      </w:r>
      <w:r w:rsidRPr="004C2F56">
        <w:rPr>
          <w:rFonts w:asciiTheme="majorHAnsi" w:hAnsiTheme="majorHAnsi"/>
        </w:rPr>
        <w:t>, Sales, M</w:t>
      </w:r>
      <w:r>
        <w:rPr>
          <w:rFonts w:asciiTheme="majorHAnsi" w:hAnsiTheme="majorHAnsi"/>
        </w:rPr>
        <w:t>.</w:t>
      </w:r>
      <w:r w:rsidRPr="004C2F56">
        <w:rPr>
          <w:rFonts w:asciiTheme="majorHAnsi" w:hAnsiTheme="majorHAnsi"/>
        </w:rPr>
        <w:t>, de Assis Santana, V</w:t>
      </w:r>
      <w:r>
        <w:rPr>
          <w:rFonts w:asciiTheme="majorHAnsi" w:hAnsiTheme="majorHAnsi"/>
        </w:rPr>
        <w:t>.</w:t>
      </w:r>
      <w:r w:rsidRPr="004C2F56">
        <w:rPr>
          <w:rFonts w:asciiTheme="majorHAnsi" w:hAnsiTheme="majorHAnsi"/>
        </w:rPr>
        <w:t>, de Souza, M</w:t>
      </w:r>
      <w:r>
        <w:rPr>
          <w:rFonts w:asciiTheme="majorHAnsi" w:hAnsiTheme="majorHAnsi"/>
        </w:rPr>
        <w:t>.</w:t>
      </w:r>
      <w:r w:rsidRPr="004C2F56">
        <w:rPr>
          <w:rFonts w:asciiTheme="majorHAnsi" w:hAnsiTheme="majorHAnsi"/>
        </w:rPr>
        <w:t>, Dos Reis Machado, E</w:t>
      </w:r>
      <w:r>
        <w:rPr>
          <w:rFonts w:asciiTheme="majorHAnsi" w:hAnsiTheme="majorHAnsi"/>
        </w:rPr>
        <w:t>.</w:t>
      </w:r>
      <w:r w:rsidRPr="004C2F56">
        <w:rPr>
          <w:rFonts w:asciiTheme="majorHAnsi" w:hAnsiTheme="majorHAnsi"/>
        </w:rPr>
        <w:t>, Filho, P</w:t>
      </w:r>
      <w:r>
        <w:rPr>
          <w:rFonts w:asciiTheme="majorHAnsi" w:hAnsiTheme="majorHAnsi"/>
        </w:rPr>
        <w:t>.</w:t>
      </w:r>
      <w:r w:rsidRPr="004C2F56">
        <w:rPr>
          <w:rFonts w:asciiTheme="majorHAnsi" w:hAnsiTheme="majorHAnsi"/>
        </w:rPr>
        <w:t>, Leite, R</w:t>
      </w:r>
      <w:r>
        <w:rPr>
          <w:rFonts w:asciiTheme="majorHAnsi" w:hAnsiTheme="majorHAnsi"/>
        </w:rPr>
        <w:t>.</w:t>
      </w:r>
      <w:r w:rsidRPr="004C2F56">
        <w:rPr>
          <w:rFonts w:asciiTheme="majorHAnsi" w:hAnsiTheme="majorHAnsi"/>
        </w:rPr>
        <w:t xml:space="preserve"> &amp; Dos </w:t>
      </w:r>
      <w:r w:rsidRPr="004A0AFE">
        <w:rPr>
          <w:rFonts w:asciiTheme="majorHAnsi" w:hAnsiTheme="majorHAnsi"/>
        </w:rPr>
        <w:t xml:space="preserve">Reis, J. 2012. </w:t>
      </w:r>
      <w:hyperlink r:id="rId39" w:history="1">
        <w:r w:rsidRPr="004A0AFE">
          <w:rPr>
            <w:rStyle w:val="Hyperlink"/>
            <w:rFonts w:asciiTheme="majorHAnsi" w:hAnsiTheme="majorHAnsi"/>
          </w:rPr>
          <w:t xml:space="preserve">Development and validation of a method for purification of mallein for the diagnosis of glanders in </w:t>
        </w:r>
      </w:hyperlink>
      <w:r w:rsidR="002162E3">
        <w:rPr>
          <w:rStyle w:val="Hyperlink"/>
          <w:rFonts w:asciiTheme="majorHAnsi" w:hAnsiTheme="majorHAnsi"/>
        </w:rPr>
        <w:t>equines</w:t>
      </w:r>
      <w:r w:rsidRPr="004A0AFE">
        <w:rPr>
          <w:rFonts w:asciiTheme="majorHAnsi" w:hAnsiTheme="majorHAnsi"/>
        </w:rPr>
        <w:t xml:space="preserve"> (in eng), </w:t>
      </w:r>
      <w:r w:rsidRPr="004A0AFE">
        <w:rPr>
          <w:rFonts w:asciiTheme="majorHAnsi" w:hAnsiTheme="majorHAnsi"/>
          <w:i/>
        </w:rPr>
        <w:t>BioMed central veterinary research</w:t>
      </w:r>
      <w:r w:rsidRPr="004A0AFE">
        <w:rPr>
          <w:rFonts w:asciiTheme="majorHAnsi" w:hAnsiTheme="majorHAnsi"/>
        </w:rPr>
        <w:t xml:space="preserve">, vol. 8, pp. 154-159, DOI: </w:t>
      </w:r>
      <w:r w:rsidRPr="00906B0F">
        <w:rPr>
          <w:rFonts w:asciiTheme="majorHAnsi" w:hAnsiTheme="majorHAnsi" w:cs="Segoe UI"/>
          <w:shd w:val="clear" w:color="auto" w:fill="FFFFFF"/>
        </w:rPr>
        <w:t>10.1186/1746-6148-8-154</w:t>
      </w:r>
      <w:r w:rsidRPr="004A0AFE">
        <w:rPr>
          <w:rFonts w:asciiTheme="majorHAnsi" w:hAnsiTheme="majorHAnsi"/>
        </w:rPr>
        <w:t xml:space="preserve"> , accessed 10 May 2020. </w:t>
      </w:r>
    </w:p>
    <w:p w14:paraId="6F4D926D" w14:textId="77777777" w:rsidR="004A0AFE" w:rsidRDefault="004A0AFE" w:rsidP="00C074B6">
      <w:pPr>
        <w:pStyle w:val="EndNoteBibliography"/>
        <w:spacing w:after="0"/>
        <w:rPr>
          <w:rFonts w:asciiTheme="majorHAnsi" w:hAnsiTheme="majorHAnsi"/>
        </w:rPr>
      </w:pPr>
    </w:p>
    <w:p w14:paraId="0DF75E28" w14:textId="039E4E71" w:rsidR="004A0AFE" w:rsidRDefault="004A0AFE" w:rsidP="00C074B6">
      <w:pPr>
        <w:pStyle w:val="EndNoteBibliography"/>
        <w:spacing w:after="0"/>
        <w:rPr>
          <w:rFonts w:asciiTheme="majorHAnsi" w:hAnsiTheme="majorHAnsi"/>
        </w:rPr>
      </w:pPr>
      <w:r w:rsidRPr="004C2F56">
        <w:rPr>
          <w:rFonts w:asciiTheme="majorHAnsi" w:hAnsiTheme="majorHAnsi"/>
        </w:rPr>
        <w:t>Fonseca-Rodríguez, O</w:t>
      </w:r>
      <w:r>
        <w:rPr>
          <w:rFonts w:asciiTheme="majorHAnsi" w:hAnsiTheme="majorHAnsi"/>
        </w:rPr>
        <w:t>.</w:t>
      </w:r>
      <w:r w:rsidRPr="004C2F56">
        <w:rPr>
          <w:rFonts w:asciiTheme="majorHAnsi" w:hAnsiTheme="majorHAnsi"/>
        </w:rPr>
        <w:t>, Pinheiro Júnior, J</w:t>
      </w:r>
      <w:r>
        <w:rPr>
          <w:rFonts w:asciiTheme="majorHAnsi" w:hAnsiTheme="majorHAnsi"/>
        </w:rPr>
        <w:t>.</w:t>
      </w:r>
      <w:r w:rsidRPr="004C2F56">
        <w:rPr>
          <w:rFonts w:asciiTheme="majorHAnsi" w:hAnsiTheme="majorHAnsi"/>
        </w:rPr>
        <w:t xml:space="preserve"> &amp; Mota, R</w:t>
      </w:r>
      <w:r>
        <w:rPr>
          <w:rFonts w:asciiTheme="majorHAnsi" w:hAnsiTheme="majorHAnsi"/>
        </w:rPr>
        <w:t xml:space="preserve">. 2019. </w:t>
      </w:r>
      <w:hyperlink r:id="rId40" w:history="1">
        <w:r w:rsidRPr="004A0AFE">
          <w:rPr>
            <w:rStyle w:val="Hyperlink"/>
            <w:rFonts w:asciiTheme="majorHAnsi" w:hAnsiTheme="majorHAnsi"/>
          </w:rPr>
          <w:t>Spatiotemporal analysis of glanders in Brazil</w:t>
        </w:r>
      </w:hyperlink>
      <w:r w:rsidRPr="004C2F56">
        <w:rPr>
          <w:rFonts w:asciiTheme="majorHAnsi" w:hAnsiTheme="majorHAnsi"/>
        </w:rPr>
        <w:t xml:space="preserve">, </w:t>
      </w:r>
      <w:r w:rsidRPr="004C2F56">
        <w:rPr>
          <w:rFonts w:asciiTheme="majorHAnsi" w:hAnsiTheme="majorHAnsi"/>
          <w:i/>
        </w:rPr>
        <w:t xml:space="preserve">Journal of </w:t>
      </w:r>
      <w:r w:rsidR="002162E3">
        <w:rPr>
          <w:rFonts w:asciiTheme="majorHAnsi" w:hAnsiTheme="majorHAnsi"/>
          <w:i/>
        </w:rPr>
        <w:t>Equine</w:t>
      </w:r>
      <w:r w:rsidR="002162E3" w:rsidRPr="004C2F56">
        <w:rPr>
          <w:rFonts w:asciiTheme="majorHAnsi" w:hAnsiTheme="majorHAnsi"/>
          <w:i/>
        </w:rPr>
        <w:t xml:space="preserve"> </w:t>
      </w:r>
      <w:r w:rsidRPr="004C2F56">
        <w:rPr>
          <w:rFonts w:asciiTheme="majorHAnsi" w:hAnsiTheme="majorHAnsi"/>
          <w:i/>
        </w:rPr>
        <w:t>Veterinary Science</w:t>
      </w:r>
      <w:r w:rsidRPr="004C2F56">
        <w:rPr>
          <w:rFonts w:asciiTheme="majorHAnsi" w:hAnsiTheme="majorHAnsi"/>
        </w:rPr>
        <w:t>, vol. 78, pp. 14-9</w:t>
      </w:r>
      <w:r>
        <w:rPr>
          <w:rFonts w:asciiTheme="majorHAnsi" w:hAnsiTheme="majorHAnsi"/>
        </w:rPr>
        <w:t xml:space="preserve">, DOI: </w:t>
      </w:r>
      <w:r w:rsidRPr="004A0AFE">
        <w:rPr>
          <w:rFonts w:asciiTheme="majorHAnsi" w:hAnsiTheme="majorHAnsi"/>
        </w:rPr>
        <w:t>10.1016/j.jevs.2019.03.216</w:t>
      </w:r>
      <w:r>
        <w:rPr>
          <w:rFonts w:asciiTheme="majorHAnsi" w:hAnsiTheme="majorHAnsi"/>
        </w:rPr>
        <w:t>, accessed 1 June 2020.</w:t>
      </w:r>
    </w:p>
    <w:p w14:paraId="3C604312" w14:textId="77777777" w:rsidR="004A0AFE" w:rsidRDefault="004A0AFE" w:rsidP="00C074B6">
      <w:pPr>
        <w:pStyle w:val="EndNoteBibliography"/>
        <w:spacing w:after="0"/>
        <w:rPr>
          <w:rFonts w:asciiTheme="majorHAnsi" w:hAnsiTheme="majorHAnsi"/>
        </w:rPr>
      </w:pPr>
    </w:p>
    <w:p w14:paraId="53F9CE53" w14:textId="54579BDB" w:rsidR="004A0AFE" w:rsidRDefault="004A0AFE" w:rsidP="00C074B6">
      <w:pPr>
        <w:pStyle w:val="EndNoteBibliography"/>
        <w:spacing w:after="0"/>
        <w:rPr>
          <w:rFonts w:asciiTheme="majorHAnsi" w:hAnsiTheme="majorHAnsi"/>
        </w:rPr>
      </w:pPr>
      <w:r w:rsidRPr="004C2F56">
        <w:rPr>
          <w:rFonts w:asciiTheme="majorHAnsi" w:hAnsiTheme="majorHAnsi"/>
        </w:rPr>
        <w:t>Galyov, E</w:t>
      </w:r>
      <w:r>
        <w:rPr>
          <w:rFonts w:asciiTheme="majorHAnsi" w:hAnsiTheme="majorHAnsi"/>
        </w:rPr>
        <w:t>.</w:t>
      </w:r>
      <w:r w:rsidRPr="004C2F56">
        <w:rPr>
          <w:rFonts w:asciiTheme="majorHAnsi" w:hAnsiTheme="majorHAnsi"/>
        </w:rPr>
        <w:t>, Brett, P</w:t>
      </w:r>
      <w:r>
        <w:rPr>
          <w:rFonts w:asciiTheme="majorHAnsi" w:hAnsiTheme="majorHAnsi"/>
        </w:rPr>
        <w:t>.</w:t>
      </w:r>
      <w:r w:rsidRPr="004C2F56">
        <w:rPr>
          <w:rFonts w:asciiTheme="majorHAnsi" w:hAnsiTheme="majorHAnsi"/>
        </w:rPr>
        <w:t xml:space="preserve"> &amp; DeShazer, D</w:t>
      </w:r>
      <w:r>
        <w:rPr>
          <w:rFonts w:asciiTheme="majorHAnsi" w:hAnsiTheme="majorHAnsi"/>
        </w:rPr>
        <w:t xml:space="preserve">. 2010. </w:t>
      </w:r>
      <w:hyperlink r:id="rId41" w:anchor=":~:text=Molecular%20Insights%20Into%20Burkholderia%20Pseudomallei%20and%20Burkholderia%20Mallei,can%20cause%20serious%20diseases%20in%20humans%20and%20animals." w:history="1">
        <w:r w:rsidRPr="004A0AFE">
          <w:rPr>
            <w:rStyle w:val="Hyperlink"/>
            <w:rFonts w:asciiTheme="majorHAnsi" w:hAnsiTheme="majorHAnsi"/>
          </w:rPr>
          <w:t>Molecular insights into Burkholderia pseudomallei and Burkholderia mallei pathogenesis</w:t>
        </w:r>
      </w:hyperlink>
      <w:r w:rsidRPr="004C2F56">
        <w:rPr>
          <w:rFonts w:asciiTheme="majorHAnsi" w:hAnsiTheme="majorHAnsi"/>
        </w:rPr>
        <w:t xml:space="preserve"> (in eng), </w:t>
      </w:r>
      <w:r w:rsidRPr="004C2F56">
        <w:rPr>
          <w:rFonts w:asciiTheme="majorHAnsi" w:hAnsiTheme="majorHAnsi"/>
          <w:i/>
        </w:rPr>
        <w:t>Annual review of microbiology</w:t>
      </w:r>
      <w:r w:rsidRPr="004C2F56">
        <w:rPr>
          <w:rFonts w:asciiTheme="majorHAnsi" w:hAnsiTheme="majorHAnsi"/>
        </w:rPr>
        <w:t>, vol. 64, pp. 495-517</w:t>
      </w:r>
      <w:r>
        <w:rPr>
          <w:rFonts w:asciiTheme="majorHAnsi" w:hAnsiTheme="majorHAnsi"/>
        </w:rPr>
        <w:t xml:space="preserve">, DOI: </w:t>
      </w:r>
      <w:r w:rsidRPr="004A0AFE">
        <w:rPr>
          <w:rFonts w:asciiTheme="majorHAnsi" w:hAnsiTheme="majorHAnsi"/>
        </w:rPr>
        <w:t>10.1146/annurev.micro.112408.134030</w:t>
      </w:r>
      <w:r>
        <w:rPr>
          <w:rFonts w:asciiTheme="majorHAnsi" w:hAnsiTheme="majorHAnsi"/>
        </w:rPr>
        <w:t xml:space="preserve">, accessed 29 April 2020. </w:t>
      </w:r>
    </w:p>
    <w:p w14:paraId="400311A0" w14:textId="77777777" w:rsidR="004A0AFE" w:rsidRDefault="004A0AFE" w:rsidP="00C074B6">
      <w:pPr>
        <w:pStyle w:val="EndNoteBibliography"/>
        <w:spacing w:after="0"/>
        <w:rPr>
          <w:rFonts w:asciiTheme="majorHAnsi" w:hAnsiTheme="majorHAnsi"/>
        </w:rPr>
      </w:pPr>
    </w:p>
    <w:p w14:paraId="0C44FD46" w14:textId="3BF1BA95" w:rsidR="004A0AFE" w:rsidRPr="00B41478" w:rsidRDefault="004A0AFE" w:rsidP="004A0AFE">
      <w:pPr>
        <w:pStyle w:val="EndNoteBibliography"/>
        <w:rPr>
          <w:rFonts w:asciiTheme="majorHAnsi" w:hAnsiTheme="majorHAnsi"/>
          <w:iCs/>
        </w:rPr>
      </w:pPr>
      <w:r>
        <w:rPr>
          <w:rFonts w:asciiTheme="majorHAnsi" w:hAnsiTheme="majorHAnsi"/>
        </w:rPr>
        <w:t xml:space="preserve">Gan, Y-H. 2005. </w:t>
      </w:r>
      <w:hyperlink r:id="rId42" w:history="1">
        <w:r w:rsidRPr="004A0AFE">
          <w:rPr>
            <w:rStyle w:val="Hyperlink"/>
            <w:rFonts w:asciiTheme="majorHAnsi" w:hAnsiTheme="majorHAnsi"/>
          </w:rPr>
          <w:t xml:space="preserve">Interaction between </w:t>
        </w:r>
        <w:r w:rsidRPr="004A0AFE">
          <w:rPr>
            <w:rStyle w:val="Hyperlink"/>
            <w:rFonts w:asciiTheme="majorHAnsi" w:hAnsiTheme="majorHAnsi"/>
            <w:i/>
          </w:rPr>
          <w:t xml:space="preserve">Burkholderia pseduomallei </w:t>
        </w:r>
        <w:r w:rsidRPr="004A0AFE">
          <w:rPr>
            <w:rStyle w:val="Hyperlink"/>
            <w:rFonts w:asciiTheme="majorHAnsi" w:hAnsiTheme="majorHAnsi"/>
          </w:rPr>
          <w:t>and the host immune response: sleeping with the enemy?</w:t>
        </w:r>
      </w:hyperlink>
      <w:r w:rsidRPr="004C2F56">
        <w:rPr>
          <w:rFonts w:asciiTheme="majorHAnsi" w:hAnsiTheme="majorHAnsi"/>
        </w:rPr>
        <w:t xml:space="preserve">, </w:t>
      </w:r>
      <w:r w:rsidRPr="004C2F56">
        <w:rPr>
          <w:rFonts w:asciiTheme="majorHAnsi" w:hAnsiTheme="majorHAnsi"/>
          <w:i/>
        </w:rPr>
        <w:t>Journal of Infectious Diseases</w:t>
      </w:r>
      <w:r w:rsidRPr="004C2F56">
        <w:rPr>
          <w:rFonts w:asciiTheme="majorHAnsi" w:hAnsiTheme="majorHAnsi"/>
        </w:rPr>
        <w:t>, vol. 192, pp. 1845-50</w:t>
      </w:r>
      <w:r>
        <w:rPr>
          <w:rFonts w:asciiTheme="majorHAnsi" w:hAnsiTheme="majorHAnsi"/>
        </w:rPr>
        <w:t xml:space="preserve">, DOI: </w:t>
      </w:r>
      <w:r w:rsidRPr="004A0AFE">
        <w:rPr>
          <w:rFonts w:asciiTheme="majorHAnsi" w:hAnsiTheme="majorHAnsi"/>
        </w:rPr>
        <w:t>10.1086/497382</w:t>
      </w:r>
      <w:r>
        <w:rPr>
          <w:rFonts w:asciiTheme="majorHAnsi" w:hAnsiTheme="majorHAnsi"/>
        </w:rPr>
        <w:t>, accessed 1 June 2020</w:t>
      </w:r>
      <w:r w:rsidRPr="004C2F56">
        <w:rPr>
          <w:rFonts w:asciiTheme="majorHAnsi" w:hAnsiTheme="majorHAnsi"/>
        </w:rPr>
        <w:t>.</w:t>
      </w:r>
    </w:p>
    <w:p w14:paraId="50C804A3" w14:textId="7C372F72" w:rsidR="004A0AFE" w:rsidRDefault="004A0AFE" w:rsidP="00C074B6">
      <w:pPr>
        <w:pStyle w:val="EndNoteBibliography"/>
        <w:spacing w:after="0"/>
        <w:rPr>
          <w:rFonts w:asciiTheme="majorHAnsi" w:hAnsiTheme="majorHAnsi"/>
        </w:rPr>
      </w:pPr>
      <w:r>
        <w:rPr>
          <w:rFonts w:asciiTheme="majorHAnsi" w:hAnsiTheme="majorHAnsi"/>
        </w:rPr>
        <w:t xml:space="preserve">Geering, W., Forman, A. &amp; Nunn, M. 1995. </w:t>
      </w:r>
      <w:r w:rsidRPr="004A0AFE">
        <w:rPr>
          <w:rFonts w:asciiTheme="majorHAnsi" w:hAnsiTheme="majorHAnsi"/>
          <w:i/>
        </w:rPr>
        <w:t>Exotic diseases of animals : a field guide for Australian veterinarians</w:t>
      </w:r>
      <w:r>
        <w:rPr>
          <w:rFonts w:asciiTheme="majorHAnsi" w:hAnsiTheme="majorHAnsi"/>
          <w:i/>
        </w:rPr>
        <w:t>,</w:t>
      </w:r>
      <w:r w:rsidRPr="004C2F56">
        <w:rPr>
          <w:rFonts w:asciiTheme="majorHAnsi" w:hAnsiTheme="majorHAnsi"/>
          <w:i/>
        </w:rPr>
        <w:t xml:space="preserve"> </w:t>
      </w:r>
      <w:r w:rsidRPr="004C2F56">
        <w:rPr>
          <w:rFonts w:asciiTheme="majorHAnsi" w:hAnsiTheme="majorHAnsi"/>
        </w:rPr>
        <w:t>Sciences, ABoR (ed), Australian Government Publishing Service, Canberra, Australia</w:t>
      </w:r>
      <w:r>
        <w:rPr>
          <w:rFonts w:asciiTheme="majorHAnsi" w:hAnsiTheme="majorHAnsi"/>
        </w:rPr>
        <w:t>.</w:t>
      </w:r>
    </w:p>
    <w:p w14:paraId="6C241AAD" w14:textId="77777777" w:rsidR="004A0AFE" w:rsidRDefault="004A0AFE" w:rsidP="00C074B6">
      <w:pPr>
        <w:pStyle w:val="EndNoteBibliography"/>
        <w:spacing w:after="0"/>
        <w:rPr>
          <w:rFonts w:asciiTheme="majorHAnsi" w:hAnsiTheme="majorHAnsi"/>
        </w:rPr>
      </w:pPr>
    </w:p>
    <w:p w14:paraId="40205F33" w14:textId="447A59CD" w:rsidR="004A0AFE" w:rsidRDefault="004A0AFE" w:rsidP="00C074B6">
      <w:pPr>
        <w:pStyle w:val="EndNoteBibliography"/>
        <w:spacing w:after="0"/>
        <w:rPr>
          <w:rFonts w:asciiTheme="majorHAnsi" w:hAnsiTheme="majorHAnsi"/>
        </w:rPr>
      </w:pPr>
      <w:r w:rsidRPr="004C2F56">
        <w:rPr>
          <w:rFonts w:asciiTheme="majorHAnsi" w:hAnsiTheme="majorHAnsi"/>
        </w:rPr>
        <w:t>Gordon, J</w:t>
      </w:r>
      <w:r>
        <w:rPr>
          <w:rFonts w:asciiTheme="majorHAnsi" w:hAnsiTheme="majorHAnsi"/>
        </w:rPr>
        <w:t>. 2001.</w:t>
      </w:r>
      <w:r w:rsidRPr="004C2F56">
        <w:rPr>
          <w:rFonts w:asciiTheme="majorHAnsi" w:hAnsiTheme="majorHAnsi"/>
        </w:rPr>
        <w:t xml:space="preserve"> </w:t>
      </w:r>
      <w:r w:rsidRPr="004C2F56">
        <w:rPr>
          <w:rFonts w:asciiTheme="majorHAnsi" w:hAnsiTheme="majorHAnsi"/>
          <w:i/>
        </w:rPr>
        <w:t>The horse industry: contributing to the Australian economy</w:t>
      </w:r>
      <w:r w:rsidRPr="004C2F56">
        <w:rPr>
          <w:rFonts w:asciiTheme="majorHAnsi" w:hAnsiTheme="majorHAnsi"/>
        </w:rPr>
        <w:t>, 1, Rural industries research and development corporation, Canberra, Australia</w:t>
      </w:r>
      <w:r>
        <w:rPr>
          <w:rFonts w:asciiTheme="majorHAnsi" w:hAnsiTheme="majorHAnsi"/>
        </w:rPr>
        <w:t>.</w:t>
      </w:r>
    </w:p>
    <w:p w14:paraId="24D3ED88" w14:textId="77777777" w:rsidR="004A0AFE" w:rsidRDefault="004A0AFE" w:rsidP="00C074B6">
      <w:pPr>
        <w:pStyle w:val="EndNoteBibliography"/>
        <w:spacing w:after="0"/>
        <w:rPr>
          <w:rFonts w:asciiTheme="majorHAnsi" w:hAnsiTheme="majorHAnsi"/>
        </w:rPr>
      </w:pPr>
    </w:p>
    <w:p w14:paraId="714C4EFF" w14:textId="644A2449" w:rsidR="004A0AFE" w:rsidRDefault="004A0AFE" w:rsidP="00C074B6">
      <w:pPr>
        <w:pStyle w:val="EndNoteBibliography"/>
        <w:spacing w:after="0"/>
        <w:rPr>
          <w:rFonts w:asciiTheme="majorHAnsi" w:hAnsiTheme="majorHAnsi"/>
        </w:rPr>
      </w:pPr>
      <w:r w:rsidRPr="00906B0F">
        <w:rPr>
          <w:rFonts w:asciiTheme="majorHAnsi" w:hAnsiTheme="majorHAnsi"/>
        </w:rPr>
        <w:t>Gregory, B. &amp; Waag, D. 2006. Glanders, United States army medical department and centre for health readiness, Texas, USA</w:t>
      </w:r>
      <w:r w:rsidR="00486105" w:rsidRPr="00906B0F">
        <w:rPr>
          <w:rFonts w:asciiTheme="majorHAnsi" w:hAnsiTheme="majorHAnsi"/>
        </w:rPr>
        <w:t>.</w:t>
      </w:r>
    </w:p>
    <w:p w14:paraId="34B03FE7" w14:textId="77777777" w:rsidR="00486105" w:rsidRDefault="00486105" w:rsidP="00C074B6">
      <w:pPr>
        <w:pStyle w:val="EndNoteBibliography"/>
        <w:spacing w:after="0"/>
        <w:rPr>
          <w:rFonts w:asciiTheme="majorHAnsi" w:hAnsiTheme="majorHAnsi"/>
        </w:rPr>
      </w:pPr>
    </w:p>
    <w:p w14:paraId="689054B0" w14:textId="480E9AB7" w:rsidR="00486105" w:rsidRDefault="00486105" w:rsidP="00C074B6">
      <w:pPr>
        <w:pStyle w:val="EndNoteBibliography"/>
        <w:spacing w:after="0"/>
        <w:rPr>
          <w:rFonts w:asciiTheme="majorHAnsi" w:hAnsiTheme="majorHAnsi"/>
        </w:rPr>
      </w:pPr>
      <w:r w:rsidRPr="00486105">
        <w:rPr>
          <w:rFonts w:asciiTheme="majorHAnsi" w:hAnsiTheme="majorHAnsi"/>
        </w:rPr>
        <w:t xml:space="preserve">Hagebock, J. 1993. </w:t>
      </w:r>
      <w:hyperlink r:id="rId43" w:history="1">
        <w:r w:rsidRPr="00486105">
          <w:rPr>
            <w:rStyle w:val="Hyperlink"/>
            <w:rFonts w:asciiTheme="majorHAnsi" w:hAnsiTheme="majorHAnsi"/>
          </w:rPr>
          <w:t>Serological responses to the mallein test for glanders in solipeds</w:t>
        </w:r>
      </w:hyperlink>
      <w:r w:rsidRPr="00486105">
        <w:rPr>
          <w:rFonts w:asciiTheme="majorHAnsi" w:hAnsiTheme="majorHAnsi"/>
        </w:rPr>
        <w:t xml:space="preserve">, </w:t>
      </w:r>
      <w:r w:rsidRPr="00486105">
        <w:rPr>
          <w:rFonts w:asciiTheme="majorHAnsi" w:hAnsiTheme="majorHAnsi"/>
          <w:i/>
        </w:rPr>
        <w:t>Journal of Veterinary Diagnostic Investigations</w:t>
      </w:r>
      <w:r w:rsidRPr="00486105">
        <w:rPr>
          <w:rFonts w:asciiTheme="majorHAnsi" w:hAnsiTheme="majorHAnsi"/>
        </w:rPr>
        <w:t xml:space="preserve">, vol. 5, pp. 99-101, DOI: </w:t>
      </w:r>
      <w:r w:rsidRPr="00906B0F">
        <w:rPr>
          <w:rFonts w:asciiTheme="majorHAnsi" w:hAnsiTheme="majorHAnsi" w:cs="Arial"/>
          <w:sz w:val="21"/>
          <w:szCs w:val="21"/>
          <w:shd w:val="clear" w:color="auto" w:fill="FFFFFF"/>
        </w:rPr>
        <w:t>0.1177/104063879300500121</w:t>
      </w:r>
      <w:r w:rsidRPr="00486105">
        <w:rPr>
          <w:rFonts w:asciiTheme="majorHAnsi" w:hAnsiTheme="majorHAnsi"/>
        </w:rPr>
        <w:t>, accessed 16 June 2020.</w:t>
      </w:r>
    </w:p>
    <w:p w14:paraId="0FC354A9" w14:textId="77777777" w:rsidR="00486105" w:rsidRDefault="00486105" w:rsidP="00C074B6">
      <w:pPr>
        <w:pStyle w:val="EndNoteBibliography"/>
        <w:spacing w:after="0"/>
        <w:rPr>
          <w:rFonts w:asciiTheme="majorHAnsi" w:hAnsiTheme="majorHAnsi"/>
        </w:rPr>
      </w:pPr>
    </w:p>
    <w:p w14:paraId="57B5163F" w14:textId="3724C38B" w:rsidR="00486105" w:rsidRDefault="00486105" w:rsidP="00486105">
      <w:pPr>
        <w:pStyle w:val="EndNoteBibliography"/>
        <w:spacing w:after="0"/>
        <w:rPr>
          <w:rFonts w:asciiTheme="majorHAnsi" w:hAnsiTheme="majorHAnsi"/>
        </w:rPr>
      </w:pPr>
      <w:r>
        <w:rPr>
          <w:rFonts w:asciiTheme="majorHAnsi" w:hAnsiTheme="majorHAnsi"/>
        </w:rPr>
        <w:t xml:space="preserve">Hungerford, T. 2007. </w:t>
      </w:r>
      <w:r w:rsidRPr="004C2F56">
        <w:rPr>
          <w:rFonts w:asciiTheme="majorHAnsi" w:hAnsiTheme="majorHAnsi"/>
          <w:i/>
        </w:rPr>
        <w:t>Hungerford's Diseases of Livestock</w:t>
      </w:r>
      <w:r>
        <w:rPr>
          <w:rFonts w:asciiTheme="majorHAnsi" w:hAnsiTheme="majorHAnsi"/>
        </w:rPr>
        <w:t xml:space="preserve">, 9 edition, </w:t>
      </w:r>
      <w:r w:rsidRPr="004C2F56">
        <w:rPr>
          <w:rFonts w:asciiTheme="majorHAnsi" w:hAnsiTheme="majorHAnsi"/>
        </w:rPr>
        <w:t>McGraw-Hill Book Company, North Ryde, Australia.</w:t>
      </w:r>
    </w:p>
    <w:p w14:paraId="59235829" w14:textId="77777777" w:rsidR="00486105" w:rsidRPr="004C2F56" w:rsidRDefault="00486105" w:rsidP="00486105">
      <w:pPr>
        <w:pStyle w:val="EndNoteBibliography"/>
        <w:spacing w:after="0"/>
        <w:rPr>
          <w:rFonts w:asciiTheme="majorHAnsi" w:hAnsiTheme="majorHAnsi"/>
        </w:rPr>
      </w:pPr>
    </w:p>
    <w:p w14:paraId="5393864C" w14:textId="060191B5" w:rsidR="00486105" w:rsidRDefault="00486105" w:rsidP="00C074B6">
      <w:pPr>
        <w:pStyle w:val="EndNoteBibliography"/>
        <w:spacing w:after="0"/>
        <w:rPr>
          <w:rFonts w:asciiTheme="majorHAnsi" w:hAnsiTheme="majorHAnsi"/>
        </w:rPr>
      </w:pPr>
      <w:r w:rsidRPr="004C2F56">
        <w:rPr>
          <w:rFonts w:asciiTheme="majorHAnsi" w:hAnsiTheme="majorHAnsi"/>
        </w:rPr>
        <w:t>Indian Department of Animal Husbandry, Dairying and Fisheries 2016</w:t>
      </w:r>
      <w:r>
        <w:rPr>
          <w:rFonts w:asciiTheme="majorHAnsi" w:hAnsiTheme="majorHAnsi"/>
        </w:rPr>
        <w:t>.</w:t>
      </w:r>
      <w:r w:rsidRPr="004C2F56">
        <w:rPr>
          <w:rFonts w:asciiTheme="majorHAnsi" w:hAnsiTheme="majorHAnsi"/>
        </w:rPr>
        <w:t xml:space="preserve"> </w:t>
      </w:r>
      <w:hyperlink r:id="rId44" w:history="1">
        <w:r w:rsidRPr="00486105">
          <w:rPr>
            <w:rStyle w:val="Hyperlink"/>
            <w:rFonts w:asciiTheme="majorHAnsi" w:hAnsiTheme="majorHAnsi"/>
          </w:rPr>
          <w:t xml:space="preserve">Action plan for control and containment of glanders in </w:t>
        </w:r>
        <w:r w:rsidR="00896A8A">
          <w:rPr>
            <w:rStyle w:val="Hyperlink"/>
            <w:rFonts w:asciiTheme="majorHAnsi" w:hAnsiTheme="majorHAnsi"/>
          </w:rPr>
          <w:t>horse</w:t>
        </w:r>
        <w:r w:rsidRPr="00486105">
          <w:rPr>
            <w:rStyle w:val="Hyperlink"/>
            <w:rFonts w:asciiTheme="majorHAnsi" w:hAnsiTheme="majorHAnsi"/>
          </w:rPr>
          <w:t>s,</w:t>
        </w:r>
      </w:hyperlink>
      <w:r w:rsidRPr="004C2F56">
        <w:rPr>
          <w:rFonts w:asciiTheme="majorHAnsi" w:hAnsiTheme="majorHAnsi"/>
        </w:rPr>
        <w:t xml:space="preserve"> Indian Ministry of Agriculture</w:t>
      </w:r>
      <w:r>
        <w:rPr>
          <w:rFonts w:asciiTheme="majorHAnsi" w:hAnsiTheme="majorHAnsi"/>
        </w:rPr>
        <w:t>, accessed 9 April 2021.</w:t>
      </w:r>
    </w:p>
    <w:p w14:paraId="266BCA84" w14:textId="77777777" w:rsidR="00486105" w:rsidRDefault="00486105" w:rsidP="00C074B6">
      <w:pPr>
        <w:pStyle w:val="EndNoteBibliography"/>
        <w:spacing w:after="0"/>
        <w:rPr>
          <w:rFonts w:asciiTheme="majorHAnsi" w:hAnsiTheme="majorHAnsi"/>
        </w:rPr>
      </w:pPr>
    </w:p>
    <w:p w14:paraId="5653390E" w14:textId="3FAFB350" w:rsidR="00486105" w:rsidRDefault="00486105" w:rsidP="00C074B6">
      <w:pPr>
        <w:pStyle w:val="EndNoteBibliography"/>
        <w:spacing w:after="0"/>
        <w:rPr>
          <w:rFonts w:asciiTheme="majorHAnsi" w:hAnsiTheme="majorHAnsi"/>
        </w:rPr>
      </w:pPr>
      <w:r w:rsidRPr="004C2F56">
        <w:rPr>
          <w:rFonts w:asciiTheme="majorHAnsi" w:hAnsiTheme="majorHAnsi"/>
        </w:rPr>
        <w:t xml:space="preserve">Indian Department of Animal Husbandry and Dairying 2019, </w:t>
      </w:r>
      <w:hyperlink r:id="rId45" w:history="1">
        <w:r w:rsidR="00BB379A" w:rsidRPr="00486105">
          <w:rPr>
            <w:rStyle w:val="Hyperlink"/>
            <w:rFonts w:asciiTheme="majorHAnsi" w:hAnsiTheme="majorHAnsi"/>
          </w:rPr>
          <w:t>National action plan for control and containment of glander</w:t>
        </w:r>
        <w:r w:rsidR="00B62729">
          <w:rPr>
            <w:rStyle w:val="Hyperlink"/>
            <w:rFonts w:asciiTheme="majorHAnsi" w:hAnsiTheme="majorHAnsi"/>
          </w:rPr>
          <w:t>s</w:t>
        </w:r>
        <w:r w:rsidR="00BB379A" w:rsidRPr="00486105">
          <w:rPr>
            <w:rStyle w:val="Hyperlink"/>
            <w:rFonts w:asciiTheme="majorHAnsi" w:hAnsiTheme="majorHAnsi"/>
          </w:rPr>
          <w:t xml:space="preserve"> in </w:t>
        </w:r>
        <w:r w:rsidR="00BB379A">
          <w:rPr>
            <w:rStyle w:val="Hyperlink"/>
            <w:rFonts w:asciiTheme="majorHAnsi" w:hAnsiTheme="majorHAnsi"/>
          </w:rPr>
          <w:t>equines</w:t>
        </w:r>
      </w:hyperlink>
      <w:r w:rsidRPr="004C2F56">
        <w:rPr>
          <w:rFonts w:asciiTheme="majorHAnsi" w:hAnsiTheme="majorHAnsi"/>
        </w:rPr>
        <w:t>, Indian Ministry of Agriculture, India</w:t>
      </w:r>
      <w:r>
        <w:rPr>
          <w:rFonts w:asciiTheme="majorHAnsi" w:hAnsiTheme="majorHAnsi"/>
        </w:rPr>
        <w:t xml:space="preserve">, accessed 9 April 2021. </w:t>
      </w:r>
    </w:p>
    <w:p w14:paraId="51C0AFF1" w14:textId="7BB1EC20" w:rsidR="00486105" w:rsidRDefault="00486105" w:rsidP="008264DF">
      <w:pPr>
        <w:shd w:val="clear" w:color="auto" w:fill="FFFFFF"/>
        <w:spacing w:before="100" w:beforeAutospacing="1" w:after="100" w:afterAutospacing="1" w:line="240" w:lineRule="auto"/>
        <w:rPr>
          <w:rStyle w:val="identifier"/>
          <w:rFonts w:asciiTheme="majorHAnsi" w:hAnsiTheme="majorHAnsi" w:cs="Segoe UI"/>
          <w:color w:val="212121"/>
        </w:rPr>
      </w:pPr>
      <w:r w:rsidRPr="004C2F56">
        <w:rPr>
          <w:rFonts w:asciiTheme="majorHAnsi" w:hAnsiTheme="majorHAnsi"/>
        </w:rPr>
        <w:t>Kettle, A</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 xml:space="preserve">. 2016. </w:t>
      </w:r>
      <w:hyperlink r:id="rId46" w:history="1">
        <w:r w:rsidRPr="008264DF">
          <w:rPr>
            <w:rStyle w:val="Hyperlink"/>
            <w:rFonts w:asciiTheme="majorHAnsi" w:hAnsiTheme="majorHAnsi"/>
          </w:rPr>
          <w:t>Glanders and the risk of introduction through the international movement of horses</w:t>
        </w:r>
      </w:hyperlink>
      <w:r w:rsidRPr="008264DF">
        <w:rPr>
          <w:rFonts w:asciiTheme="majorHAnsi" w:hAnsiTheme="majorHAnsi"/>
        </w:rPr>
        <w:t xml:space="preserve">, </w:t>
      </w:r>
      <w:r w:rsidR="00BB379A">
        <w:rPr>
          <w:rFonts w:asciiTheme="majorHAnsi" w:hAnsiTheme="majorHAnsi"/>
          <w:i/>
        </w:rPr>
        <w:t>Equine</w:t>
      </w:r>
      <w:r w:rsidR="00BB379A" w:rsidRPr="008264DF">
        <w:rPr>
          <w:rFonts w:asciiTheme="majorHAnsi" w:hAnsiTheme="majorHAnsi"/>
          <w:i/>
        </w:rPr>
        <w:t xml:space="preserve"> </w:t>
      </w:r>
      <w:r w:rsidRPr="008264DF">
        <w:rPr>
          <w:rFonts w:asciiTheme="majorHAnsi" w:hAnsiTheme="majorHAnsi"/>
          <w:i/>
        </w:rPr>
        <w:t>Veterinary Journal</w:t>
      </w:r>
      <w:r w:rsidRPr="008264DF">
        <w:rPr>
          <w:rFonts w:asciiTheme="majorHAnsi" w:hAnsiTheme="majorHAnsi"/>
        </w:rPr>
        <w:t xml:space="preserve">, vol. 48, DOI: </w:t>
      </w:r>
      <w:r w:rsidRPr="00906B0F">
        <w:rPr>
          <w:rStyle w:val="identifier"/>
          <w:rFonts w:asciiTheme="majorHAnsi" w:hAnsiTheme="majorHAnsi" w:cs="Segoe UI"/>
          <w:color w:val="212121"/>
        </w:rPr>
        <w:t>10.1111/evj.12599</w:t>
      </w:r>
      <w:r w:rsidRPr="008264DF">
        <w:rPr>
          <w:rStyle w:val="identifier"/>
          <w:rFonts w:asciiTheme="majorHAnsi" w:hAnsiTheme="majorHAnsi" w:cs="Segoe UI"/>
          <w:color w:val="212121"/>
        </w:rPr>
        <w:t xml:space="preserve">, accessed </w:t>
      </w:r>
      <w:r w:rsidR="008264DF" w:rsidRPr="008264DF">
        <w:rPr>
          <w:rStyle w:val="identifier"/>
          <w:rFonts w:asciiTheme="majorHAnsi" w:hAnsiTheme="majorHAnsi" w:cs="Segoe UI"/>
          <w:color w:val="212121"/>
        </w:rPr>
        <w:t>27 July 2020.</w:t>
      </w:r>
    </w:p>
    <w:p w14:paraId="0783A3E9" w14:textId="77777777" w:rsidR="00637AAE" w:rsidRDefault="008264DF" w:rsidP="00637AAE">
      <w:pPr>
        <w:shd w:val="clear" w:color="auto" w:fill="FFFFFF"/>
        <w:spacing w:before="100" w:beforeAutospacing="1" w:after="100" w:afterAutospacing="1" w:line="240" w:lineRule="auto"/>
        <w:rPr>
          <w:rStyle w:val="identifier"/>
          <w:rFonts w:asciiTheme="majorHAnsi" w:eastAsia="Times New Roman" w:hAnsiTheme="majorHAnsi" w:cs="Segoe UI"/>
          <w:color w:val="212121"/>
          <w:sz w:val="24"/>
          <w:szCs w:val="24"/>
          <w:lang w:eastAsia="en-AU"/>
        </w:rPr>
      </w:pPr>
      <w:r w:rsidRPr="004C2F56">
        <w:rPr>
          <w:rFonts w:asciiTheme="majorHAnsi" w:hAnsiTheme="majorHAnsi"/>
        </w:rPr>
        <w:lastRenderedPageBreak/>
        <w:t>Khaki, P</w:t>
      </w:r>
      <w:r>
        <w:rPr>
          <w:rFonts w:asciiTheme="majorHAnsi" w:hAnsiTheme="majorHAnsi"/>
        </w:rPr>
        <w:t>.</w:t>
      </w:r>
      <w:r w:rsidRPr="004C2F56">
        <w:rPr>
          <w:rFonts w:asciiTheme="majorHAnsi" w:hAnsiTheme="majorHAnsi"/>
        </w:rPr>
        <w:t xml:space="preserve">, </w:t>
      </w:r>
      <w:proofErr w:type="spellStart"/>
      <w:r w:rsidRPr="00637AAE">
        <w:rPr>
          <w:rFonts w:asciiTheme="majorHAnsi" w:hAnsiTheme="majorHAnsi"/>
        </w:rPr>
        <w:t>Mosavari</w:t>
      </w:r>
      <w:proofErr w:type="spellEnd"/>
      <w:r w:rsidRPr="00637AAE">
        <w:rPr>
          <w:rFonts w:asciiTheme="majorHAnsi" w:hAnsiTheme="majorHAnsi"/>
        </w:rPr>
        <w:t xml:space="preserve">, N., </w:t>
      </w:r>
      <w:proofErr w:type="spellStart"/>
      <w:r w:rsidRPr="00637AAE">
        <w:rPr>
          <w:rFonts w:asciiTheme="majorHAnsi" w:hAnsiTheme="majorHAnsi"/>
        </w:rPr>
        <w:t>Khajeh</w:t>
      </w:r>
      <w:proofErr w:type="spellEnd"/>
      <w:r w:rsidRPr="00637AAE">
        <w:rPr>
          <w:rFonts w:asciiTheme="majorHAnsi" w:hAnsiTheme="majorHAnsi"/>
        </w:rPr>
        <w:t xml:space="preserve">, N., </w:t>
      </w:r>
      <w:proofErr w:type="spellStart"/>
      <w:r w:rsidRPr="00637AAE">
        <w:rPr>
          <w:rFonts w:asciiTheme="majorHAnsi" w:hAnsiTheme="majorHAnsi"/>
        </w:rPr>
        <w:t>Emam</w:t>
      </w:r>
      <w:proofErr w:type="spellEnd"/>
      <w:r w:rsidRPr="00637AAE">
        <w:rPr>
          <w:rFonts w:asciiTheme="majorHAnsi" w:hAnsiTheme="majorHAnsi"/>
        </w:rPr>
        <w:t xml:space="preserve">, M., </w:t>
      </w:r>
      <w:proofErr w:type="spellStart"/>
      <w:r w:rsidRPr="00637AAE">
        <w:rPr>
          <w:rFonts w:asciiTheme="majorHAnsi" w:hAnsiTheme="majorHAnsi"/>
        </w:rPr>
        <w:t>Ahouran</w:t>
      </w:r>
      <w:proofErr w:type="spellEnd"/>
      <w:r w:rsidRPr="00637AAE">
        <w:rPr>
          <w:rFonts w:asciiTheme="majorHAnsi" w:hAnsiTheme="majorHAnsi"/>
        </w:rPr>
        <w:t xml:space="preserve">, M., Hashemi, S., Taheri, M., </w:t>
      </w:r>
      <w:proofErr w:type="spellStart"/>
      <w:r w:rsidRPr="00637AAE">
        <w:rPr>
          <w:rFonts w:asciiTheme="majorHAnsi" w:hAnsiTheme="majorHAnsi"/>
        </w:rPr>
        <w:t>Jahanpeyma</w:t>
      </w:r>
      <w:proofErr w:type="spellEnd"/>
      <w:r w:rsidRPr="00637AAE">
        <w:rPr>
          <w:rFonts w:asciiTheme="majorHAnsi" w:hAnsiTheme="majorHAnsi"/>
        </w:rPr>
        <w:t xml:space="preserve">, D. &amp; </w:t>
      </w:r>
      <w:proofErr w:type="spellStart"/>
      <w:r w:rsidRPr="00637AAE">
        <w:rPr>
          <w:rFonts w:asciiTheme="majorHAnsi" w:hAnsiTheme="majorHAnsi"/>
        </w:rPr>
        <w:t>Nikkhah</w:t>
      </w:r>
      <w:proofErr w:type="spellEnd"/>
      <w:r w:rsidRPr="00637AAE">
        <w:rPr>
          <w:rFonts w:asciiTheme="majorHAnsi" w:hAnsiTheme="majorHAnsi"/>
        </w:rPr>
        <w:t xml:space="preserve">, S. 2012. </w:t>
      </w:r>
      <w:hyperlink r:id="rId47" w:history="1">
        <w:r w:rsidRPr="00637AAE">
          <w:rPr>
            <w:rStyle w:val="Hyperlink"/>
            <w:rFonts w:asciiTheme="majorHAnsi" w:hAnsiTheme="majorHAnsi"/>
            <w:color w:val="4F81BD" w:themeColor="accent1"/>
          </w:rPr>
          <w:t>Glanders outbreak at Tehran Zoo, Iran</w:t>
        </w:r>
      </w:hyperlink>
      <w:r w:rsidRPr="00637AAE">
        <w:rPr>
          <w:rFonts w:asciiTheme="majorHAnsi" w:hAnsiTheme="majorHAnsi"/>
        </w:rPr>
        <w:t xml:space="preserve">, </w:t>
      </w:r>
      <w:r w:rsidRPr="00637AAE">
        <w:rPr>
          <w:rFonts w:asciiTheme="majorHAnsi" w:hAnsiTheme="majorHAnsi"/>
          <w:i/>
        </w:rPr>
        <w:t>Iranian journal of microbiology</w:t>
      </w:r>
      <w:r w:rsidRPr="00637AAE">
        <w:rPr>
          <w:rFonts w:asciiTheme="majorHAnsi" w:hAnsiTheme="majorHAnsi"/>
        </w:rPr>
        <w:t xml:space="preserve">, vol. 4, no. 1, pp. 3-7, </w:t>
      </w:r>
      <w:r w:rsidR="00637AAE" w:rsidRPr="00637AAE">
        <w:rPr>
          <w:rFonts w:asciiTheme="majorHAnsi" w:hAnsiTheme="majorHAnsi"/>
          <w:shd w:val="clear" w:color="auto" w:fill="FFFFFF"/>
        </w:rPr>
        <w:t>PMCID: PMC3391557</w:t>
      </w:r>
      <w:r w:rsidRPr="00637AAE">
        <w:rPr>
          <w:rFonts w:asciiTheme="majorHAnsi" w:hAnsiTheme="majorHAnsi"/>
        </w:rPr>
        <w:t xml:space="preserve">, accessed </w:t>
      </w:r>
      <w:r w:rsidR="00637AAE" w:rsidRPr="00637AAE">
        <w:rPr>
          <w:rFonts w:asciiTheme="majorHAnsi" w:hAnsiTheme="majorHAnsi"/>
        </w:rPr>
        <w:t>27 July 2020</w:t>
      </w:r>
      <w:r w:rsidR="00637AAE">
        <w:rPr>
          <w:rFonts w:asciiTheme="majorHAnsi" w:hAnsiTheme="majorHAnsi"/>
        </w:rPr>
        <w:t xml:space="preserve">. </w:t>
      </w:r>
    </w:p>
    <w:p w14:paraId="016F06C4" w14:textId="504969A5" w:rsidR="008264DF" w:rsidRPr="00637AAE" w:rsidRDefault="00637AAE" w:rsidP="00637AAE">
      <w:pPr>
        <w:shd w:val="clear" w:color="auto" w:fill="FFFFFF"/>
        <w:spacing w:before="100" w:beforeAutospacing="1" w:after="100" w:afterAutospacing="1" w:line="240" w:lineRule="auto"/>
        <w:rPr>
          <w:rFonts w:asciiTheme="majorHAnsi" w:eastAsia="Times New Roman" w:hAnsiTheme="majorHAnsi" w:cs="Segoe UI"/>
          <w:color w:val="212121"/>
          <w:sz w:val="24"/>
          <w:szCs w:val="24"/>
          <w:lang w:eastAsia="en-AU"/>
        </w:rPr>
      </w:pPr>
      <w:r w:rsidRPr="004C2F56">
        <w:rPr>
          <w:rFonts w:asciiTheme="majorHAnsi" w:hAnsiTheme="majorHAnsi"/>
        </w:rPr>
        <w:t>Khan, I</w:t>
      </w:r>
      <w:r>
        <w:rPr>
          <w:rFonts w:asciiTheme="majorHAnsi" w:hAnsiTheme="majorHAnsi"/>
        </w:rPr>
        <w:t xml:space="preserve">., </w:t>
      </w:r>
      <w:proofErr w:type="spellStart"/>
      <w:r>
        <w:rPr>
          <w:rFonts w:asciiTheme="majorHAnsi" w:hAnsiTheme="majorHAnsi"/>
        </w:rPr>
        <w:t>Wieler</w:t>
      </w:r>
      <w:proofErr w:type="spellEnd"/>
      <w:r>
        <w:rPr>
          <w:rFonts w:asciiTheme="majorHAnsi" w:hAnsiTheme="majorHAnsi"/>
        </w:rPr>
        <w:t>, L.</w:t>
      </w:r>
      <w:r w:rsidRPr="004C2F56">
        <w:rPr>
          <w:rFonts w:asciiTheme="majorHAnsi" w:hAnsiTheme="majorHAnsi"/>
        </w:rPr>
        <w:t>, Melzer, F</w:t>
      </w:r>
      <w:r>
        <w:rPr>
          <w:rFonts w:asciiTheme="majorHAnsi" w:hAnsiTheme="majorHAnsi"/>
        </w:rPr>
        <w:t xml:space="preserve">., </w:t>
      </w:r>
      <w:proofErr w:type="spellStart"/>
      <w:r>
        <w:rPr>
          <w:rFonts w:asciiTheme="majorHAnsi" w:hAnsiTheme="majorHAnsi"/>
        </w:rPr>
        <w:t>Elschner</w:t>
      </w:r>
      <w:proofErr w:type="spellEnd"/>
      <w:r>
        <w:rPr>
          <w:rFonts w:asciiTheme="majorHAnsi" w:hAnsiTheme="majorHAnsi"/>
        </w:rPr>
        <w:t>, M.</w:t>
      </w:r>
      <w:r w:rsidRPr="004C2F56">
        <w:rPr>
          <w:rFonts w:asciiTheme="majorHAnsi" w:hAnsiTheme="majorHAnsi"/>
        </w:rPr>
        <w:t>, Muhammad, G</w:t>
      </w:r>
      <w:r>
        <w:rPr>
          <w:rFonts w:asciiTheme="majorHAnsi" w:hAnsiTheme="majorHAnsi"/>
        </w:rPr>
        <w:t>.</w:t>
      </w:r>
      <w:r w:rsidRPr="004C2F56">
        <w:rPr>
          <w:rFonts w:asciiTheme="majorHAnsi" w:hAnsiTheme="majorHAnsi"/>
        </w:rPr>
        <w:t>, Ali, S</w:t>
      </w:r>
      <w:r>
        <w:rPr>
          <w:rFonts w:asciiTheme="majorHAnsi" w:hAnsiTheme="majorHAnsi"/>
        </w:rPr>
        <w:t>., Sprague, L.</w:t>
      </w:r>
      <w:r w:rsidRPr="004C2F56">
        <w:rPr>
          <w:rFonts w:asciiTheme="majorHAnsi" w:hAnsiTheme="majorHAnsi"/>
        </w:rPr>
        <w:t>, Neubauer, H</w:t>
      </w:r>
      <w:r>
        <w:rPr>
          <w:rFonts w:asciiTheme="majorHAnsi" w:hAnsiTheme="majorHAnsi"/>
        </w:rPr>
        <w:t>.</w:t>
      </w:r>
      <w:r w:rsidRPr="004C2F56">
        <w:rPr>
          <w:rFonts w:asciiTheme="majorHAnsi" w:hAnsiTheme="majorHAnsi"/>
        </w:rPr>
        <w:t xml:space="preserve"> &amp; Saqib, M</w:t>
      </w:r>
      <w:r>
        <w:rPr>
          <w:rFonts w:asciiTheme="majorHAnsi" w:hAnsiTheme="majorHAnsi"/>
        </w:rPr>
        <w:t xml:space="preserve">. </w:t>
      </w:r>
      <w:r w:rsidRPr="00637AAE">
        <w:rPr>
          <w:rFonts w:asciiTheme="majorHAnsi" w:hAnsiTheme="majorHAnsi"/>
        </w:rPr>
        <w:t xml:space="preserve">2012. </w:t>
      </w:r>
      <w:hyperlink r:id="rId48" w:history="1">
        <w:r w:rsidRPr="00637AAE">
          <w:rPr>
            <w:rStyle w:val="Hyperlink"/>
            <w:rFonts w:asciiTheme="majorHAnsi" w:hAnsiTheme="majorHAnsi"/>
          </w:rPr>
          <w:t>Glanders in animals: A review on epidemiology, clinical presentation, diagnosis and countermeasures</w:t>
        </w:r>
      </w:hyperlink>
      <w:r w:rsidRPr="00637AAE">
        <w:rPr>
          <w:rFonts w:asciiTheme="majorHAnsi" w:hAnsiTheme="majorHAnsi"/>
        </w:rPr>
        <w:t xml:space="preserve">, </w:t>
      </w:r>
      <w:r w:rsidRPr="00637AAE">
        <w:rPr>
          <w:rFonts w:asciiTheme="majorHAnsi" w:hAnsiTheme="majorHAnsi"/>
          <w:i/>
        </w:rPr>
        <w:t>Transboundary and Emerging Diseases</w:t>
      </w:r>
      <w:r w:rsidRPr="00637AAE">
        <w:rPr>
          <w:rFonts w:asciiTheme="majorHAnsi" w:hAnsiTheme="majorHAnsi"/>
        </w:rPr>
        <w:t xml:space="preserve">, vol. 60, no. 3, pp. 204-21, DOI: </w:t>
      </w:r>
      <w:r w:rsidRPr="00906B0F">
        <w:rPr>
          <w:rStyle w:val="identifier"/>
          <w:rFonts w:asciiTheme="majorHAnsi" w:hAnsiTheme="majorHAnsi" w:cs="Segoe UI"/>
          <w:color w:val="212121"/>
        </w:rPr>
        <w:t>10.1111/j.1865-1682.</w:t>
      </w:r>
      <w:proofErr w:type="gramStart"/>
      <w:r w:rsidRPr="00906B0F">
        <w:rPr>
          <w:rStyle w:val="identifier"/>
          <w:rFonts w:asciiTheme="majorHAnsi" w:hAnsiTheme="majorHAnsi" w:cs="Segoe UI"/>
          <w:color w:val="212121"/>
        </w:rPr>
        <w:t>2012.01342.x</w:t>
      </w:r>
      <w:proofErr w:type="gramEnd"/>
      <w:r w:rsidRPr="00637AAE">
        <w:rPr>
          <w:rFonts w:asciiTheme="majorHAnsi" w:hAnsiTheme="majorHAnsi"/>
        </w:rPr>
        <w:t>, accessed 27 July 2020</w:t>
      </w:r>
      <w:r>
        <w:rPr>
          <w:rFonts w:asciiTheme="majorHAnsi" w:hAnsiTheme="majorHAnsi"/>
        </w:rPr>
        <w:t>.</w:t>
      </w:r>
    </w:p>
    <w:p w14:paraId="194CE9D2" w14:textId="79BA6F1F" w:rsidR="00637AAE" w:rsidRDefault="00637AAE" w:rsidP="00637AAE">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Kumar, R</w:t>
      </w:r>
      <w:r>
        <w:rPr>
          <w:rFonts w:asciiTheme="majorHAnsi" w:hAnsiTheme="majorHAnsi"/>
        </w:rPr>
        <w:t xml:space="preserve">. 2019. </w:t>
      </w:r>
      <w:hyperlink r:id="rId49" w:history="1">
        <w:r w:rsidRPr="00637AAE">
          <w:rPr>
            <w:rStyle w:val="Hyperlink"/>
            <w:rFonts w:asciiTheme="majorHAnsi" w:hAnsiTheme="majorHAnsi"/>
          </w:rPr>
          <w:t>Ministry's action plan to check glanders disease</w:t>
        </w:r>
      </w:hyperlink>
      <w:r w:rsidRPr="004C2F56">
        <w:rPr>
          <w:rFonts w:asciiTheme="majorHAnsi" w:hAnsiTheme="majorHAnsi"/>
        </w:rPr>
        <w:t xml:space="preserve">, </w:t>
      </w:r>
      <w:r w:rsidRPr="004C2F56">
        <w:rPr>
          <w:rFonts w:asciiTheme="majorHAnsi" w:hAnsiTheme="majorHAnsi"/>
          <w:i/>
        </w:rPr>
        <w:t>The Pioneer</w:t>
      </w:r>
      <w:r w:rsidRPr="004C2F56">
        <w:rPr>
          <w:rFonts w:asciiTheme="majorHAnsi" w:hAnsiTheme="majorHAnsi"/>
        </w:rPr>
        <w:t xml:space="preserve">, </w:t>
      </w:r>
      <w:r>
        <w:rPr>
          <w:rFonts w:asciiTheme="majorHAnsi" w:hAnsiTheme="majorHAnsi"/>
        </w:rPr>
        <w:t xml:space="preserve">accessed </w:t>
      </w:r>
      <w:r w:rsidRPr="004C2F56">
        <w:rPr>
          <w:rFonts w:asciiTheme="majorHAnsi" w:hAnsiTheme="majorHAnsi"/>
        </w:rPr>
        <w:t>29 July</w:t>
      </w:r>
      <w:r>
        <w:rPr>
          <w:rFonts w:asciiTheme="majorHAnsi" w:hAnsiTheme="majorHAnsi"/>
        </w:rPr>
        <w:t xml:space="preserve"> 2020. </w:t>
      </w:r>
    </w:p>
    <w:p w14:paraId="1850F3DC" w14:textId="68D2241D" w:rsidR="00637AAE" w:rsidRDefault="00637AAE" w:rsidP="00637AAE">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Lowe, C</w:t>
      </w:r>
      <w:r>
        <w:rPr>
          <w:rFonts w:asciiTheme="majorHAnsi" w:hAnsiTheme="majorHAnsi"/>
        </w:rPr>
        <w:t>.</w:t>
      </w:r>
      <w:r w:rsidRPr="004C2F56">
        <w:rPr>
          <w:rFonts w:asciiTheme="majorHAnsi" w:hAnsiTheme="majorHAnsi"/>
        </w:rPr>
        <w:t>, Satterfield, B</w:t>
      </w:r>
      <w:r>
        <w:rPr>
          <w:rFonts w:asciiTheme="majorHAnsi" w:hAnsiTheme="majorHAnsi"/>
        </w:rPr>
        <w:t>.</w:t>
      </w:r>
      <w:r w:rsidRPr="004C2F56">
        <w:rPr>
          <w:rFonts w:asciiTheme="majorHAnsi" w:hAnsiTheme="majorHAnsi"/>
        </w:rPr>
        <w:t>, Nelson, D</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Thiriot</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Heder</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March, J</w:t>
      </w:r>
      <w:r>
        <w:rPr>
          <w:rFonts w:asciiTheme="majorHAnsi" w:hAnsiTheme="majorHAnsi"/>
        </w:rPr>
        <w:t>.</w:t>
      </w:r>
      <w:r w:rsidRPr="004C2F56">
        <w:rPr>
          <w:rFonts w:asciiTheme="majorHAnsi" w:hAnsiTheme="majorHAnsi"/>
        </w:rPr>
        <w:t>, Drake, D</w:t>
      </w:r>
      <w:r>
        <w:rPr>
          <w:rFonts w:asciiTheme="majorHAnsi" w:hAnsiTheme="majorHAnsi"/>
        </w:rPr>
        <w:t>.</w:t>
      </w:r>
      <w:r w:rsidRPr="004C2F56">
        <w:rPr>
          <w:rFonts w:asciiTheme="majorHAnsi" w:hAnsiTheme="majorHAnsi"/>
        </w:rPr>
        <w:t>, Lew, C</w:t>
      </w:r>
      <w:r>
        <w:rPr>
          <w:rFonts w:asciiTheme="majorHAnsi" w:hAnsiTheme="majorHAnsi"/>
        </w:rPr>
        <w:t>.</w:t>
      </w:r>
      <w:r w:rsidRPr="004C2F56">
        <w:rPr>
          <w:rFonts w:asciiTheme="majorHAnsi" w:hAnsiTheme="majorHAnsi"/>
        </w:rPr>
        <w:t>, Bunnell, A</w:t>
      </w:r>
      <w:r>
        <w:rPr>
          <w:rFonts w:asciiTheme="majorHAnsi" w:hAnsiTheme="majorHAnsi"/>
        </w:rPr>
        <w:t>.</w:t>
      </w:r>
      <w:r w:rsidRPr="004C2F56">
        <w:rPr>
          <w:rFonts w:asciiTheme="majorHAnsi" w:hAnsiTheme="majorHAnsi"/>
        </w:rPr>
        <w:t>, Moore, E</w:t>
      </w:r>
      <w:r>
        <w:rPr>
          <w:rFonts w:asciiTheme="majorHAnsi" w:hAnsiTheme="majorHAnsi"/>
        </w:rPr>
        <w:t>.</w:t>
      </w:r>
      <w:r w:rsidRPr="004C2F56">
        <w:rPr>
          <w:rFonts w:asciiTheme="majorHAnsi" w:hAnsiTheme="majorHAnsi"/>
        </w:rPr>
        <w:t>, O'Neill, K</w:t>
      </w:r>
      <w:r>
        <w:rPr>
          <w:rFonts w:asciiTheme="majorHAnsi" w:hAnsiTheme="majorHAnsi"/>
        </w:rPr>
        <w:t>.</w:t>
      </w:r>
      <w:r w:rsidRPr="004C2F56">
        <w:rPr>
          <w:rFonts w:asciiTheme="majorHAnsi" w:hAnsiTheme="majorHAnsi"/>
        </w:rPr>
        <w:t xml:space="preserve"> &amp; Robison, R</w:t>
      </w:r>
      <w:r>
        <w:rPr>
          <w:rFonts w:asciiTheme="majorHAnsi" w:hAnsiTheme="majorHAnsi"/>
        </w:rPr>
        <w:t xml:space="preserve">. 2016. </w:t>
      </w:r>
      <w:hyperlink r:id="rId50" w:history="1">
        <w:r w:rsidRPr="00637AAE">
          <w:rPr>
            <w:rStyle w:val="Hyperlink"/>
            <w:rFonts w:asciiTheme="majorHAnsi" w:hAnsiTheme="majorHAnsi"/>
          </w:rPr>
          <w:t xml:space="preserve">A quadruplex real-time PCR assay for the rapid detection and differentiation of the most relevant members of the B. </w:t>
        </w:r>
        <w:proofErr w:type="spellStart"/>
        <w:r w:rsidRPr="00637AAE">
          <w:rPr>
            <w:rStyle w:val="Hyperlink"/>
            <w:rFonts w:asciiTheme="majorHAnsi" w:hAnsiTheme="majorHAnsi"/>
          </w:rPr>
          <w:t>pseudomallei</w:t>
        </w:r>
        <w:proofErr w:type="spellEnd"/>
        <w:r w:rsidRPr="00637AAE">
          <w:rPr>
            <w:rStyle w:val="Hyperlink"/>
            <w:rFonts w:asciiTheme="majorHAnsi" w:hAnsiTheme="majorHAnsi"/>
          </w:rPr>
          <w:t xml:space="preserve"> complex: B. mallei, B. </w:t>
        </w:r>
        <w:proofErr w:type="spellStart"/>
        <w:r w:rsidRPr="00637AAE">
          <w:rPr>
            <w:rStyle w:val="Hyperlink"/>
            <w:rFonts w:asciiTheme="majorHAnsi" w:hAnsiTheme="majorHAnsi"/>
          </w:rPr>
          <w:t>pseudomallei</w:t>
        </w:r>
        <w:proofErr w:type="spellEnd"/>
        <w:r w:rsidRPr="00637AAE">
          <w:rPr>
            <w:rStyle w:val="Hyperlink"/>
            <w:rFonts w:asciiTheme="majorHAnsi" w:hAnsiTheme="majorHAnsi"/>
          </w:rPr>
          <w:t xml:space="preserve">, and B. </w:t>
        </w:r>
        <w:proofErr w:type="spellStart"/>
        <w:r w:rsidRPr="00637AAE">
          <w:rPr>
            <w:rStyle w:val="Hyperlink"/>
            <w:rFonts w:asciiTheme="majorHAnsi" w:hAnsiTheme="majorHAnsi"/>
          </w:rPr>
          <w:t>thailandensis</w:t>
        </w:r>
        <w:proofErr w:type="spellEnd"/>
      </w:hyperlink>
      <w:r w:rsidRPr="00637AAE">
        <w:rPr>
          <w:rFonts w:asciiTheme="majorHAnsi" w:hAnsiTheme="majorHAnsi"/>
        </w:rPr>
        <w:t xml:space="preserve">, </w:t>
      </w:r>
      <w:r w:rsidRPr="00637AAE">
        <w:rPr>
          <w:rFonts w:asciiTheme="majorHAnsi" w:hAnsiTheme="majorHAnsi"/>
          <w:i/>
        </w:rPr>
        <w:t>PLOS ONE</w:t>
      </w:r>
      <w:r w:rsidRPr="00637AAE">
        <w:rPr>
          <w:rFonts w:asciiTheme="majorHAnsi" w:hAnsiTheme="majorHAnsi"/>
        </w:rPr>
        <w:t xml:space="preserve">, vol. 11, no. 10, DOI: </w:t>
      </w:r>
      <w:r w:rsidRPr="00906B0F">
        <w:rPr>
          <w:rStyle w:val="identifier"/>
          <w:rFonts w:asciiTheme="majorHAnsi" w:hAnsiTheme="majorHAnsi" w:cs="Segoe UI"/>
          <w:color w:val="212121"/>
        </w:rPr>
        <w:t>10.1371/journal.pone.0164006</w:t>
      </w:r>
      <w:r w:rsidRPr="00637AAE">
        <w:rPr>
          <w:rFonts w:asciiTheme="majorHAnsi" w:hAnsiTheme="majorHAnsi"/>
        </w:rPr>
        <w:t>, accessed 20 July 2020.</w:t>
      </w:r>
    </w:p>
    <w:p w14:paraId="5E98FCF1" w14:textId="70EC7D4E" w:rsidR="00637AAE" w:rsidRDefault="00637AAE" w:rsidP="00637AAE">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Malik, P</w:t>
      </w:r>
      <w:r>
        <w:rPr>
          <w:rFonts w:asciiTheme="majorHAnsi" w:hAnsiTheme="majorHAnsi"/>
        </w:rPr>
        <w:t>.</w:t>
      </w:r>
      <w:r w:rsidRPr="004C2F56">
        <w:rPr>
          <w:rFonts w:asciiTheme="majorHAnsi" w:hAnsiTheme="majorHAnsi"/>
        </w:rPr>
        <w:t>, Khurana, S</w:t>
      </w:r>
      <w:r>
        <w:rPr>
          <w:rFonts w:asciiTheme="majorHAnsi" w:hAnsiTheme="majorHAnsi"/>
        </w:rPr>
        <w:t>.</w:t>
      </w:r>
      <w:r w:rsidRPr="004C2F56">
        <w:rPr>
          <w:rFonts w:asciiTheme="majorHAnsi" w:hAnsiTheme="majorHAnsi"/>
        </w:rPr>
        <w:t xml:space="preserve"> &amp; Dwivedi, S</w:t>
      </w:r>
      <w:r>
        <w:rPr>
          <w:rFonts w:asciiTheme="majorHAnsi" w:hAnsiTheme="majorHAnsi"/>
        </w:rPr>
        <w:t xml:space="preserve">. 2010. </w:t>
      </w:r>
      <w:hyperlink r:id="rId51" w:history="1">
        <w:r w:rsidRPr="00637AAE">
          <w:rPr>
            <w:rStyle w:val="Hyperlink"/>
            <w:rFonts w:asciiTheme="majorHAnsi" w:hAnsiTheme="majorHAnsi"/>
          </w:rPr>
          <w:t>Re-emergence of glanders in India—report of Maharashtra state</w:t>
        </w:r>
      </w:hyperlink>
      <w:r w:rsidRPr="004C2F56">
        <w:rPr>
          <w:rFonts w:asciiTheme="majorHAnsi" w:hAnsiTheme="majorHAnsi"/>
        </w:rPr>
        <w:t xml:space="preserve">, </w:t>
      </w:r>
      <w:r w:rsidRPr="004C2F56">
        <w:rPr>
          <w:rFonts w:asciiTheme="majorHAnsi" w:hAnsiTheme="majorHAnsi"/>
          <w:i/>
        </w:rPr>
        <w:t>Indian journal of microbiology</w:t>
      </w:r>
      <w:r w:rsidRPr="004C2F56">
        <w:rPr>
          <w:rFonts w:asciiTheme="majorHAnsi" w:hAnsiTheme="majorHAnsi"/>
        </w:rPr>
        <w:t xml:space="preserve">, vol. 50, no. </w:t>
      </w:r>
      <w:r w:rsidRPr="00637AAE">
        <w:rPr>
          <w:rFonts w:asciiTheme="majorHAnsi" w:hAnsiTheme="majorHAnsi"/>
        </w:rPr>
        <w:t xml:space="preserve">3, pp. 345-8, DOI: </w:t>
      </w:r>
      <w:r w:rsidRPr="00906B0F">
        <w:rPr>
          <w:rFonts w:asciiTheme="majorHAnsi" w:hAnsiTheme="majorHAnsi" w:cs="Arial"/>
          <w:sz w:val="20"/>
          <w:szCs w:val="20"/>
          <w:shd w:val="clear" w:color="auto" w:fill="FFFFFF"/>
        </w:rPr>
        <w:t>10.1007/s12088-010-0027-8</w:t>
      </w:r>
      <w:r w:rsidRPr="00637AAE">
        <w:rPr>
          <w:rFonts w:asciiTheme="majorHAnsi" w:hAnsiTheme="majorHAnsi"/>
        </w:rPr>
        <w:t>, accessed 27 July 2020.</w:t>
      </w:r>
    </w:p>
    <w:p w14:paraId="0A0349B8" w14:textId="2D38B31A" w:rsidR="00637AAE" w:rsidRDefault="00637AAE" w:rsidP="003C1FFB">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Malik, P</w:t>
      </w:r>
      <w:r>
        <w:rPr>
          <w:rFonts w:asciiTheme="majorHAnsi" w:hAnsiTheme="majorHAnsi"/>
        </w:rPr>
        <w:t>.</w:t>
      </w:r>
      <w:r w:rsidRPr="004C2F56">
        <w:rPr>
          <w:rFonts w:asciiTheme="majorHAnsi" w:hAnsiTheme="majorHAnsi"/>
        </w:rPr>
        <w:t>, Singha, H</w:t>
      </w:r>
      <w:r>
        <w:rPr>
          <w:rFonts w:asciiTheme="majorHAnsi" w:hAnsiTheme="majorHAnsi"/>
        </w:rPr>
        <w:t>.</w:t>
      </w:r>
      <w:r w:rsidRPr="004C2F56">
        <w:rPr>
          <w:rFonts w:asciiTheme="majorHAnsi" w:hAnsiTheme="majorHAnsi"/>
        </w:rPr>
        <w:t>, Goyal, S</w:t>
      </w:r>
      <w:r>
        <w:rPr>
          <w:rFonts w:asciiTheme="majorHAnsi" w:hAnsiTheme="majorHAnsi"/>
        </w:rPr>
        <w:t>.</w:t>
      </w:r>
      <w:r w:rsidRPr="004C2F56">
        <w:rPr>
          <w:rFonts w:asciiTheme="majorHAnsi" w:hAnsiTheme="majorHAnsi"/>
        </w:rPr>
        <w:t>, Khurana, S</w:t>
      </w:r>
      <w:r>
        <w:rPr>
          <w:rFonts w:asciiTheme="majorHAnsi" w:hAnsiTheme="majorHAnsi"/>
        </w:rPr>
        <w:t>.</w:t>
      </w:r>
      <w:r w:rsidRPr="004C2F56">
        <w:rPr>
          <w:rFonts w:asciiTheme="majorHAnsi" w:hAnsiTheme="majorHAnsi"/>
        </w:rPr>
        <w:t>, Tripathi,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Dutt</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Singh, D</w:t>
      </w:r>
      <w:r>
        <w:rPr>
          <w:rFonts w:asciiTheme="majorHAnsi" w:hAnsiTheme="majorHAnsi"/>
        </w:rPr>
        <w:t>.</w:t>
      </w:r>
      <w:r w:rsidRPr="004C2F56">
        <w:rPr>
          <w:rFonts w:asciiTheme="majorHAnsi" w:hAnsiTheme="majorHAnsi"/>
        </w:rPr>
        <w:t>, Sharma, N</w:t>
      </w:r>
      <w:r>
        <w:rPr>
          <w:rFonts w:asciiTheme="majorHAnsi" w:hAnsiTheme="majorHAnsi"/>
        </w:rPr>
        <w:t>.</w:t>
      </w:r>
      <w:r w:rsidRPr="004C2F56">
        <w:rPr>
          <w:rFonts w:asciiTheme="majorHAnsi" w:hAnsiTheme="majorHAnsi"/>
        </w:rPr>
        <w:t xml:space="preserve"> &amp; Jain, S</w:t>
      </w:r>
      <w:r>
        <w:rPr>
          <w:rFonts w:asciiTheme="majorHAnsi" w:hAnsiTheme="majorHAnsi"/>
        </w:rPr>
        <w:t xml:space="preserve">. 2015. </w:t>
      </w:r>
      <w:hyperlink r:id="rId52" w:history="1">
        <w:r w:rsidRPr="003C1FFB">
          <w:rPr>
            <w:rStyle w:val="Hyperlink"/>
            <w:rFonts w:asciiTheme="majorHAnsi" w:hAnsiTheme="majorHAnsi"/>
          </w:rPr>
          <w:t xml:space="preserve">Incidence of </w:t>
        </w:r>
        <w:proofErr w:type="spellStart"/>
        <w:r w:rsidRPr="003C1FFB">
          <w:rPr>
            <w:rStyle w:val="Hyperlink"/>
            <w:rFonts w:asciiTheme="majorHAnsi" w:hAnsiTheme="majorHAnsi"/>
          </w:rPr>
          <w:t>Burkholderia</w:t>
        </w:r>
        <w:proofErr w:type="spellEnd"/>
        <w:r w:rsidRPr="003C1FFB">
          <w:rPr>
            <w:rStyle w:val="Hyperlink"/>
            <w:rFonts w:asciiTheme="majorHAnsi" w:hAnsiTheme="majorHAnsi"/>
          </w:rPr>
          <w:t xml:space="preserve"> mallei infection among indigenous </w:t>
        </w:r>
        <w:r w:rsidR="00B62729">
          <w:rPr>
            <w:rStyle w:val="Hyperlink"/>
            <w:rFonts w:asciiTheme="majorHAnsi" w:hAnsiTheme="majorHAnsi"/>
          </w:rPr>
          <w:t>equines</w:t>
        </w:r>
        <w:r w:rsidR="00B62729" w:rsidRPr="003C1FFB">
          <w:rPr>
            <w:rStyle w:val="Hyperlink"/>
            <w:rFonts w:asciiTheme="majorHAnsi" w:hAnsiTheme="majorHAnsi"/>
          </w:rPr>
          <w:t xml:space="preserve"> </w:t>
        </w:r>
        <w:r w:rsidRPr="003C1FFB">
          <w:rPr>
            <w:rStyle w:val="Hyperlink"/>
            <w:rFonts w:asciiTheme="majorHAnsi" w:hAnsiTheme="majorHAnsi"/>
          </w:rPr>
          <w:t>in India</w:t>
        </w:r>
      </w:hyperlink>
      <w:r w:rsidRPr="003C1FFB">
        <w:rPr>
          <w:rFonts w:asciiTheme="majorHAnsi" w:hAnsiTheme="majorHAnsi"/>
        </w:rPr>
        <w:t xml:space="preserve">, </w:t>
      </w:r>
      <w:r w:rsidRPr="003C1FFB">
        <w:rPr>
          <w:rFonts w:asciiTheme="majorHAnsi" w:hAnsiTheme="majorHAnsi"/>
          <w:i/>
        </w:rPr>
        <w:t>Veterinary record open</w:t>
      </w:r>
      <w:r w:rsidRPr="003C1FFB">
        <w:rPr>
          <w:rFonts w:asciiTheme="majorHAnsi" w:hAnsiTheme="majorHAnsi"/>
        </w:rPr>
        <w:t xml:space="preserve">, vol. 2, no. 2, pp. 1-7, DOI: </w:t>
      </w:r>
      <w:r w:rsidR="003C1FFB" w:rsidRPr="00906B0F">
        <w:rPr>
          <w:rStyle w:val="identifier"/>
          <w:rFonts w:asciiTheme="majorHAnsi" w:hAnsiTheme="majorHAnsi" w:cs="Segoe UI"/>
          <w:color w:val="212121"/>
        </w:rPr>
        <w:t>10.1136/vetreco-2015-000129</w:t>
      </w:r>
      <w:r w:rsidRPr="003C1FFB">
        <w:rPr>
          <w:rFonts w:asciiTheme="majorHAnsi" w:hAnsiTheme="majorHAnsi"/>
        </w:rPr>
        <w:t>, accesse</w:t>
      </w:r>
      <w:r w:rsidR="003C1FFB">
        <w:rPr>
          <w:rFonts w:asciiTheme="majorHAnsi" w:hAnsiTheme="majorHAnsi"/>
        </w:rPr>
        <w:t>d 28</w:t>
      </w:r>
      <w:r w:rsidRPr="003C1FFB">
        <w:rPr>
          <w:rFonts w:asciiTheme="majorHAnsi" w:hAnsiTheme="majorHAnsi"/>
        </w:rPr>
        <w:t xml:space="preserve"> June 2020.</w:t>
      </w:r>
    </w:p>
    <w:p w14:paraId="1DE17BAB" w14:textId="2696E7AA" w:rsidR="003C1FFB" w:rsidRDefault="003C1FFB" w:rsidP="003C1FFB">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Mota</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Oliveira, A</w:t>
      </w:r>
      <w:r>
        <w:rPr>
          <w:rFonts w:asciiTheme="majorHAnsi" w:hAnsiTheme="majorHAnsi"/>
        </w:rPr>
        <w:t>.</w:t>
      </w:r>
      <w:r w:rsidRPr="004C2F56">
        <w:rPr>
          <w:rFonts w:asciiTheme="majorHAnsi" w:hAnsiTheme="majorHAnsi"/>
        </w:rPr>
        <w:t>, Pinheiro Junior, J</w:t>
      </w:r>
      <w:r>
        <w:rPr>
          <w:rFonts w:asciiTheme="majorHAnsi" w:hAnsiTheme="majorHAnsi"/>
        </w:rPr>
        <w:t>.</w:t>
      </w:r>
      <w:r w:rsidRPr="004C2F56">
        <w:rPr>
          <w:rFonts w:asciiTheme="majorHAnsi" w:hAnsiTheme="majorHAnsi"/>
        </w:rPr>
        <w:t>, Silva, L</w:t>
      </w:r>
      <w:r>
        <w:rPr>
          <w:rFonts w:asciiTheme="majorHAnsi" w:hAnsiTheme="majorHAnsi"/>
        </w:rPr>
        <w:t>.</w:t>
      </w:r>
      <w:r w:rsidRPr="004C2F56">
        <w:rPr>
          <w:rFonts w:asciiTheme="majorHAnsi" w:hAnsiTheme="majorHAnsi"/>
        </w:rPr>
        <w:t>, Brito, M</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Rabelo</w:t>
      </w:r>
      <w:proofErr w:type="spellEnd"/>
      <w:r w:rsidRPr="004C2F56">
        <w:rPr>
          <w:rFonts w:asciiTheme="majorHAnsi" w:hAnsiTheme="majorHAnsi"/>
        </w:rPr>
        <w:t>, S</w:t>
      </w:r>
      <w:r>
        <w:rPr>
          <w:rFonts w:asciiTheme="majorHAnsi" w:hAnsiTheme="majorHAnsi"/>
        </w:rPr>
        <w:t xml:space="preserve">. 2010. </w:t>
      </w:r>
      <w:hyperlink r:id="rId53" w:anchor="free-full-text" w:history="1">
        <w:r w:rsidRPr="003C1FFB">
          <w:rPr>
            <w:rStyle w:val="Hyperlink"/>
            <w:rFonts w:asciiTheme="majorHAnsi" w:hAnsiTheme="majorHAnsi"/>
          </w:rPr>
          <w:t xml:space="preserve">Glanders in donkeys (Equus </w:t>
        </w:r>
        <w:proofErr w:type="spellStart"/>
        <w:r w:rsidRPr="003C1FFB">
          <w:rPr>
            <w:rStyle w:val="Hyperlink"/>
            <w:rFonts w:asciiTheme="majorHAnsi" w:hAnsiTheme="majorHAnsi"/>
          </w:rPr>
          <w:t>asinus</w:t>
        </w:r>
        <w:proofErr w:type="spellEnd"/>
        <w:r w:rsidRPr="003C1FFB">
          <w:rPr>
            <w:rStyle w:val="Hyperlink"/>
            <w:rFonts w:asciiTheme="majorHAnsi" w:hAnsiTheme="majorHAnsi"/>
          </w:rPr>
          <w:t>) in the state of Pernambuco, Brazil: a case report</w:t>
        </w:r>
      </w:hyperlink>
      <w:r w:rsidRPr="004C2F56">
        <w:rPr>
          <w:rFonts w:asciiTheme="majorHAnsi" w:hAnsiTheme="majorHAnsi"/>
        </w:rPr>
        <w:t xml:space="preserve">, </w:t>
      </w:r>
      <w:proofErr w:type="spellStart"/>
      <w:r w:rsidRPr="004C2F56">
        <w:rPr>
          <w:rFonts w:asciiTheme="majorHAnsi" w:hAnsiTheme="majorHAnsi"/>
          <w:i/>
        </w:rPr>
        <w:t>Brazillian</w:t>
      </w:r>
      <w:proofErr w:type="spellEnd"/>
      <w:r w:rsidRPr="004C2F56">
        <w:rPr>
          <w:rFonts w:asciiTheme="majorHAnsi" w:hAnsiTheme="majorHAnsi"/>
          <w:i/>
        </w:rPr>
        <w:t xml:space="preserve"> journal of microbiology</w:t>
      </w:r>
      <w:r w:rsidRPr="004C2F56">
        <w:rPr>
          <w:rFonts w:asciiTheme="majorHAnsi" w:hAnsiTheme="majorHAnsi"/>
        </w:rPr>
        <w:t>, vol. 41, no. 1, pp. 146-9</w:t>
      </w:r>
      <w:r>
        <w:rPr>
          <w:rFonts w:asciiTheme="majorHAnsi" w:hAnsiTheme="majorHAnsi"/>
        </w:rPr>
        <w:t xml:space="preserve">, </w:t>
      </w:r>
      <w:r w:rsidRPr="003C1FFB">
        <w:rPr>
          <w:rFonts w:asciiTheme="majorHAnsi" w:hAnsiTheme="majorHAnsi"/>
        </w:rPr>
        <w:t xml:space="preserve">DOI: </w:t>
      </w:r>
      <w:r w:rsidRPr="00906B0F">
        <w:rPr>
          <w:rFonts w:asciiTheme="majorHAnsi" w:hAnsiTheme="majorHAnsi"/>
          <w:sz w:val="21"/>
          <w:szCs w:val="21"/>
          <w:bdr w:val="none" w:sz="0" w:space="0" w:color="auto" w:frame="1"/>
          <w:shd w:val="clear" w:color="auto" w:fill="FFFFFF"/>
        </w:rPr>
        <w:t>10.1590/S1517-838220100001000021</w:t>
      </w:r>
      <w:r w:rsidRPr="003C1FFB">
        <w:rPr>
          <w:rFonts w:asciiTheme="majorHAnsi" w:hAnsiTheme="majorHAnsi"/>
        </w:rPr>
        <w:t>, accessed on 27 July 2020.</w:t>
      </w:r>
    </w:p>
    <w:p w14:paraId="5DA94F8E" w14:textId="05178DC8" w:rsidR="003C1FFB" w:rsidRDefault="003C1FFB" w:rsidP="003C1FFB">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Mukesh, K</w:t>
      </w:r>
      <w:r>
        <w:rPr>
          <w:rFonts w:asciiTheme="majorHAnsi" w:hAnsiTheme="majorHAnsi"/>
        </w:rPr>
        <w:t xml:space="preserve">. 2020. </w:t>
      </w:r>
      <w:hyperlink r:id="rId54" w:history="1">
        <w:r w:rsidRPr="003C1FFB">
          <w:rPr>
            <w:rStyle w:val="Hyperlink"/>
            <w:rFonts w:asciiTheme="majorHAnsi" w:hAnsiTheme="majorHAnsi"/>
          </w:rPr>
          <w:t>Six horses test positive for ganders in Rohtak, Hisar</w:t>
        </w:r>
      </w:hyperlink>
      <w:r w:rsidRPr="004C2F56">
        <w:rPr>
          <w:rFonts w:asciiTheme="majorHAnsi" w:hAnsiTheme="majorHAnsi"/>
        </w:rPr>
        <w:t xml:space="preserve">, </w:t>
      </w:r>
      <w:r w:rsidRPr="004C2F56">
        <w:rPr>
          <w:rFonts w:asciiTheme="majorHAnsi" w:hAnsiTheme="majorHAnsi"/>
          <w:i/>
        </w:rPr>
        <w:t>The Times of India</w:t>
      </w:r>
      <w:r>
        <w:rPr>
          <w:rFonts w:asciiTheme="majorHAnsi" w:hAnsiTheme="majorHAnsi"/>
        </w:rPr>
        <w:t>, accessed on 28</w:t>
      </w:r>
      <w:r w:rsidRPr="004C2F56">
        <w:rPr>
          <w:rFonts w:asciiTheme="majorHAnsi" w:hAnsiTheme="majorHAnsi"/>
        </w:rPr>
        <w:t xml:space="preserve"> May 2020</w:t>
      </w:r>
      <w:r>
        <w:rPr>
          <w:rFonts w:asciiTheme="majorHAnsi" w:hAnsiTheme="majorHAnsi"/>
        </w:rPr>
        <w:t>.</w:t>
      </w:r>
    </w:p>
    <w:p w14:paraId="630D6DE7" w14:textId="761E9D38" w:rsidR="003C1FFB" w:rsidRDefault="003C1FFB" w:rsidP="003C1FFB">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Naureen</w:t>
      </w:r>
      <w:proofErr w:type="spellEnd"/>
      <w:r w:rsidRPr="004C2F56">
        <w:rPr>
          <w:rFonts w:asciiTheme="majorHAnsi" w:hAnsiTheme="majorHAnsi"/>
        </w:rPr>
        <w:t>, A</w:t>
      </w:r>
      <w:r>
        <w:rPr>
          <w:rFonts w:asciiTheme="majorHAnsi" w:hAnsiTheme="majorHAnsi"/>
        </w:rPr>
        <w:t>., Saqib</w:t>
      </w:r>
      <w:r w:rsidRPr="004C2F56">
        <w:rPr>
          <w:rFonts w:asciiTheme="majorHAnsi" w:hAnsiTheme="majorHAnsi"/>
        </w:rPr>
        <w:t>, G., Hussain, M</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Asi</w:t>
      </w:r>
      <w:proofErr w:type="spellEnd"/>
      <w:r w:rsidRPr="004C2F56">
        <w:rPr>
          <w:rFonts w:asciiTheme="majorHAnsi" w:hAnsiTheme="majorHAnsi"/>
        </w:rPr>
        <w:t>, M</w:t>
      </w:r>
      <w:r>
        <w:rPr>
          <w:rFonts w:asciiTheme="majorHAnsi" w:hAnsiTheme="majorHAnsi"/>
        </w:rPr>
        <w:t xml:space="preserve">. 2007. </w:t>
      </w:r>
      <w:hyperlink r:id="rId55" w:history="1">
        <w:r w:rsidRPr="003C1FFB">
          <w:rPr>
            <w:rStyle w:val="Hyperlink"/>
            <w:rFonts w:asciiTheme="majorHAnsi" w:hAnsiTheme="majorHAnsi"/>
          </w:rPr>
          <w:t xml:space="preserve">Comparative evaluation of rose </w:t>
        </w:r>
        <w:proofErr w:type="spellStart"/>
        <w:r w:rsidRPr="003C1FFB">
          <w:rPr>
            <w:rStyle w:val="Hyperlink"/>
            <w:rFonts w:asciiTheme="majorHAnsi" w:hAnsiTheme="majorHAnsi"/>
          </w:rPr>
          <w:t>bengal</w:t>
        </w:r>
        <w:proofErr w:type="spellEnd"/>
        <w:r w:rsidRPr="003C1FFB">
          <w:rPr>
            <w:rStyle w:val="Hyperlink"/>
            <w:rFonts w:asciiTheme="majorHAnsi" w:hAnsiTheme="majorHAnsi"/>
          </w:rPr>
          <w:t xml:space="preserve"> plate agglutination test, </w:t>
        </w:r>
        <w:proofErr w:type="spellStart"/>
        <w:r w:rsidRPr="003C1FFB">
          <w:rPr>
            <w:rStyle w:val="Hyperlink"/>
            <w:rFonts w:asciiTheme="majorHAnsi" w:hAnsiTheme="majorHAnsi"/>
          </w:rPr>
          <w:t>mallein</w:t>
        </w:r>
        <w:proofErr w:type="spellEnd"/>
        <w:r w:rsidRPr="003C1FFB">
          <w:rPr>
            <w:rStyle w:val="Hyperlink"/>
            <w:rFonts w:asciiTheme="majorHAnsi" w:hAnsiTheme="majorHAnsi"/>
          </w:rPr>
          <w:t xml:space="preserve"> test, and some conventional serological tests for diagnosis of </w:t>
        </w:r>
        <w:r w:rsidR="003B50A0">
          <w:rPr>
            <w:rStyle w:val="Hyperlink"/>
            <w:rFonts w:asciiTheme="majorHAnsi" w:hAnsiTheme="majorHAnsi"/>
          </w:rPr>
          <w:t>equine</w:t>
        </w:r>
        <w:r w:rsidR="003B50A0" w:rsidRPr="003C1FFB">
          <w:rPr>
            <w:rStyle w:val="Hyperlink"/>
            <w:rFonts w:asciiTheme="majorHAnsi" w:hAnsiTheme="majorHAnsi"/>
          </w:rPr>
          <w:t xml:space="preserve"> </w:t>
        </w:r>
        <w:r w:rsidRPr="003C1FFB">
          <w:rPr>
            <w:rStyle w:val="Hyperlink"/>
            <w:rFonts w:asciiTheme="majorHAnsi" w:hAnsiTheme="majorHAnsi"/>
          </w:rPr>
          <w:t>glanders</w:t>
        </w:r>
      </w:hyperlink>
      <w:r w:rsidRPr="004C2F56">
        <w:rPr>
          <w:rFonts w:asciiTheme="majorHAnsi" w:hAnsiTheme="majorHAnsi"/>
        </w:rPr>
        <w:t xml:space="preserve">, </w:t>
      </w:r>
      <w:r w:rsidRPr="004C2F56">
        <w:rPr>
          <w:rFonts w:asciiTheme="majorHAnsi" w:hAnsiTheme="majorHAnsi"/>
          <w:i/>
        </w:rPr>
        <w:t>Veterinary diagnostic investigation</w:t>
      </w:r>
      <w:r>
        <w:rPr>
          <w:rFonts w:asciiTheme="majorHAnsi" w:hAnsiTheme="majorHAnsi"/>
        </w:rPr>
        <w:t>, vol. 19, pp. 362–7, DOI: 1</w:t>
      </w:r>
      <w:r w:rsidRPr="003C1FFB">
        <w:rPr>
          <w:rFonts w:asciiTheme="majorHAnsi" w:hAnsiTheme="majorHAnsi"/>
        </w:rPr>
        <w:t>0.1177/104063870701900404</w:t>
      </w:r>
      <w:r>
        <w:rPr>
          <w:rFonts w:asciiTheme="majorHAnsi" w:hAnsiTheme="majorHAnsi"/>
        </w:rPr>
        <w:t>, accessed on 27 June 2020.</w:t>
      </w:r>
    </w:p>
    <w:p w14:paraId="4BD66D5A" w14:textId="5B139E5B" w:rsidR="00164335" w:rsidRDefault="00164335" w:rsidP="003C1FFB">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Neubauer, H</w:t>
      </w:r>
      <w:r>
        <w:rPr>
          <w:rFonts w:asciiTheme="majorHAnsi" w:hAnsiTheme="majorHAnsi"/>
        </w:rPr>
        <w:t>.</w:t>
      </w:r>
      <w:r w:rsidRPr="004C2F56">
        <w:rPr>
          <w:rFonts w:asciiTheme="majorHAnsi" w:hAnsiTheme="majorHAnsi"/>
        </w:rPr>
        <w:t>, Sprague, L</w:t>
      </w:r>
      <w:r>
        <w:rPr>
          <w:rFonts w:asciiTheme="majorHAnsi" w:hAnsiTheme="majorHAnsi"/>
        </w:rPr>
        <w:t>.</w:t>
      </w:r>
      <w:r w:rsidRPr="004C2F56">
        <w:rPr>
          <w:rFonts w:asciiTheme="majorHAnsi" w:hAnsiTheme="majorHAnsi"/>
        </w:rPr>
        <w:t>, Zacharia, R</w:t>
      </w:r>
      <w:r>
        <w:rPr>
          <w:rFonts w:asciiTheme="majorHAnsi" w:hAnsiTheme="majorHAnsi"/>
        </w:rPr>
        <w:t>.</w:t>
      </w:r>
      <w:r w:rsidRPr="004C2F56">
        <w:rPr>
          <w:rFonts w:asciiTheme="majorHAnsi" w:hAnsiTheme="majorHAnsi"/>
        </w:rPr>
        <w:t>, Tomaso, H</w:t>
      </w:r>
      <w:r>
        <w:rPr>
          <w:rFonts w:asciiTheme="majorHAnsi" w:hAnsiTheme="majorHAnsi"/>
        </w:rPr>
        <w:t>.</w:t>
      </w:r>
      <w:r w:rsidRPr="004C2F56">
        <w:rPr>
          <w:rFonts w:asciiTheme="majorHAnsi" w:hAnsiTheme="majorHAnsi"/>
        </w:rPr>
        <w:t xml:space="preserve">, Al </w:t>
      </w:r>
      <w:proofErr w:type="spellStart"/>
      <w:r w:rsidRPr="004C2F56">
        <w:rPr>
          <w:rFonts w:asciiTheme="majorHAnsi" w:hAnsiTheme="majorHAnsi"/>
        </w:rPr>
        <w:t>Dahouk</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w:t>
      </w:r>
      <w:r w:rsidRPr="004C2F56">
        <w:rPr>
          <w:rFonts w:asciiTheme="majorHAnsi" w:hAnsiTheme="majorHAnsi"/>
        </w:rPr>
        <w:t xml:space="preserve"> &amp; Scholz, H</w:t>
      </w:r>
      <w:r>
        <w:rPr>
          <w:rFonts w:asciiTheme="majorHAnsi" w:hAnsiTheme="majorHAnsi"/>
        </w:rPr>
        <w:t xml:space="preserve">. 2005. </w:t>
      </w:r>
      <w:hyperlink r:id="rId56" w:history="1">
        <w:r w:rsidRPr="00164335">
          <w:rPr>
            <w:rStyle w:val="Hyperlink"/>
            <w:rFonts w:asciiTheme="majorHAnsi" w:hAnsiTheme="majorHAnsi"/>
          </w:rPr>
          <w:t xml:space="preserve">Serodiagnosis of </w:t>
        </w:r>
        <w:proofErr w:type="spellStart"/>
        <w:r w:rsidRPr="00164335">
          <w:rPr>
            <w:rStyle w:val="Hyperlink"/>
            <w:rFonts w:asciiTheme="majorHAnsi" w:hAnsiTheme="majorHAnsi"/>
          </w:rPr>
          <w:t>Burkholderia</w:t>
        </w:r>
        <w:proofErr w:type="spellEnd"/>
        <w:r w:rsidRPr="00164335">
          <w:rPr>
            <w:rStyle w:val="Hyperlink"/>
            <w:rFonts w:asciiTheme="majorHAnsi" w:hAnsiTheme="majorHAnsi"/>
          </w:rPr>
          <w:t xml:space="preserve"> mallei infections in horses: state-of-the-art and perspectives</w:t>
        </w:r>
      </w:hyperlink>
      <w:r w:rsidRPr="004C2F56">
        <w:rPr>
          <w:rFonts w:asciiTheme="majorHAnsi" w:hAnsiTheme="majorHAnsi"/>
        </w:rPr>
        <w:t xml:space="preserve"> (in </w:t>
      </w:r>
      <w:proofErr w:type="spellStart"/>
      <w:r w:rsidRPr="004C2F56">
        <w:rPr>
          <w:rFonts w:asciiTheme="majorHAnsi" w:hAnsiTheme="majorHAnsi"/>
        </w:rPr>
        <w:t>eng</w:t>
      </w:r>
      <w:proofErr w:type="spellEnd"/>
      <w:r w:rsidRPr="004C2F56">
        <w:rPr>
          <w:rFonts w:asciiTheme="majorHAnsi" w:hAnsiTheme="majorHAnsi"/>
        </w:rPr>
        <w:t xml:space="preserve">), </w:t>
      </w:r>
      <w:r w:rsidRPr="004C2F56">
        <w:rPr>
          <w:rFonts w:asciiTheme="majorHAnsi" w:hAnsiTheme="majorHAnsi"/>
          <w:i/>
        </w:rPr>
        <w:t>Journal of Veterinary Medicine B Infectious Diseases and Veterinary Public Health</w:t>
      </w:r>
      <w:r w:rsidRPr="004C2F56">
        <w:rPr>
          <w:rFonts w:asciiTheme="majorHAnsi" w:hAnsiTheme="majorHAnsi"/>
        </w:rPr>
        <w:t>, vol. 52, no. 5, pp. 201-5</w:t>
      </w:r>
      <w:r>
        <w:rPr>
          <w:rFonts w:asciiTheme="majorHAnsi" w:hAnsiTheme="majorHAnsi"/>
        </w:rPr>
        <w:t xml:space="preserve">, DOI: </w:t>
      </w:r>
      <w:r w:rsidRPr="00164335">
        <w:rPr>
          <w:rFonts w:asciiTheme="majorHAnsi" w:hAnsiTheme="majorHAnsi"/>
        </w:rPr>
        <w:t>10.1111/j.1439-0450.</w:t>
      </w:r>
      <w:proofErr w:type="gramStart"/>
      <w:r w:rsidRPr="00164335">
        <w:rPr>
          <w:rFonts w:asciiTheme="majorHAnsi" w:hAnsiTheme="majorHAnsi"/>
        </w:rPr>
        <w:t>2005.00855.x</w:t>
      </w:r>
      <w:proofErr w:type="gramEnd"/>
      <w:r>
        <w:rPr>
          <w:rFonts w:asciiTheme="majorHAnsi" w:hAnsiTheme="majorHAnsi"/>
        </w:rPr>
        <w:t>, accessed on 20 July 2020.</w:t>
      </w:r>
    </w:p>
    <w:p w14:paraId="388AEFD9" w14:textId="6DC81EB8" w:rsidR="00164335" w:rsidRDefault="003C6D77" w:rsidP="00164335">
      <w:pPr>
        <w:shd w:val="clear" w:color="auto" w:fill="FFFFFF"/>
        <w:spacing w:before="100" w:beforeAutospacing="1" w:after="100" w:afterAutospacing="1" w:line="240" w:lineRule="auto"/>
        <w:rPr>
          <w:rFonts w:asciiTheme="majorHAnsi" w:hAnsiTheme="majorHAnsi"/>
        </w:rPr>
      </w:pPr>
      <w:r>
        <w:rPr>
          <w:rFonts w:asciiTheme="majorHAnsi" w:hAnsiTheme="majorHAnsi"/>
        </w:rPr>
        <w:t>WOAH</w:t>
      </w:r>
      <w:r w:rsidR="00164335">
        <w:rPr>
          <w:rFonts w:asciiTheme="majorHAnsi" w:hAnsiTheme="majorHAnsi"/>
        </w:rPr>
        <w:t xml:space="preserve">. 2020a. </w:t>
      </w:r>
      <w:hyperlink r:id="rId57" w:anchor="/home" w:history="1">
        <w:r w:rsidR="00164335" w:rsidRPr="00164335">
          <w:rPr>
            <w:rStyle w:val="Hyperlink"/>
            <w:rFonts w:asciiTheme="majorHAnsi" w:hAnsiTheme="majorHAnsi"/>
          </w:rPr>
          <w:t>Disease timelines: glanders 2005-2020</w:t>
        </w:r>
      </w:hyperlink>
      <w:r w:rsidR="00164335" w:rsidRPr="004C2F56">
        <w:rPr>
          <w:rFonts w:asciiTheme="majorHAnsi" w:hAnsiTheme="majorHAnsi"/>
        </w:rPr>
        <w:t>, World Organisation for Animal He</w:t>
      </w:r>
      <w:r w:rsidR="00164335">
        <w:rPr>
          <w:rFonts w:asciiTheme="majorHAnsi" w:hAnsiTheme="majorHAnsi"/>
        </w:rPr>
        <w:t>alth, Paris, France, accessed on 29 July 2020.</w:t>
      </w:r>
    </w:p>
    <w:p w14:paraId="6DB55545" w14:textId="108C7C64" w:rsidR="00164335" w:rsidRDefault="003C6D77" w:rsidP="00164335">
      <w:pPr>
        <w:shd w:val="clear" w:color="auto" w:fill="FFFFFF"/>
        <w:spacing w:before="100" w:beforeAutospacing="1" w:after="100" w:afterAutospacing="1" w:line="240" w:lineRule="auto"/>
        <w:rPr>
          <w:rFonts w:asciiTheme="majorHAnsi" w:hAnsiTheme="majorHAnsi"/>
        </w:rPr>
      </w:pPr>
      <w:r>
        <w:rPr>
          <w:rFonts w:asciiTheme="majorHAnsi" w:hAnsiTheme="majorHAnsi"/>
        </w:rPr>
        <w:t>WOAH</w:t>
      </w:r>
      <w:r w:rsidR="00164335">
        <w:rPr>
          <w:rFonts w:asciiTheme="majorHAnsi" w:hAnsiTheme="majorHAnsi"/>
        </w:rPr>
        <w:t>. 202</w:t>
      </w:r>
      <w:r w:rsidR="00710C90">
        <w:rPr>
          <w:rFonts w:asciiTheme="majorHAnsi" w:hAnsiTheme="majorHAnsi"/>
        </w:rPr>
        <w:t>1</w:t>
      </w:r>
      <w:r w:rsidR="00164335">
        <w:rPr>
          <w:rFonts w:asciiTheme="majorHAnsi" w:hAnsiTheme="majorHAnsi"/>
        </w:rPr>
        <w:t xml:space="preserve">. </w:t>
      </w:r>
      <w:hyperlink r:id="rId58" w:history="1">
        <w:r w:rsidR="00164335" w:rsidRPr="00164335">
          <w:rPr>
            <w:rStyle w:val="Hyperlink"/>
            <w:rFonts w:asciiTheme="majorHAnsi" w:hAnsiTheme="majorHAnsi"/>
          </w:rPr>
          <w:t>Manual of diagnostic tests and vaccines for terrestrial animals 20</w:t>
        </w:r>
        <w:r w:rsidR="00710C90">
          <w:rPr>
            <w:rStyle w:val="Hyperlink"/>
            <w:rFonts w:asciiTheme="majorHAnsi" w:hAnsiTheme="majorHAnsi"/>
          </w:rPr>
          <w:t>21</w:t>
        </w:r>
        <w:r w:rsidR="00164335" w:rsidRPr="00164335">
          <w:rPr>
            <w:rStyle w:val="Hyperlink"/>
            <w:rFonts w:asciiTheme="majorHAnsi" w:hAnsiTheme="majorHAnsi"/>
          </w:rPr>
          <w:t>: glanders and melioidosis</w:t>
        </w:r>
      </w:hyperlink>
      <w:r w:rsidR="00164335">
        <w:rPr>
          <w:rFonts w:asciiTheme="majorHAnsi" w:hAnsiTheme="majorHAnsi"/>
        </w:rPr>
        <w:t>,</w:t>
      </w:r>
      <w:r w:rsidR="00164335" w:rsidRPr="004C2F56">
        <w:rPr>
          <w:rFonts w:asciiTheme="majorHAnsi" w:hAnsiTheme="majorHAnsi"/>
        </w:rPr>
        <w:t xml:space="preserve"> World Organisation for Animal Health, Paris, France</w:t>
      </w:r>
      <w:r w:rsidR="00164335">
        <w:rPr>
          <w:rFonts w:asciiTheme="majorHAnsi" w:hAnsiTheme="majorHAnsi"/>
        </w:rPr>
        <w:t xml:space="preserve">, accessed on 29 July 2020. </w:t>
      </w:r>
    </w:p>
    <w:p w14:paraId="11851B95" w14:textId="11E03B44" w:rsidR="00164335" w:rsidRDefault="003C6D77" w:rsidP="00164335">
      <w:pPr>
        <w:shd w:val="clear" w:color="auto" w:fill="FFFFFF"/>
        <w:spacing w:before="100" w:beforeAutospacing="1" w:after="100" w:afterAutospacing="1" w:line="240" w:lineRule="auto"/>
        <w:rPr>
          <w:rFonts w:asciiTheme="majorHAnsi" w:hAnsiTheme="majorHAnsi"/>
        </w:rPr>
      </w:pPr>
      <w:r>
        <w:rPr>
          <w:rFonts w:asciiTheme="majorHAnsi" w:hAnsiTheme="majorHAnsi"/>
        </w:rPr>
        <w:t>WOAH</w:t>
      </w:r>
      <w:r w:rsidR="00164335">
        <w:rPr>
          <w:rFonts w:asciiTheme="majorHAnsi" w:hAnsiTheme="majorHAnsi"/>
        </w:rPr>
        <w:t>. 2020</w:t>
      </w:r>
      <w:r w:rsidR="00B1154D">
        <w:rPr>
          <w:rFonts w:asciiTheme="majorHAnsi" w:hAnsiTheme="majorHAnsi"/>
        </w:rPr>
        <w:t>b</w:t>
      </w:r>
      <w:r w:rsidR="00164335">
        <w:rPr>
          <w:rFonts w:asciiTheme="majorHAnsi" w:hAnsiTheme="majorHAnsi"/>
        </w:rPr>
        <w:t>.</w:t>
      </w:r>
      <w:r w:rsidR="00164335" w:rsidRPr="004C2F56">
        <w:rPr>
          <w:rFonts w:asciiTheme="majorHAnsi" w:hAnsiTheme="majorHAnsi"/>
        </w:rPr>
        <w:t xml:space="preserve"> </w:t>
      </w:r>
      <w:hyperlink r:id="rId59" w:history="1">
        <w:r>
          <w:rPr>
            <w:rStyle w:val="Hyperlink"/>
            <w:rFonts w:asciiTheme="majorHAnsi" w:hAnsiTheme="majorHAnsi"/>
          </w:rPr>
          <w:t>WOAH</w:t>
        </w:r>
        <w:r w:rsidR="00164335" w:rsidRPr="00164335">
          <w:rPr>
            <w:rStyle w:val="Hyperlink"/>
            <w:rFonts w:asciiTheme="majorHAnsi" w:hAnsiTheme="majorHAnsi"/>
          </w:rPr>
          <w:t xml:space="preserve"> technical disease cards: glanders</w:t>
        </w:r>
      </w:hyperlink>
      <w:r w:rsidR="00164335" w:rsidRPr="004C2F56">
        <w:rPr>
          <w:rFonts w:asciiTheme="majorHAnsi" w:hAnsiTheme="majorHAnsi"/>
        </w:rPr>
        <w:t>, World Organisation for Animal Health, Paris, France,</w:t>
      </w:r>
      <w:r w:rsidR="00164335">
        <w:rPr>
          <w:rFonts w:asciiTheme="majorHAnsi" w:hAnsiTheme="majorHAnsi"/>
        </w:rPr>
        <w:t xml:space="preserve"> accessed on 29 July 2020. </w:t>
      </w:r>
    </w:p>
    <w:p w14:paraId="28999E51" w14:textId="1E7FAE98" w:rsidR="00164335" w:rsidRDefault="003C6D77" w:rsidP="00164335">
      <w:pPr>
        <w:shd w:val="clear" w:color="auto" w:fill="FFFFFF"/>
        <w:spacing w:before="100" w:beforeAutospacing="1" w:after="100" w:afterAutospacing="1" w:line="240" w:lineRule="auto"/>
        <w:rPr>
          <w:rFonts w:asciiTheme="majorHAnsi" w:hAnsiTheme="majorHAnsi"/>
        </w:rPr>
      </w:pPr>
      <w:r>
        <w:rPr>
          <w:rFonts w:asciiTheme="majorHAnsi" w:hAnsiTheme="majorHAnsi"/>
        </w:rPr>
        <w:lastRenderedPageBreak/>
        <w:t>WOAH</w:t>
      </w:r>
      <w:r w:rsidR="00164335">
        <w:rPr>
          <w:rFonts w:asciiTheme="majorHAnsi" w:hAnsiTheme="majorHAnsi"/>
        </w:rPr>
        <w:t xml:space="preserve">. 2019. </w:t>
      </w:r>
      <w:hyperlink r:id="rId60" w:history="1">
        <w:r w:rsidR="00164335" w:rsidRPr="00164335">
          <w:rPr>
            <w:rStyle w:val="Hyperlink"/>
            <w:rFonts w:asciiTheme="majorHAnsi" w:hAnsiTheme="majorHAnsi"/>
          </w:rPr>
          <w:t xml:space="preserve">Terrestrial animal health code 2019: </w:t>
        </w:r>
        <w:r w:rsidR="00D44EA6">
          <w:rPr>
            <w:rStyle w:val="Hyperlink"/>
            <w:rFonts w:asciiTheme="majorHAnsi" w:hAnsiTheme="majorHAnsi"/>
          </w:rPr>
          <w:t>Chapter 12.10 I</w:t>
        </w:r>
        <w:r w:rsidR="00164335" w:rsidRPr="00164335">
          <w:rPr>
            <w:rStyle w:val="Hyperlink"/>
            <w:rFonts w:asciiTheme="majorHAnsi" w:hAnsiTheme="majorHAnsi"/>
          </w:rPr>
          <w:t xml:space="preserve">nfection with </w:t>
        </w:r>
        <w:proofErr w:type="spellStart"/>
        <w:r w:rsidR="00164335" w:rsidRPr="00164335">
          <w:rPr>
            <w:rStyle w:val="Hyperlink"/>
            <w:rFonts w:asciiTheme="majorHAnsi" w:hAnsiTheme="majorHAnsi"/>
          </w:rPr>
          <w:t>Burkholderia</w:t>
        </w:r>
        <w:proofErr w:type="spellEnd"/>
        <w:r w:rsidR="00164335" w:rsidRPr="00164335">
          <w:rPr>
            <w:rStyle w:val="Hyperlink"/>
            <w:rFonts w:asciiTheme="majorHAnsi" w:hAnsiTheme="majorHAnsi"/>
          </w:rPr>
          <w:t xml:space="preserve"> mallei</w:t>
        </w:r>
      </w:hyperlink>
      <w:r w:rsidR="00164335" w:rsidRPr="004C2F56">
        <w:rPr>
          <w:rFonts w:asciiTheme="majorHAnsi" w:hAnsiTheme="majorHAnsi"/>
        </w:rPr>
        <w:t>, World Organisation for Animal Health, Paris, France</w:t>
      </w:r>
      <w:r w:rsidR="00164335">
        <w:rPr>
          <w:rFonts w:asciiTheme="majorHAnsi" w:hAnsiTheme="majorHAnsi"/>
        </w:rPr>
        <w:t xml:space="preserve">, accessed on 29 July 2020. </w:t>
      </w:r>
    </w:p>
    <w:p w14:paraId="2ADC896A" w14:textId="1A4CB87B" w:rsidR="00164335" w:rsidRDefault="00164335"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Pal, V</w:t>
      </w:r>
      <w:r>
        <w:rPr>
          <w:rFonts w:asciiTheme="majorHAnsi" w:hAnsiTheme="majorHAnsi"/>
        </w:rPr>
        <w:t>.</w:t>
      </w:r>
      <w:r w:rsidRPr="004C2F56">
        <w:rPr>
          <w:rFonts w:asciiTheme="majorHAnsi" w:hAnsiTheme="majorHAnsi"/>
        </w:rPr>
        <w:t>, Kumar, S</w:t>
      </w:r>
      <w:r>
        <w:rPr>
          <w:rFonts w:asciiTheme="majorHAnsi" w:hAnsiTheme="majorHAnsi"/>
        </w:rPr>
        <w:t>.</w:t>
      </w:r>
      <w:r w:rsidRPr="004C2F56">
        <w:rPr>
          <w:rFonts w:asciiTheme="majorHAnsi" w:hAnsiTheme="majorHAnsi"/>
        </w:rPr>
        <w:t>, Malik, P</w:t>
      </w:r>
      <w:r>
        <w:rPr>
          <w:rFonts w:asciiTheme="majorHAnsi" w:hAnsiTheme="majorHAnsi"/>
        </w:rPr>
        <w:t>.</w:t>
      </w:r>
      <w:r w:rsidRPr="004C2F56">
        <w:rPr>
          <w:rFonts w:asciiTheme="majorHAnsi" w:hAnsiTheme="majorHAnsi"/>
        </w:rPr>
        <w:t xml:space="preserve"> &amp; Rai, G</w:t>
      </w:r>
      <w:r>
        <w:rPr>
          <w:rFonts w:asciiTheme="majorHAnsi" w:hAnsiTheme="majorHAnsi"/>
        </w:rPr>
        <w:t xml:space="preserve">. 2012. </w:t>
      </w:r>
      <w:hyperlink r:id="rId61" w:history="1">
        <w:r w:rsidRPr="00164335">
          <w:rPr>
            <w:rStyle w:val="Hyperlink"/>
            <w:rFonts w:asciiTheme="majorHAnsi" w:hAnsiTheme="majorHAnsi"/>
          </w:rPr>
          <w:t xml:space="preserve">Evaluation of recombinant proteins of </w:t>
        </w:r>
        <w:proofErr w:type="spellStart"/>
        <w:r w:rsidRPr="00164335">
          <w:rPr>
            <w:rStyle w:val="Hyperlink"/>
            <w:rFonts w:asciiTheme="majorHAnsi" w:hAnsiTheme="majorHAnsi"/>
          </w:rPr>
          <w:t>Burkholderia</w:t>
        </w:r>
        <w:proofErr w:type="spellEnd"/>
        <w:r w:rsidRPr="00164335">
          <w:rPr>
            <w:rStyle w:val="Hyperlink"/>
            <w:rFonts w:asciiTheme="majorHAnsi" w:hAnsiTheme="majorHAnsi"/>
          </w:rPr>
          <w:t xml:space="preserve"> mallei for serodiagnosis of glanders</w:t>
        </w:r>
      </w:hyperlink>
      <w:r w:rsidRPr="004C2F56">
        <w:rPr>
          <w:rFonts w:asciiTheme="majorHAnsi" w:hAnsiTheme="majorHAnsi"/>
        </w:rPr>
        <w:t xml:space="preserve">, </w:t>
      </w:r>
      <w:r w:rsidRPr="00164335">
        <w:rPr>
          <w:rFonts w:asciiTheme="majorHAnsi" w:hAnsiTheme="majorHAnsi"/>
          <w:i/>
        </w:rPr>
        <w:t>Clinical and Vaccine Immunology</w:t>
      </w:r>
      <w:r w:rsidRPr="00164335">
        <w:rPr>
          <w:rFonts w:asciiTheme="majorHAnsi" w:hAnsiTheme="majorHAnsi"/>
        </w:rPr>
        <w:t xml:space="preserve">, vol. 19, no. 8, p. 1193, DOI: </w:t>
      </w:r>
      <w:r w:rsidRPr="00906B0F">
        <w:rPr>
          <w:rFonts w:asciiTheme="majorHAnsi" w:hAnsiTheme="majorHAnsi" w:cs="Arial"/>
          <w:shd w:val="clear" w:color="auto" w:fill="FFFFFF"/>
        </w:rPr>
        <w:t>10.1128/CVI.00137-</w:t>
      </w:r>
      <w:proofErr w:type="gramStart"/>
      <w:r w:rsidRPr="00906B0F">
        <w:rPr>
          <w:rFonts w:asciiTheme="majorHAnsi" w:hAnsiTheme="majorHAnsi" w:cs="Arial"/>
          <w:shd w:val="clear" w:color="auto" w:fill="FFFFFF"/>
        </w:rPr>
        <w:t>12</w:t>
      </w:r>
      <w:r w:rsidRPr="00164335">
        <w:rPr>
          <w:rFonts w:asciiTheme="majorHAnsi" w:hAnsiTheme="majorHAnsi" w:cs="Arial"/>
          <w:b/>
          <w:bCs/>
          <w:color w:val="333333"/>
          <w:shd w:val="clear" w:color="auto" w:fill="FFFFFF"/>
        </w:rPr>
        <w:t> </w:t>
      </w:r>
      <w:r w:rsidRPr="00164335">
        <w:rPr>
          <w:rFonts w:asciiTheme="majorHAnsi" w:hAnsiTheme="majorHAnsi"/>
        </w:rPr>
        <w:t>,</w:t>
      </w:r>
      <w:proofErr w:type="gramEnd"/>
      <w:r w:rsidRPr="00164335">
        <w:rPr>
          <w:rFonts w:asciiTheme="majorHAnsi" w:hAnsiTheme="majorHAnsi"/>
        </w:rPr>
        <w:t xml:space="preserve"> accessed on 29 July 2020</w:t>
      </w:r>
      <w:r>
        <w:rPr>
          <w:rFonts w:asciiTheme="majorHAnsi" w:hAnsiTheme="majorHAnsi"/>
        </w:rPr>
        <w:t xml:space="preserve">. </w:t>
      </w:r>
    </w:p>
    <w:p w14:paraId="4162EA45" w14:textId="73F3E1C5" w:rsidR="00164335" w:rsidRDefault="00164335" w:rsidP="00164335">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ProMED</w:t>
      </w:r>
      <w:proofErr w:type="spellEnd"/>
      <w:r>
        <w:rPr>
          <w:rFonts w:asciiTheme="majorHAnsi" w:hAnsiTheme="majorHAnsi"/>
        </w:rPr>
        <w:t xml:space="preserve">. 2004. </w:t>
      </w:r>
      <w:hyperlink r:id="rId62" w:history="1">
        <w:r w:rsidRPr="00164335">
          <w:rPr>
            <w:rStyle w:val="Hyperlink"/>
            <w:rFonts w:asciiTheme="majorHAnsi" w:hAnsiTheme="majorHAnsi"/>
          </w:rPr>
          <w:t>Glanders - United Arab Emirates</w:t>
        </w:r>
      </w:hyperlink>
      <w:r w:rsidRPr="004C2F56">
        <w:rPr>
          <w:rFonts w:asciiTheme="majorHAnsi" w:hAnsiTheme="majorHAnsi"/>
        </w:rPr>
        <w:t xml:space="preserve">, </w:t>
      </w:r>
      <w:r w:rsidR="00896A8A">
        <w:rPr>
          <w:rFonts w:asciiTheme="majorHAnsi" w:hAnsiTheme="majorHAnsi"/>
        </w:rPr>
        <w:t>horse</w:t>
      </w:r>
      <w:r w:rsidRPr="004C2F56">
        <w:rPr>
          <w:rFonts w:asciiTheme="majorHAnsi" w:hAnsiTheme="majorHAnsi"/>
        </w:rPr>
        <w:t xml:space="preserve">, </w:t>
      </w:r>
      <w:proofErr w:type="spellStart"/>
      <w:r w:rsidRPr="004C2F56">
        <w:rPr>
          <w:rFonts w:asciiTheme="majorHAnsi" w:hAnsiTheme="majorHAnsi"/>
        </w:rPr>
        <w:t>ProMED</w:t>
      </w:r>
      <w:proofErr w:type="spellEnd"/>
      <w:r w:rsidRPr="004C2F56">
        <w:rPr>
          <w:rFonts w:asciiTheme="majorHAnsi" w:hAnsiTheme="majorHAnsi"/>
        </w:rPr>
        <w:t>,</w:t>
      </w:r>
      <w:r>
        <w:rPr>
          <w:rFonts w:asciiTheme="majorHAnsi" w:hAnsiTheme="majorHAnsi"/>
        </w:rPr>
        <w:t xml:space="preserve"> accessed on 20 July 2020.</w:t>
      </w:r>
    </w:p>
    <w:p w14:paraId="5CEE4381" w14:textId="6E292EAF" w:rsidR="00164335" w:rsidRDefault="00164335" w:rsidP="00164335">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ProMED</w:t>
      </w:r>
      <w:proofErr w:type="spellEnd"/>
      <w:r>
        <w:rPr>
          <w:rFonts w:asciiTheme="majorHAnsi" w:hAnsiTheme="majorHAnsi"/>
        </w:rPr>
        <w:t xml:space="preserve">. 2018. </w:t>
      </w:r>
      <w:hyperlink r:id="rId63" w:history="1">
        <w:r w:rsidRPr="00164335">
          <w:rPr>
            <w:rStyle w:val="Hyperlink"/>
            <w:rFonts w:asciiTheme="majorHAnsi" w:hAnsiTheme="majorHAnsi"/>
          </w:rPr>
          <w:t>Glanders - Indonesia: Greater Jakarta</w:t>
        </w:r>
      </w:hyperlink>
      <w:r w:rsidRPr="004C2F56">
        <w:rPr>
          <w:rFonts w:asciiTheme="majorHAnsi" w:hAnsiTheme="majorHAnsi"/>
        </w:rPr>
        <w:t xml:space="preserve">, </w:t>
      </w:r>
      <w:r w:rsidR="00896A8A">
        <w:rPr>
          <w:rFonts w:asciiTheme="majorHAnsi" w:hAnsiTheme="majorHAnsi"/>
        </w:rPr>
        <w:t>horse</w:t>
      </w:r>
      <w:r w:rsidRPr="004C2F56">
        <w:rPr>
          <w:rFonts w:asciiTheme="majorHAnsi" w:hAnsiTheme="majorHAnsi"/>
        </w:rPr>
        <w:t xml:space="preserve">, </w:t>
      </w:r>
      <w:proofErr w:type="spellStart"/>
      <w:r w:rsidRPr="004C2F56">
        <w:rPr>
          <w:rFonts w:asciiTheme="majorHAnsi" w:hAnsiTheme="majorHAnsi"/>
        </w:rPr>
        <w:t>ProMed</w:t>
      </w:r>
      <w:proofErr w:type="spellEnd"/>
      <w:r w:rsidRPr="004C2F56">
        <w:rPr>
          <w:rFonts w:asciiTheme="majorHAnsi" w:hAnsiTheme="majorHAnsi"/>
        </w:rPr>
        <w:t xml:space="preserve">, </w:t>
      </w:r>
      <w:r>
        <w:rPr>
          <w:rFonts w:asciiTheme="majorHAnsi" w:hAnsiTheme="majorHAnsi"/>
        </w:rPr>
        <w:t>accessed on 20 July 2020.</w:t>
      </w:r>
    </w:p>
    <w:p w14:paraId="0C9CB9BC" w14:textId="3CF0F3F9" w:rsidR="00164335" w:rsidRDefault="00164335" w:rsidP="00164335">
      <w:pPr>
        <w:shd w:val="clear" w:color="auto" w:fill="FFFFFF"/>
        <w:spacing w:before="100" w:beforeAutospacing="1" w:after="100" w:afterAutospacing="1" w:line="240" w:lineRule="auto"/>
        <w:rPr>
          <w:rFonts w:asciiTheme="majorHAnsi" w:hAnsiTheme="majorHAnsi"/>
        </w:rPr>
      </w:pPr>
      <w:proofErr w:type="spellStart"/>
      <w:r>
        <w:rPr>
          <w:rFonts w:asciiTheme="majorHAnsi" w:hAnsiTheme="majorHAnsi"/>
        </w:rPr>
        <w:t>ProMED</w:t>
      </w:r>
      <w:proofErr w:type="spellEnd"/>
      <w:r>
        <w:rPr>
          <w:rFonts w:asciiTheme="majorHAnsi" w:hAnsiTheme="majorHAnsi"/>
        </w:rPr>
        <w:t xml:space="preserve">. 2021. </w:t>
      </w:r>
      <w:hyperlink r:id="rId64" w:history="1">
        <w:r w:rsidRPr="00164335">
          <w:rPr>
            <w:rStyle w:val="Hyperlink"/>
            <w:rFonts w:asciiTheme="majorHAnsi" w:hAnsiTheme="majorHAnsi"/>
          </w:rPr>
          <w:t>Glanders - Nepal</w:t>
        </w:r>
      </w:hyperlink>
      <w:r w:rsidRPr="004C2F56">
        <w:rPr>
          <w:rFonts w:asciiTheme="majorHAnsi" w:hAnsiTheme="majorHAnsi"/>
        </w:rPr>
        <w:t xml:space="preserve">, </w:t>
      </w:r>
      <w:r w:rsidR="00896A8A">
        <w:rPr>
          <w:rFonts w:asciiTheme="majorHAnsi" w:hAnsiTheme="majorHAnsi"/>
        </w:rPr>
        <w:t>horse</w:t>
      </w:r>
      <w:r w:rsidRPr="004C2F56">
        <w:rPr>
          <w:rFonts w:asciiTheme="majorHAnsi" w:hAnsiTheme="majorHAnsi"/>
        </w:rPr>
        <w:t xml:space="preserve">, </w:t>
      </w:r>
      <w:proofErr w:type="spellStart"/>
      <w:r w:rsidRPr="004C2F56">
        <w:rPr>
          <w:rFonts w:asciiTheme="majorHAnsi" w:hAnsiTheme="majorHAnsi"/>
        </w:rPr>
        <w:t>ProMed</w:t>
      </w:r>
      <w:proofErr w:type="spellEnd"/>
      <w:r w:rsidRPr="004C2F56">
        <w:rPr>
          <w:rFonts w:asciiTheme="majorHAnsi" w:hAnsiTheme="majorHAnsi"/>
        </w:rPr>
        <w:t>, a</w:t>
      </w:r>
      <w:r>
        <w:rPr>
          <w:rFonts w:asciiTheme="majorHAnsi" w:hAnsiTheme="majorHAnsi"/>
        </w:rPr>
        <w:t xml:space="preserve">ccessed on 20 July 2020. </w:t>
      </w:r>
    </w:p>
    <w:p w14:paraId="747C11F0" w14:textId="714E36BD" w:rsidR="00D611AF" w:rsidRDefault="00D611AF" w:rsidP="00164335">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Rolim</w:t>
      </w:r>
      <w:proofErr w:type="spellEnd"/>
      <w:r w:rsidRPr="004C2F56">
        <w:rPr>
          <w:rFonts w:asciiTheme="majorHAnsi" w:hAnsiTheme="majorHAnsi"/>
        </w:rPr>
        <w:t>, D</w:t>
      </w:r>
      <w:r>
        <w:rPr>
          <w:rFonts w:asciiTheme="majorHAnsi" w:hAnsiTheme="majorHAnsi"/>
        </w:rPr>
        <w:t>.</w:t>
      </w:r>
      <w:r w:rsidRPr="004C2F56">
        <w:rPr>
          <w:rFonts w:asciiTheme="majorHAnsi" w:hAnsiTheme="majorHAnsi"/>
        </w:rPr>
        <w:t>, Lima, R</w:t>
      </w:r>
      <w:r>
        <w:rPr>
          <w:rFonts w:asciiTheme="majorHAnsi" w:hAnsiTheme="majorHAnsi"/>
        </w:rPr>
        <w:t>.</w:t>
      </w:r>
      <w:r w:rsidRPr="004C2F56">
        <w:rPr>
          <w:rFonts w:asciiTheme="majorHAnsi" w:hAnsiTheme="majorHAnsi"/>
        </w:rPr>
        <w:t>, Ribeiro,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Colares</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Lima, L</w:t>
      </w:r>
      <w:r>
        <w:rPr>
          <w:rFonts w:asciiTheme="majorHAnsi" w:hAnsiTheme="majorHAnsi"/>
        </w:rPr>
        <w:t>.</w:t>
      </w:r>
      <w:r w:rsidRPr="004C2F56">
        <w:rPr>
          <w:rFonts w:asciiTheme="majorHAnsi" w:hAnsiTheme="majorHAnsi"/>
        </w:rPr>
        <w:t>, Rodríguez-Morales,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Montúfar</w:t>
      </w:r>
      <w:proofErr w:type="spellEnd"/>
      <w:r w:rsidRPr="004C2F56">
        <w:rPr>
          <w:rFonts w:asciiTheme="majorHAnsi" w:hAnsiTheme="majorHAnsi"/>
        </w:rPr>
        <w:t>, F</w:t>
      </w:r>
      <w:r>
        <w:rPr>
          <w:rFonts w:asciiTheme="majorHAnsi" w:hAnsiTheme="majorHAnsi"/>
        </w:rPr>
        <w:t>.</w:t>
      </w:r>
      <w:r w:rsidRPr="004C2F56">
        <w:rPr>
          <w:rFonts w:asciiTheme="majorHAnsi" w:hAnsiTheme="majorHAnsi"/>
        </w:rPr>
        <w:t xml:space="preserve"> &amp; Dance, D</w:t>
      </w:r>
      <w:r>
        <w:rPr>
          <w:rFonts w:asciiTheme="majorHAnsi" w:hAnsiTheme="majorHAnsi"/>
        </w:rPr>
        <w:t xml:space="preserve">. 2018. </w:t>
      </w:r>
      <w:hyperlink r:id="rId65" w:history="1">
        <w:r w:rsidRPr="00D611AF">
          <w:rPr>
            <w:rStyle w:val="Hyperlink"/>
            <w:rFonts w:asciiTheme="majorHAnsi" w:hAnsiTheme="majorHAnsi"/>
          </w:rPr>
          <w:t>Melioidosis in South America</w:t>
        </w:r>
      </w:hyperlink>
      <w:r>
        <w:rPr>
          <w:rFonts w:asciiTheme="majorHAnsi" w:hAnsiTheme="majorHAnsi"/>
        </w:rPr>
        <w:t xml:space="preserve"> </w:t>
      </w:r>
      <w:r w:rsidRPr="004C2F56">
        <w:rPr>
          <w:rFonts w:asciiTheme="majorHAnsi" w:hAnsiTheme="majorHAnsi"/>
        </w:rPr>
        <w:t xml:space="preserve">(in </w:t>
      </w:r>
      <w:proofErr w:type="spellStart"/>
      <w:r w:rsidRPr="004C2F56">
        <w:rPr>
          <w:rFonts w:asciiTheme="majorHAnsi" w:hAnsiTheme="majorHAnsi"/>
        </w:rPr>
        <w:t>eng</w:t>
      </w:r>
      <w:proofErr w:type="spellEnd"/>
      <w:r w:rsidRPr="004C2F56">
        <w:rPr>
          <w:rFonts w:asciiTheme="majorHAnsi" w:hAnsiTheme="majorHAnsi"/>
        </w:rPr>
        <w:t xml:space="preserve">), </w:t>
      </w:r>
      <w:r w:rsidRPr="004C2F56">
        <w:rPr>
          <w:rFonts w:asciiTheme="majorHAnsi" w:hAnsiTheme="majorHAnsi"/>
          <w:i/>
        </w:rPr>
        <w:t>Journal of Tropical Medicine and Infectious Disease</w:t>
      </w:r>
      <w:r w:rsidRPr="004C2F56">
        <w:rPr>
          <w:rFonts w:asciiTheme="majorHAnsi" w:hAnsiTheme="majorHAnsi"/>
        </w:rPr>
        <w:t>, vol. 3, no. 2</w:t>
      </w:r>
      <w:r>
        <w:rPr>
          <w:rFonts w:asciiTheme="majorHAnsi" w:hAnsiTheme="majorHAnsi"/>
        </w:rPr>
        <w:t xml:space="preserve">, </w:t>
      </w:r>
      <w:r w:rsidRPr="00D611AF">
        <w:rPr>
          <w:rFonts w:asciiTheme="majorHAnsi" w:hAnsiTheme="majorHAnsi"/>
        </w:rPr>
        <w:t xml:space="preserve">DOI: </w:t>
      </w:r>
      <w:r w:rsidRPr="00906B0F">
        <w:rPr>
          <w:rFonts w:asciiTheme="majorHAnsi" w:hAnsiTheme="majorHAnsi" w:cs="Arial"/>
          <w:shd w:val="clear" w:color="auto" w:fill="FFFFFF"/>
        </w:rPr>
        <w:t>10.3390/tropicalmed3020060</w:t>
      </w:r>
      <w:r w:rsidRPr="00D611AF">
        <w:rPr>
          <w:rFonts w:asciiTheme="majorHAnsi" w:hAnsiTheme="majorHAnsi"/>
        </w:rPr>
        <w:t>, accessed</w:t>
      </w:r>
      <w:r>
        <w:rPr>
          <w:rFonts w:asciiTheme="majorHAnsi" w:hAnsiTheme="majorHAnsi"/>
        </w:rPr>
        <w:t xml:space="preserve"> on 20 July 2021. </w:t>
      </w:r>
    </w:p>
    <w:p w14:paraId="2CCAD3D9" w14:textId="5ADE32C4" w:rsidR="00D611AF" w:rsidRDefault="00D611AF"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Rowland, C</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Lertmemongkolchai</w:t>
      </w:r>
      <w:proofErr w:type="spellEnd"/>
      <w:r w:rsidRPr="004C2F56">
        <w:rPr>
          <w:rFonts w:asciiTheme="majorHAnsi" w:hAnsiTheme="majorHAnsi"/>
        </w:rPr>
        <w:t>, G</w:t>
      </w:r>
      <w:r>
        <w:rPr>
          <w:rFonts w:asciiTheme="majorHAnsi" w:hAnsiTheme="majorHAnsi"/>
        </w:rPr>
        <w:t>.</w:t>
      </w:r>
      <w:r w:rsidRPr="004C2F56">
        <w:rPr>
          <w:rFonts w:asciiTheme="majorHAnsi" w:hAnsiTheme="majorHAnsi"/>
        </w:rPr>
        <w:t>, Bancroft, A</w:t>
      </w:r>
      <w:r>
        <w:rPr>
          <w:rFonts w:asciiTheme="majorHAnsi" w:hAnsiTheme="majorHAnsi"/>
        </w:rPr>
        <w:t>.</w:t>
      </w:r>
      <w:r w:rsidRPr="004C2F56">
        <w:rPr>
          <w:rFonts w:asciiTheme="majorHAnsi" w:hAnsiTheme="majorHAnsi"/>
        </w:rPr>
        <w:t>, Haque, A</w:t>
      </w:r>
      <w:r>
        <w:rPr>
          <w:rFonts w:asciiTheme="majorHAnsi" w:hAnsiTheme="majorHAnsi"/>
        </w:rPr>
        <w:t>.</w:t>
      </w:r>
      <w:r w:rsidRPr="004C2F56">
        <w:rPr>
          <w:rFonts w:asciiTheme="majorHAnsi" w:hAnsiTheme="majorHAnsi"/>
        </w:rPr>
        <w:t>, Lever, M</w:t>
      </w:r>
      <w:r>
        <w:rPr>
          <w:rFonts w:asciiTheme="majorHAnsi" w:hAnsiTheme="majorHAnsi"/>
        </w:rPr>
        <w:t>.</w:t>
      </w:r>
      <w:r w:rsidRPr="004C2F56">
        <w:rPr>
          <w:rFonts w:asciiTheme="majorHAnsi" w:hAnsiTheme="majorHAnsi"/>
        </w:rPr>
        <w:t>, Griffin, K</w:t>
      </w:r>
      <w:r>
        <w:rPr>
          <w:rFonts w:asciiTheme="majorHAnsi" w:hAnsiTheme="majorHAnsi"/>
        </w:rPr>
        <w:t>.</w:t>
      </w:r>
      <w:r w:rsidRPr="004C2F56">
        <w:rPr>
          <w:rFonts w:asciiTheme="majorHAnsi" w:hAnsiTheme="majorHAnsi"/>
        </w:rPr>
        <w:t>, Jackson, M</w:t>
      </w:r>
      <w:r>
        <w:rPr>
          <w:rFonts w:asciiTheme="majorHAnsi" w:hAnsiTheme="majorHAnsi"/>
        </w:rPr>
        <w:t>.</w:t>
      </w:r>
      <w:r w:rsidRPr="004C2F56">
        <w:rPr>
          <w:rFonts w:asciiTheme="majorHAnsi" w:hAnsiTheme="majorHAnsi"/>
        </w:rPr>
        <w:t>, Nelson, M</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O'Garra</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Grencis</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Bancroft, G</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Lukaszewski</w:t>
      </w:r>
      <w:proofErr w:type="spellEnd"/>
      <w:r w:rsidRPr="004C2F56">
        <w:rPr>
          <w:rFonts w:asciiTheme="majorHAnsi" w:hAnsiTheme="majorHAnsi"/>
        </w:rPr>
        <w:t>, R</w:t>
      </w:r>
      <w:r>
        <w:rPr>
          <w:rFonts w:asciiTheme="majorHAnsi" w:hAnsiTheme="majorHAnsi"/>
        </w:rPr>
        <w:t xml:space="preserve">. 2006. </w:t>
      </w:r>
      <w:hyperlink r:id="rId66" w:history="1">
        <w:r w:rsidRPr="00D611AF">
          <w:rPr>
            <w:rStyle w:val="Hyperlink"/>
            <w:rFonts w:asciiTheme="majorHAnsi" w:hAnsiTheme="majorHAnsi"/>
          </w:rPr>
          <w:t xml:space="preserve">Critical role of type 1 cytokines in controlling initial infection with </w:t>
        </w:r>
        <w:proofErr w:type="spellStart"/>
        <w:r w:rsidRPr="00D611AF">
          <w:rPr>
            <w:rStyle w:val="Hyperlink"/>
            <w:rFonts w:asciiTheme="majorHAnsi" w:hAnsiTheme="majorHAnsi"/>
          </w:rPr>
          <w:t>Burkholderia</w:t>
        </w:r>
        <w:proofErr w:type="spellEnd"/>
        <w:r w:rsidRPr="00D611AF">
          <w:rPr>
            <w:rStyle w:val="Hyperlink"/>
            <w:rFonts w:asciiTheme="majorHAnsi" w:hAnsiTheme="majorHAnsi"/>
          </w:rPr>
          <w:t xml:space="preserve"> mallei</w:t>
        </w:r>
      </w:hyperlink>
      <w:r w:rsidRPr="004C2F56">
        <w:rPr>
          <w:rFonts w:asciiTheme="majorHAnsi" w:hAnsiTheme="majorHAnsi"/>
        </w:rPr>
        <w:t xml:space="preserve">, </w:t>
      </w:r>
      <w:r w:rsidRPr="004C2F56">
        <w:rPr>
          <w:rFonts w:asciiTheme="majorHAnsi" w:hAnsiTheme="majorHAnsi"/>
          <w:i/>
        </w:rPr>
        <w:t>Infection and immunity</w:t>
      </w:r>
      <w:r w:rsidRPr="004C2F56">
        <w:rPr>
          <w:rFonts w:asciiTheme="majorHAnsi" w:hAnsiTheme="majorHAnsi"/>
        </w:rPr>
        <w:t>, vol. 74, no. 9, pp. 5333-40</w:t>
      </w:r>
      <w:r>
        <w:rPr>
          <w:rFonts w:asciiTheme="majorHAnsi" w:hAnsiTheme="majorHAnsi"/>
        </w:rPr>
        <w:t>, DOI</w:t>
      </w:r>
      <w:r w:rsidRPr="00D611AF">
        <w:rPr>
          <w:rFonts w:asciiTheme="majorHAnsi" w:hAnsiTheme="majorHAnsi"/>
        </w:rPr>
        <w:t xml:space="preserve">: </w:t>
      </w:r>
      <w:r w:rsidRPr="00906B0F">
        <w:rPr>
          <w:rFonts w:asciiTheme="majorHAnsi" w:hAnsiTheme="majorHAnsi" w:cs="Arial"/>
          <w:shd w:val="clear" w:color="auto" w:fill="FFFFFF"/>
        </w:rPr>
        <w:t>10.1128/IAI.02046-05</w:t>
      </w:r>
      <w:r w:rsidRPr="00D611AF">
        <w:rPr>
          <w:rFonts w:asciiTheme="majorHAnsi" w:hAnsiTheme="majorHAnsi"/>
        </w:rPr>
        <w:t>,</w:t>
      </w:r>
      <w:r>
        <w:rPr>
          <w:rFonts w:asciiTheme="majorHAnsi" w:hAnsiTheme="majorHAnsi"/>
        </w:rPr>
        <w:t xml:space="preserve"> accessed on 20 July 2021.</w:t>
      </w:r>
    </w:p>
    <w:p w14:paraId="62DCAA03" w14:textId="3BCC7AF9" w:rsidR="00156763" w:rsidRPr="00156763" w:rsidRDefault="00D611AF" w:rsidP="00156763">
      <w:pPr>
        <w:shd w:val="clear" w:color="auto" w:fill="FFFFFF"/>
        <w:spacing w:before="100" w:beforeAutospacing="1" w:after="100" w:afterAutospacing="1" w:line="240" w:lineRule="auto"/>
        <w:rPr>
          <w:rFonts w:ascii="Segoe UI" w:eastAsia="Times New Roman" w:hAnsi="Segoe UI" w:cs="Segoe UI"/>
          <w:color w:val="212121"/>
          <w:sz w:val="24"/>
          <w:szCs w:val="24"/>
          <w:lang w:eastAsia="en-AU"/>
        </w:rPr>
      </w:pPr>
      <w:r w:rsidRPr="004C2F56">
        <w:rPr>
          <w:rFonts w:asciiTheme="majorHAnsi" w:hAnsiTheme="majorHAnsi"/>
        </w:rPr>
        <w:t>Saqib, M</w:t>
      </w:r>
      <w:r>
        <w:rPr>
          <w:rFonts w:asciiTheme="majorHAnsi" w:hAnsiTheme="majorHAnsi"/>
        </w:rPr>
        <w:t>.</w:t>
      </w:r>
      <w:r w:rsidRPr="004C2F56">
        <w:rPr>
          <w:rFonts w:asciiTheme="majorHAnsi" w:hAnsiTheme="majorHAnsi"/>
        </w:rPr>
        <w:t>, Muhammad, G</w:t>
      </w:r>
      <w:r w:rsidR="00156763">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Naureen</w:t>
      </w:r>
      <w:proofErr w:type="spellEnd"/>
      <w:r w:rsidRPr="004C2F56">
        <w:rPr>
          <w:rFonts w:asciiTheme="majorHAnsi" w:hAnsiTheme="majorHAnsi"/>
        </w:rPr>
        <w:t>, A</w:t>
      </w:r>
      <w:r w:rsidR="00156763">
        <w:rPr>
          <w:rFonts w:asciiTheme="majorHAnsi" w:hAnsiTheme="majorHAnsi"/>
        </w:rPr>
        <w:t>.</w:t>
      </w:r>
      <w:r w:rsidRPr="004C2F56">
        <w:rPr>
          <w:rFonts w:asciiTheme="majorHAnsi" w:hAnsiTheme="majorHAnsi"/>
        </w:rPr>
        <w:t>, Hussain, M</w:t>
      </w:r>
      <w:r w:rsidR="00156763">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Asi</w:t>
      </w:r>
      <w:proofErr w:type="spellEnd"/>
      <w:r w:rsidRPr="004C2F56">
        <w:rPr>
          <w:rFonts w:asciiTheme="majorHAnsi" w:hAnsiTheme="majorHAnsi"/>
        </w:rPr>
        <w:t>, M</w:t>
      </w:r>
      <w:r w:rsidR="00156763">
        <w:rPr>
          <w:rFonts w:asciiTheme="majorHAnsi" w:hAnsiTheme="majorHAnsi"/>
        </w:rPr>
        <w:t>.</w:t>
      </w:r>
      <w:r w:rsidRPr="004C2F56">
        <w:rPr>
          <w:rFonts w:asciiTheme="majorHAnsi" w:hAnsiTheme="majorHAnsi"/>
        </w:rPr>
        <w:t>, Mansoor, M</w:t>
      </w:r>
      <w:r w:rsidR="00156763">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Toufeer</w:t>
      </w:r>
      <w:proofErr w:type="spellEnd"/>
      <w:r w:rsidRPr="004C2F56">
        <w:rPr>
          <w:rFonts w:asciiTheme="majorHAnsi" w:hAnsiTheme="majorHAnsi"/>
        </w:rPr>
        <w:t>, M</w:t>
      </w:r>
      <w:r w:rsidR="00156763">
        <w:rPr>
          <w:rFonts w:asciiTheme="majorHAnsi" w:hAnsiTheme="majorHAnsi"/>
        </w:rPr>
        <w:t>.</w:t>
      </w:r>
      <w:r w:rsidRPr="004C2F56">
        <w:rPr>
          <w:rFonts w:asciiTheme="majorHAnsi" w:hAnsiTheme="majorHAnsi"/>
        </w:rPr>
        <w:t>, Khan, I</w:t>
      </w:r>
      <w:r w:rsidR="00156763">
        <w:rPr>
          <w:rFonts w:asciiTheme="majorHAnsi" w:hAnsiTheme="majorHAnsi"/>
        </w:rPr>
        <w:t>.</w:t>
      </w:r>
      <w:r w:rsidRPr="004C2F56">
        <w:rPr>
          <w:rFonts w:asciiTheme="majorHAnsi" w:hAnsiTheme="majorHAnsi"/>
        </w:rPr>
        <w:t>, Neubauer, H</w:t>
      </w:r>
      <w:r w:rsidR="00156763">
        <w:rPr>
          <w:rFonts w:asciiTheme="majorHAnsi" w:hAnsiTheme="majorHAnsi"/>
        </w:rPr>
        <w:t>.</w:t>
      </w:r>
      <w:r w:rsidRPr="004C2F56">
        <w:rPr>
          <w:rFonts w:asciiTheme="majorHAnsi" w:hAnsiTheme="majorHAnsi"/>
        </w:rPr>
        <w:t xml:space="preserve"> &amp; Sprague, L</w:t>
      </w:r>
      <w:r w:rsidR="00156763">
        <w:rPr>
          <w:rFonts w:asciiTheme="majorHAnsi" w:hAnsiTheme="majorHAnsi"/>
        </w:rPr>
        <w:t xml:space="preserve">. 2012. </w:t>
      </w:r>
      <w:hyperlink r:id="rId67" w:history="1">
        <w:r w:rsidRPr="00156763">
          <w:rPr>
            <w:rStyle w:val="Hyperlink"/>
            <w:rFonts w:asciiTheme="majorHAnsi" w:hAnsiTheme="majorHAnsi"/>
          </w:rPr>
          <w:t xml:space="preserve">Effectiveness of an antimicrobial treatment scheme </w:t>
        </w:r>
        <w:r w:rsidR="00156763" w:rsidRPr="00156763">
          <w:rPr>
            <w:rStyle w:val="Hyperlink"/>
            <w:rFonts w:asciiTheme="majorHAnsi" w:hAnsiTheme="majorHAnsi"/>
          </w:rPr>
          <w:t>in a confined glanders outbreak</w:t>
        </w:r>
      </w:hyperlink>
      <w:r w:rsidRPr="004C2F56">
        <w:rPr>
          <w:rFonts w:asciiTheme="majorHAnsi" w:hAnsiTheme="majorHAnsi"/>
        </w:rPr>
        <w:t xml:space="preserve">, </w:t>
      </w:r>
      <w:r w:rsidRPr="004C2F56">
        <w:rPr>
          <w:rFonts w:asciiTheme="majorHAnsi" w:hAnsiTheme="majorHAnsi"/>
          <w:i/>
        </w:rPr>
        <w:t>BioMed Central Veterinary Research</w:t>
      </w:r>
      <w:r w:rsidRPr="004C2F56">
        <w:rPr>
          <w:rFonts w:asciiTheme="majorHAnsi" w:hAnsiTheme="majorHAnsi"/>
        </w:rPr>
        <w:t>, vol. 8, no. 1, p</w:t>
      </w:r>
      <w:r w:rsidR="00156763">
        <w:rPr>
          <w:rFonts w:asciiTheme="majorHAnsi" w:hAnsiTheme="majorHAnsi"/>
        </w:rPr>
        <w:t>p</w:t>
      </w:r>
      <w:r w:rsidRPr="004C2F56">
        <w:rPr>
          <w:rFonts w:asciiTheme="majorHAnsi" w:hAnsiTheme="majorHAnsi"/>
        </w:rPr>
        <w:t>. 214</w:t>
      </w:r>
      <w:r w:rsidR="00156763">
        <w:rPr>
          <w:rFonts w:asciiTheme="majorHAnsi" w:hAnsiTheme="majorHAnsi"/>
        </w:rPr>
        <w:t xml:space="preserve">, DOI: </w:t>
      </w:r>
      <w:r w:rsidR="00156763" w:rsidRPr="00906B0F">
        <w:rPr>
          <w:rStyle w:val="identifier"/>
          <w:rFonts w:asciiTheme="majorHAnsi" w:hAnsiTheme="majorHAnsi" w:cs="Segoe UI"/>
          <w:color w:val="212121"/>
        </w:rPr>
        <w:t>10.1186/1746-6148-8-214</w:t>
      </w:r>
      <w:r w:rsidR="00156763" w:rsidRPr="00156763">
        <w:rPr>
          <w:rFonts w:asciiTheme="majorHAnsi" w:hAnsiTheme="majorHAnsi"/>
        </w:rPr>
        <w:t xml:space="preserve">, accessed on </w:t>
      </w:r>
      <w:r w:rsidR="00156763">
        <w:rPr>
          <w:rFonts w:asciiTheme="majorHAnsi" w:hAnsiTheme="majorHAnsi"/>
        </w:rPr>
        <w:t>27 July 2020.</w:t>
      </w:r>
    </w:p>
    <w:p w14:paraId="517C0B92" w14:textId="212AC69F" w:rsidR="00156763" w:rsidRDefault="00156763"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Scholz, H</w:t>
      </w:r>
      <w:r>
        <w:rPr>
          <w:rFonts w:asciiTheme="majorHAnsi" w:hAnsiTheme="majorHAnsi"/>
        </w:rPr>
        <w:t>.</w:t>
      </w:r>
      <w:r w:rsidRPr="004C2F56">
        <w:rPr>
          <w:rFonts w:asciiTheme="majorHAnsi" w:hAnsiTheme="majorHAnsi"/>
        </w:rPr>
        <w:t>, Pearson, T</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Hornstra</w:t>
      </w:r>
      <w:proofErr w:type="spellEnd"/>
      <w:r w:rsidRPr="004C2F56">
        <w:rPr>
          <w:rFonts w:asciiTheme="majorHAnsi" w:hAnsiTheme="majorHAnsi"/>
        </w:rPr>
        <w:t>, H</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Projahn</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Terzioglu</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Georgi, E</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Riehm</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Wagner, D</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Keim</w:t>
      </w:r>
      <w:proofErr w:type="spellEnd"/>
      <w:r w:rsidRPr="004C2F56">
        <w:rPr>
          <w:rFonts w:asciiTheme="majorHAnsi" w:hAnsiTheme="majorHAnsi"/>
        </w:rPr>
        <w:t>, P</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Johnson,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Kinne</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Jose,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Hepp</w:t>
      </w:r>
      <w:proofErr w:type="spellEnd"/>
      <w:r w:rsidRPr="004C2F56">
        <w:rPr>
          <w:rFonts w:asciiTheme="majorHAnsi" w:hAnsiTheme="majorHAnsi"/>
        </w:rPr>
        <w:t xml:space="preserve">, </w:t>
      </w:r>
      <w:r>
        <w:rPr>
          <w:rFonts w:asciiTheme="majorHAnsi" w:hAnsiTheme="majorHAnsi"/>
        </w:rPr>
        <w:t xml:space="preserve">C., Witte, A. &amp; </w:t>
      </w:r>
      <w:proofErr w:type="spellStart"/>
      <w:r>
        <w:rPr>
          <w:rFonts w:asciiTheme="majorHAnsi" w:hAnsiTheme="majorHAnsi"/>
        </w:rPr>
        <w:t>Wernery</w:t>
      </w:r>
      <w:proofErr w:type="spellEnd"/>
      <w:r>
        <w:rPr>
          <w:rFonts w:asciiTheme="majorHAnsi" w:hAnsiTheme="majorHAnsi"/>
        </w:rPr>
        <w:t xml:space="preserve">, U. 2014. </w:t>
      </w:r>
      <w:hyperlink r:id="rId68" w:history="1">
        <w:r w:rsidRPr="00156763">
          <w:rPr>
            <w:rStyle w:val="Hyperlink"/>
            <w:rFonts w:asciiTheme="majorHAnsi" w:hAnsiTheme="majorHAnsi"/>
          </w:rPr>
          <w:t xml:space="preserve">Genotyping of </w:t>
        </w:r>
        <w:proofErr w:type="spellStart"/>
        <w:r w:rsidRPr="00156763">
          <w:rPr>
            <w:rStyle w:val="Hyperlink"/>
            <w:rFonts w:asciiTheme="majorHAnsi" w:hAnsiTheme="majorHAnsi"/>
          </w:rPr>
          <w:t>Burkholderia</w:t>
        </w:r>
        <w:proofErr w:type="spellEnd"/>
        <w:r w:rsidRPr="00156763">
          <w:rPr>
            <w:rStyle w:val="Hyperlink"/>
            <w:rFonts w:asciiTheme="majorHAnsi" w:hAnsiTheme="majorHAnsi"/>
          </w:rPr>
          <w:t xml:space="preserve"> mallei from an outbreak of glanders in Bahrain suggests multiple introduction events</w:t>
        </w:r>
      </w:hyperlink>
      <w:r w:rsidRPr="004C2F56">
        <w:rPr>
          <w:rFonts w:asciiTheme="majorHAnsi" w:hAnsiTheme="majorHAnsi"/>
        </w:rPr>
        <w:t xml:space="preserve">, </w:t>
      </w:r>
      <w:proofErr w:type="spellStart"/>
      <w:r w:rsidRPr="004C2F56">
        <w:rPr>
          <w:rFonts w:asciiTheme="majorHAnsi" w:hAnsiTheme="majorHAnsi"/>
          <w:i/>
        </w:rPr>
        <w:t>PLoS</w:t>
      </w:r>
      <w:proofErr w:type="spellEnd"/>
      <w:r w:rsidRPr="004C2F56">
        <w:rPr>
          <w:rFonts w:asciiTheme="majorHAnsi" w:hAnsiTheme="majorHAnsi"/>
          <w:i/>
        </w:rPr>
        <w:t xml:space="preserve"> neg</w:t>
      </w:r>
      <w:r w:rsidRPr="00156763">
        <w:rPr>
          <w:rFonts w:asciiTheme="majorHAnsi" w:hAnsiTheme="majorHAnsi"/>
          <w:i/>
        </w:rPr>
        <w:t>lected tropical diseases</w:t>
      </w:r>
      <w:r w:rsidRPr="00156763">
        <w:rPr>
          <w:rFonts w:asciiTheme="majorHAnsi" w:hAnsiTheme="majorHAnsi"/>
        </w:rPr>
        <w:t xml:space="preserve">, vol. 8, no. 9, DOI: </w:t>
      </w:r>
      <w:r w:rsidRPr="00906B0F">
        <w:rPr>
          <w:rFonts w:asciiTheme="majorHAnsi" w:hAnsiTheme="majorHAnsi"/>
          <w:shd w:val="clear" w:color="auto" w:fill="FFFFFF"/>
        </w:rPr>
        <w:t>10.1371/journal.pntd.0003195</w:t>
      </w:r>
      <w:r w:rsidRPr="00156763">
        <w:rPr>
          <w:rFonts w:asciiTheme="majorHAnsi" w:hAnsiTheme="majorHAnsi"/>
        </w:rPr>
        <w:t xml:space="preserve">, </w:t>
      </w:r>
      <w:r>
        <w:rPr>
          <w:rFonts w:asciiTheme="majorHAnsi" w:hAnsiTheme="majorHAnsi"/>
        </w:rPr>
        <w:t xml:space="preserve">accessed on 27 July 2020. </w:t>
      </w:r>
    </w:p>
    <w:p w14:paraId="1A8BF58E" w14:textId="51AE19D1" w:rsidR="00156763" w:rsidRPr="00156763" w:rsidRDefault="00156763" w:rsidP="00156763">
      <w:pPr>
        <w:shd w:val="clear" w:color="auto" w:fill="FFFFFF"/>
        <w:spacing w:before="100" w:beforeAutospacing="1" w:after="100" w:afterAutospacing="1" w:line="240" w:lineRule="auto"/>
        <w:rPr>
          <w:rFonts w:ascii="Segoe UI" w:eastAsia="Times New Roman" w:hAnsi="Segoe UI" w:cs="Segoe UI"/>
          <w:color w:val="212121"/>
          <w:sz w:val="24"/>
          <w:szCs w:val="24"/>
          <w:lang w:eastAsia="en-AU"/>
        </w:rPr>
      </w:pPr>
      <w:proofErr w:type="spellStart"/>
      <w:r w:rsidRPr="004C2F56">
        <w:rPr>
          <w:rFonts w:asciiTheme="majorHAnsi" w:hAnsiTheme="majorHAnsi"/>
        </w:rPr>
        <w:t>Shakibamehr</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Mosavari</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Harzandi</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Mojgani</w:t>
      </w:r>
      <w:proofErr w:type="spellEnd"/>
      <w:r w:rsidRPr="004C2F56">
        <w:rPr>
          <w:rFonts w:asciiTheme="majorHAnsi" w:hAnsiTheme="majorHAnsi"/>
        </w:rPr>
        <w:t>, N</w:t>
      </w:r>
      <w:r>
        <w:rPr>
          <w:rFonts w:asciiTheme="majorHAnsi" w:hAnsiTheme="majorHAnsi"/>
        </w:rPr>
        <w:t xml:space="preserve">. 2021. </w:t>
      </w:r>
      <w:hyperlink r:id="rId69" w:history="1">
        <w:r w:rsidRPr="00156763">
          <w:rPr>
            <w:rStyle w:val="Hyperlink"/>
            <w:rFonts w:asciiTheme="majorHAnsi" w:hAnsiTheme="majorHAnsi"/>
          </w:rPr>
          <w:t>Designing of western blot technique for glanders diagnosing in Iran</w:t>
        </w:r>
      </w:hyperlink>
      <w:r w:rsidRPr="00156763">
        <w:rPr>
          <w:rFonts w:asciiTheme="majorHAnsi" w:hAnsiTheme="majorHAnsi"/>
        </w:rPr>
        <w:t xml:space="preserve"> (in </w:t>
      </w:r>
      <w:proofErr w:type="spellStart"/>
      <w:r w:rsidRPr="00156763">
        <w:rPr>
          <w:rFonts w:asciiTheme="majorHAnsi" w:hAnsiTheme="majorHAnsi"/>
        </w:rPr>
        <w:t>eng</w:t>
      </w:r>
      <w:proofErr w:type="spellEnd"/>
      <w:r w:rsidRPr="00156763">
        <w:rPr>
          <w:rFonts w:asciiTheme="majorHAnsi" w:hAnsiTheme="majorHAnsi"/>
        </w:rPr>
        <w:t xml:space="preserve">), </w:t>
      </w:r>
      <w:r w:rsidRPr="00156763">
        <w:rPr>
          <w:rFonts w:asciiTheme="majorHAnsi" w:hAnsiTheme="majorHAnsi"/>
          <w:i/>
        </w:rPr>
        <w:t xml:space="preserve">Journal of </w:t>
      </w:r>
      <w:r w:rsidR="003B50A0">
        <w:rPr>
          <w:rFonts w:asciiTheme="majorHAnsi" w:hAnsiTheme="majorHAnsi"/>
          <w:i/>
        </w:rPr>
        <w:t>Equine</w:t>
      </w:r>
      <w:r w:rsidR="003B50A0" w:rsidRPr="00156763">
        <w:rPr>
          <w:rFonts w:asciiTheme="majorHAnsi" w:hAnsiTheme="majorHAnsi"/>
          <w:i/>
        </w:rPr>
        <w:t xml:space="preserve"> </w:t>
      </w:r>
      <w:r w:rsidRPr="00156763">
        <w:rPr>
          <w:rFonts w:asciiTheme="majorHAnsi" w:hAnsiTheme="majorHAnsi"/>
          <w:i/>
        </w:rPr>
        <w:t>Veterinary Science</w:t>
      </w:r>
      <w:r w:rsidRPr="00156763">
        <w:rPr>
          <w:rFonts w:asciiTheme="majorHAnsi" w:hAnsiTheme="majorHAnsi"/>
        </w:rPr>
        <w:t xml:space="preserve">, vol. 99, DOI: </w:t>
      </w:r>
      <w:r w:rsidRPr="00906B0F">
        <w:rPr>
          <w:rStyle w:val="identifier"/>
          <w:rFonts w:asciiTheme="majorHAnsi" w:hAnsiTheme="majorHAnsi" w:cs="Segoe UI"/>
          <w:color w:val="212121"/>
        </w:rPr>
        <w:t>10.1016/j.jevs.2021.103403</w:t>
      </w:r>
      <w:r w:rsidRPr="00156763">
        <w:rPr>
          <w:rFonts w:asciiTheme="majorHAnsi" w:hAnsiTheme="majorHAnsi"/>
        </w:rPr>
        <w:t xml:space="preserve">, accessed on </w:t>
      </w:r>
      <w:r>
        <w:rPr>
          <w:rFonts w:asciiTheme="majorHAnsi" w:hAnsiTheme="majorHAnsi"/>
        </w:rPr>
        <w:t>15 June 2020.</w:t>
      </w:r>
    </w:p>
    <w:p w14:paraId="7E7D2A69" w14:textId="6E99F36A" w:rsidR="00156763" w:rsidRPr="00156763" w:rsidRDefault="00156763" w:rsidP="00156763">
      <w:pPr>
        <w:shd w:val="clear" w:color="auto" w:fill="FFFFFF"/>
        <w:spacing w:before="100" w:beforeAutospacing="1" w:after="100" w:afterAutospacing="1" w:line="240" w:lineRule="auto"/>
        <w:rPr>
          <w:rFonts w:ascii="Segoe UI" w:eastAsia="Times New Roman" w:hAnsi="Segoe UI" w:cs="Segoe UI"/>
          <w:color w:val="212121"/>
          <w:sz w:val="24"/>
          <w:szCs w:val="24"/>
          <w:lang w:eastAsia="en-AU"/>
        </w:rPr>
      </w:pPr>
      <w:r w:rsidRPr="004C2F56">
        <w:rPr>
          <w:rFonts w:asciiTheme="majorHAnsi" w:hAnsiTheme="majorHAnsi"/>
        </w:rPr>
        <w:t>Singha, H</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Shanmugasundaram</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Tripathi, B</w:t>
      </w:r>
      <w:r>
        <w:rPr>
          <w:rFonts w:asciiTheme="majorHAnsi" w:hAnsiTheme="majorHAnsi"/>
        </w:rPr>
        <w:t>.</w:t>
      </w:r>
      <w:r w:rsidRPr="004C2F56">
        <w:rPr>
          <w:rFonts w:asciiTheme="majorHAnsi" w:hAnsiTheme="majorHAnsi"/>
        </w:rPr>
        <w:t>, Saini, S</w:t>
      </w:r>
      <w:r>
        <w:rPr>
          <w:rFonts w:asciiTheme="majorHAnsi" w:hAnsiTheme="majorHAnsi"/>
        </w:rPr>
        <w:t>.</w:t>
      </w:r>
      <w:r w:rsidRPr="004C2F56">
        <w:rPr>
          <w:rFonts w:asciiTheme="majorHAnsi" w:hAnsiTheme="majorHAnsi"/>
        </w:rPr>
        <w:t>, Khurana,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Kanani</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Shah, N</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Mital</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Kanwar, P</w:t>
      </w:r>
      <w:r>
        <w:rPr>
          <w:rFonts w:asciiTheme="majorHAnsi" w:hAnsiTheme="majorHAnsi"/>
        </w:rPr>
        <w:t>.</w:t>
      </w:r>
      <w:r w:rsidRPr="004C2F56">
        <w:rPr>
          <w:rFonts w:asciiTheme="majorHAnsi" w:hAnsiTheme="majorHAnsi"/>
        </w:rPr>
        <w:t>, Bhatt, L</w:t>
      </w:r>
      <w:r>
        <w:rPr>
          <w:rFonts w:asciiTheme="majorHAnsi" w:hAnsiTheme="majorHAnsi"/>
        </w:rPr>
        <w:t>.</w:t>
      </w:r>
      <w:r w:rsidRPr="004C2F56">
        <w:rPr>
          <w:rFonts w:asciiTheme="majorHAnsi" w:hAnsiTheme="majorHAnsi"/>
        </w:rPr>
        <w:t>, Limaye, V</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Khasa</w:t>
      </w:r>
      <w:proofErr w:type="spellEnd"/>
      <w:r w:rsidRPr="004C2F56">
        <w:rPr>
          <w:rFonts w:asciiTheme="majorHAnsi" w:hAnsiTheme="majorHAnsi"/>
        </w:rPr>
        <w:t>, V</w:t>
      </w:r>
      <w:r>
        <w:rPr>
          <w:rFonts w:asciiTheme="majorHAnsi" w:hAnsiTheme="majorHAnsi"/>
        </w:rPr>
        <w:t>.</w:t>
      </w:r>
      <w:r w:rsidRPr="004C2F56">
        <w:rPr>
          <w:rFonts w:asciiTheme="majorHAnsi" w:hAnsiTheme="majorHAnsi"/>
        </w:rPr>
        <w:t>, Arora, R</w:t>
      </w:r>
      <w:r>
        <w:rPr>
          <w:rFonts w:asciiTheme="majorHAnsi" w:hAnsiTheme="majorHAnsi"/>
        </w:rPr>
        <w:t>.</w:t>
      </w:r>
      <w:r w:rsidRPr="004C2F56">
        <w:rPr>
          <w:rFonts w:asciiTheme="majorHAnsi" w:hAnsiTheme="majorHAnsi"/>
        </w:rPr>
        <w:t>, Gupta, S</w:t>
      </w:r>
      <w:r>
        <w:rPr>
          <w:rFonts w:asciiTheme="majorHAnsi" w:hAnsiTheme="majorHAnsi"/>
        </w:rPr>
        <w:t>.</w:t>
      </w:r>
      <w:r w:rsidRPr="004C2F56">
        <w:rPr>
          <w:rFonts w:asciiTheme="majorHAnsi" w:hAnsiTheme="majorHAnsi"/>
        </w:rPr>
        <w:t>, Sangha, S</w:t>
      </w:r>
      <w:r>
        <w:rPr>
          <w:rFonts w:asciiTheme="majorHAnsi" w:hAnsiTheme="majorHAnsi"/>
        </w:rPr>
        <w:t>.</w:t>
      </w:r>
      <w:r w:rsidRPr="004C2F56">
        <w:rPr>
          <w:rFonts w:asciiTheme="majorHAnsi" w:hAnsiTheme="majorHAnsi"/>
        </w:rPr>
        <w:t>, Sharma, H</w:t>
      </w:r>
      <w:r>
        <w:rPr>
          <w:rFonts w:asciiTheme="majorHAnsi" w:hAnsiTheme="majorHAnsi"/>
        </w:rPr>
        <w:t>.</w:t>
      </w:r>
      <w:r w:rsidRPr="004C2F56">
        <w:rPr>
          <w:rFonts w:asciiTheme="majorHAnsi" w:hAnsiTheme="majorHAnsi"/>
        </w:rPr>
        <w:t>, Agarwal,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Tapase</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Parnam</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Dubey, P</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Baalasundaram</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Mandal,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Virmani</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Gulati, B</w:t>
      </w:r>
      <w:r>
        <w:rPr>
          <w:rFonts w:asciiTheme="majorHAnsi" w:hAnsiTheme="majorHAnsi"/>
        </w:rPr>
        <w:t>.</w:t>
      </w:r>
      <w:r w:rsidRPr="004C2F56">
        <w:rPr>
          <w:rFonts w:asciiTheme="majorHAnsi" w:hAnsiTheme="majorHAnsi"/>
        </w:rPr>
        <w:t xml:space="preserve"> &amp; Malik, P</w:t>
      </w:r>
      <w:r>
        <w:rPr>
          <w:rFonts w:asciiTheme="majorHAnsi" w:hAnsiTheme="majorHAnsi"/>
        </w:rPr>
        <w:t xml:space="preserve">. 2020. </w:t>
      </w:r>
      <w:hyperlink r:id="rId70" w:history="1">
        <w:r w:rsidRPr="00156763">
          <w:rPr>
            <w:rStyle w:val="Hyperlink"/>
            <w:rFonts w:asciiTheme="majorHAnsi" w:hAnsiTheme="majorHAnsi"/>
          </w:rPr>
          <w:t xml:space="preserve">Serological surveillance and clinical investigation of glanders among indigenous </w:t>
        </w:r>
        <w:r w:rsidR="003B50A0">
          <w:rPr>
            <w:rStyle w:val="Hyperlink"/>
            <w:rFonts w:asciiTheme="majorHAnsi" w:hAnsiTheme="majorHAnsi"/>
          </w:rPr>
          <w:t>equines</w:t>
        </w:r>
        <w:r w:rsidR="003B50A0" w:rsidRPr="00156763">
          <w:rPr>
            <w:rStyle w:val="Hyperlink"/>
            <w:rFonts w:asciiTheme="majorHAnsi" w:hAnsiTheme="majorHAnsi"/>
          </w:rPr>
          <w:t xml:space="preserve"> </w:t>
        </w:r>
        <w:r w:rsidRPr="00156763">
          <w:rPr>
            <w:rStyle w:val="Hyperlink"/>
            <w:rFonts w:asciiTheme="majorHAnsi" w:hAnsiTheme="majorHAnsi"/>
          </w:rPr>
          <w:t>in India from 2015 to 2018</w:t>
        </w:r>
      </w:hyperlink>
      <w:r w:rsidRPr="004C2F56">
        <w:rPr>
          <w:rFonts w:asciiTheme="majorHAnsi" w:hAnsiTheme="majorHAnsi"/>
        </w:rPr>
        <w:t xml:space="preserve">, vol. 67, no. 3, pp. </w:t>
      </w:r>
      <w:r w:rsidRPr="00156763">
        <w:rPr>
          <w:rFonts w:asciiTheme="majorHAnsi" w:hAnsiTheme="majorHAnsi"/>
        </w:rPr>
        <w:t xml:space="preserve">1336-48, DOI: </w:t>
      </w:r>
      <w:r w:rsidRPr="00906B0F">
        <w:rPr>
          <w:rStyle w:val="identifier"/>
          <w:rFonts w:asciiTheme="majorHAnsi" w:hAnsiTheme="majorHAnsi" w:cs="Segoe UI"/>
          <w:color w:val="212121"/>
        </w:rPr>
        <w:t>10.1111/tbed.13475</w:t>
      </w:r>
      <w:r w:rsidRPr="00156763">
        <w:rPr>
          <w:rFonts w:asciiTheme="majorHAnsi" w:hAnsiTheme="majorHAnsi"/>
        </w:rPr>
        <w:t xml:space="preserve">, accessed on </w:t>
      </w:r>
      <w:r>
        <w:rPr>
          <w:rFonts w:asciiTheme="majorHAnsi" w:hAnsiTheme="majorHAnsi"/>
        </w:rPr>
        <w:t>28 July 2021.</w:t>
      </w:r>
    </w:p>
    <w:p w14:paraId="7BA49505" w14:textId="77777777" w:rsidR="006E41F0" w:rsidRDefault="006E41F0" w:rsidP="00156763">
      <w:pPr>
        <w:shd w:val="clear" w:color="auto" w:fill="FFFFFF"/>
        <w:spacing w:before="100" w:beforeAutospacing="1" w:after="100" w:afterAutospacing="1" w:line="240" w:lineRule="auto"/>
        <w:rPr>
          <w:rFonts w:asciiTheme="majorHAnsi" w:hAnsiTheme="majorHAnsi"/>
        </w:rPr>
      </w:pPr>
      <w:proofErr w:type="spellStart"/>
      <w:r>
        <w:rPr>
          <w:rFonts w:asciiTheme="majorHAnsi" w:hAnsiTheme="majorHAnsi"/>
        </w:rPr>
        <w:t>Spickler</w:t>
      </w:r>
      <w:proofErr w:type="spellEnd"/>
      <w:r>
        <w:rPr>
          <w:rFonts w:asciiTheme="majorHAnsi" w:hAnsiTheme="majorHAnsi"/>
        </w:rPr>
        <w:t xml:space="preserve">, A. 2018. </w:t>
      </w:r>
      <w:hyperlink r:id="rId71" w:history="1">
        <w:r w:rsidRPr="006E41F0">
          <w:rPr>
            <w:rStyle w:val="Hyperlink"/>
            <w:rFonts w:asciiTheme="majorHAnsi" w:hAnsiTheme="majorHAnsi"/>
          </w:rPr>
          <w:t>Glanders</w:t>
        </w:r>
      </w:hyperlink>
      <w:r w:rsidRPr="004C2F56">
        <w:rPr>
          <w:rFonts w:asciiTheme="majorHAnsi" w:hAnsiTheme="majorHAnsi"/>
        </w:rPr>
        <w:t>, Centre for Food Security and Public Health, Iowa, USA</w:t>
      </w:r>
      <w:r>
        <w:rPr>
          <w:rFonts w:asciiTheme="majorHAnsi" w:hAnsiTheme="majorHAnsi"/>
        </w:rPr>
        <w:t xml:space="preserve">, accessed on 26 June 2021. </w:t>
      </w:r>
    </w:p>
    <w:p w14:paraId="215D9F83" w14:textId="20C999E4" w:rsidR="006E41F0" w:rsidRDefault="006E41F0"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Sprague, L</w:t>
      </w:r>
      <w:r>
        <w:rPr>
          <w:rFonts w:asciiTheme="majorHAnsi" w:hAnsiTheme="majorHAnsi"/>
        </w:rPr>
        <w:t>.</w:t>
      </w:r>
      <w:r w:rsidRPr="004C2F56">
        <w:rPr>
          <w:rFonts w:asciiTheme="majorHAnsi" w:hAnsiTheme="majorHAnsi"/>
        </w:rPr>
        <w:t>, Zachariah, R</w:t>
      </w:r>
      <w:r>
        <w:rPr>
          <w:rFonts w:asciiTheme="majorHAnsi" w:hAnsiTheme="majorHAnsi"/>
        </w:rPr>
        <w:t>.</w:t>
      </w:r>
      <w:r w:rsidRPr="004C2F56">
        <w:rPr>
          <w:rFonts w:asciiTheme="majorHAnsi" w:hAnsiTheme="majorHAnsi"/>
        </w:rPr>
        <w:t>, Neubauer, H</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Scholz, H</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 xml:space="preserve">. 2009. </w:t>
      </w:r>
      <w:hyperlink r:id="rId72" w:history="1">
        <w:r w:rsidRPr="006E41F0">
          <w:rPr>
            <w:rStyle w:val="Hyperlink"/>
            <w:rFonts w:asciiTheme="majorHAnsi" w:hAnsiTheme="majorHAnsi"/>
          </w:rPr>
          <w:t>Prevalence-dependent use of serological tests for diagnosing glanders in horses</w:t>
        </w:r>
      </w:hyperlink>
      <w:r w:rsidRPr="004C2F56">
        <w:rPr>
          <w:rFonts w:asciiTheme="majorHAnsi" w:hAnsiTheme="majorHAnsi"/>
        </w:rPr>
        <w:t xml:space="preserve">, </w:t>
      </w:r>
      <w:r w:rsidRPr="004C2F56">
        <w:rPr>
          <w:rFonts w:asciiTheme="majorHAnsi" w:hAnsiTheme="majorHAnsi"/>
          <w:i/>
        </w:rPr>
        <w:t>BioMed Central Veterinary Research</w:t>
      </w:r>
      <w:r w:rsidRPr="004C2F56">
        <w:rPr>
          <w:rFonts w:asciiTheme="majorHAnsi" w:hAnsiTheme="majorHAnsi"/>
        </w:rPr>
        <w:t>, vol. 5, no. 1, p. 32</w:t>
      </w:r>
      <w:r>
        <w:rPr>
          <w:rFonts w:asciiTheme="majorHAnsi" w:hAnsiTheme="majorHAnsi"/>
        </w:rPr>
        <w:t xml:space="preserve">, </w:t>
      </w:r>
      <w:r w:rsidRPr="006E41F0">
        <w:rPr>
          <w:rFonts w:asciiTheme="majorHAnsi" w:hAnsiTheme="majorHAnsi"/>
        </w:rPr>
        <w:t xml:space="preserve">DOI: </w:t>
      </w:r>
      <w:r w:rsidRPr="00906B0F">
        <w:rPr>
          <w:rFonts w:asciiTheme="majorHAnsi" w:hAnsiTheme="majorHAnsi" w:cs="Segoe UI"/>
          <w:shd w:val="clear" w:color="auto" w:fill="FFFFFF"/>
        </w:rPr>
        <w:t>10.1186/1746-6148-5-32</w:t>
      </w:r>
      <w:r>
        <w:rPr>
          <w:rFonts w:asciiTheme="majorHAnsi" w:hAnsiTheme="majorHAnsi"/>
        </w:rPr>
        <w:t>, accessed on 25 May 2020.</w:t>
      </w:r>
    </w:p>
    <w:p w14:paraId="19FB4EAA" w14:textId="77777777" w:rsidR="006E41F0" w:rsidRDefault="006E41F0"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lastRenderedPageBreak/>
        <w:t>Srinivasan, A</w:t>
      </w:r>
      <w:r>
        <w:rPr>
          <w:rFonts w:asciiTheme="majorHAnsi" w:hAnsiTheme="majorHAnsi"/>
        </w:rPr>
        <w:t>.</w:t>
      </w:r>
      <w:r w:rsidRPr="004C2F56">
        <w:rPr>
          <w:rFonts w:asciiTheme="majorHAnsi" w:hAnsiTheme="majorHAnsi"/>
        </w:rPr>
        <w:t>, Kraus, C</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DeShazer</w:t>
      </w:r>
      <w:proofErr w:type="spellEnd"/>
      <w:r w:rsidRPr="004C2F56">
        <w:rPr>
          <w:rFonts w:asciiTheme="majorHAnsi" w:hAnsiTheme="majorHAnsi"/>
        </w:rPr>
        <w:t>, D</w:t>
      </w:r>
      <w:r>
        <w:rPr>
          <w:rFonts w:asciiTheme="majorHAnsi" w:hAnsiTheme="majorHAnsi"/>
        </w:rPr>
        <w:t>.</w:t>
      </w:r>
      <w:r w:rsidRPr="004C2F56">
        <w:rPr>
          <w:rFonts w:asciiTheme="majorHAnsi" w:hAnsiTheme="majorHAnsi"/>
        </w:rPr>
        <w:t>, Becker, P</w:t>
      </w:r>
      <w:r>
        <w:rPr>
          <w:rFonts w:asciiTheme="majorHAnsi" w:hAnsiTheme="majorHAnsi"/>
        </w:rPr>
        <w:t>.</w:t>
      </w:r>
      <w:r w:rsidRPr="004C2F56">
        <w:rPr>
          <w:rFonts w:asciiTheme="majorHAnsi" w:hAnsiTheme="majorHAnsi"/>
        </w:rPr>
        <w:t>, Dick, J</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Spacek</w:t>
      </w:r>
      <w:proofErr w:type="spellEnd"/>
      <w:r w:rsidRPr="004C2F56">
        <w:rPr>
          <w:rFonts w:asciiTheme="majorHAnsi" w:hAnsiTheme="majorHAnsi"/>
        </w:rPr>
        <w:t>, L</w:t>
      </w:r>
      <w:r>
        <w:rPr>
          <w:rFonts w:asciiTheme="majorHAnsi" w:hAnsiTheme="majorHAnsi"/>
        </w:rPr>
        <w:t>.</w:t>
      </w:r>
      <w:r w:rsidRPr="004C2F56">
        <w:rPr>
          <w:rFonts w:asciiTheme="majorHAnsi" w:hAnsiTheme="majorHAnsi"/>
        </w:rPr>
        <w:t>, Bartlett, J</w:t>
      </w:r>
      <w:r>
        <w:rPr>
          <w:rFonts w:asciiTheme="majorHAnsi" w:hAnsiTheme="majorHAnsi"/>
        </w:rPr>
        <w:t>.</w:t>
      </w:r>
      <w:r w:rsidRPr="004C2F56">
        <w:rPr>
          <w:rFonts w:asciiTheme="majorHAnsi" w:hAnsiTheme="majorHAnsi"/>
        </w:rPr>
        <w:t>, Byrne, W</w:t>
      </w:r>
      <w:r>
        <w:rPr>
          <w:rFonts w:asciiTheme="majorHAnsi" w:hAnsiTheme="majorHAnsi"/>
        </w:rPr>
        <w:t>.</w:t>
      </w:r>
      <w:r w:rsidRPr="004C2F56">
        <w:rPr>
          <w:rFonts w:asciiTheme="majorHAnsi" w:hAnsiTheme="majorHAnsi"/>
        </w:rPr>
        <w:t xml:space="preserve"> &amp; Thomas, D</w:t>
      </w:r>
      <w:r>
        <w:rPr>
          <w:rFonts w:asciiTheme="majorHAnsi" w:hAnsiTheme="majorHAnsi"/>
        </w:rPr>
        <w:t xml:space="preserve">. 2001. </w:t>
      </w:r>
      <w:hyperlink r:id="rId73" w:history="1">
        <w:r w:rsidRPr="006E41F0">
          <w:rPr>
            <w:rStyle w:val="Hyperlink"/>
            <w:rFonts w:asciiTheme="majorHAnsi" w:hAnsiTheme="majorHAnsi"/>
          </w:rPr>
          <w:t>Glanders in a military research microbiologist</w:t>
        </w:r>
      </w:hyperlink>
      <w:r w:rsidRPr="004C2F56">
        <w:rPr>
          <w:rFonts w:asciiTheme="majorHAnsi" w:hAnsiTheme="majorHAnsi"/>
        </w:rPr>
        <w:t xml:space="preserve">, </w:t>
      </w:r>
      <w:r w:rsidRPr="004C2F56">
        <w:rPr>
          <w:rFonts w:asciiTheme="majorHAnsi" w:hAnsiTheme="majorHAnsi"/>
          <w:i/>
        </w:rPr>
        <w:t>New England Journal of Medicine</w:t>
      </w:r>
      <w:r>
        <w:rPr>
          <w:rFonts w:asciiTheme="majorHAnsi" w:hAnsiTheme="majorHAnsi"/>
        </w:rPr>
        <w:t xml:space="preserve">, vol. 345, no. 4, pp. 256-8, </w:t>
      </w:r>
      <w:r w:rsidRPr="006E41F0">
        <w:rPr>
          <w:rFonts w:asciiTheme="majorHAnsi" w:hAnsiTheme="majorHAnsi"/>
        </w:rPr>
        <w:t xml:space="preserve">DOI: </w:t>
      </w:r>
      <w:r w:rsidRPr="006E41F0">
        <w:rPr>
          <w:rFonts w:asciiTheme="majorHAnsi" w:hAnsiTheme="majorHAnsi"/>
          <w:shd w:val="clear" w:color="auto" w:fill="FFFFFF"/>
        </w:rPr>
        <w:t>10.1056/NEJM200107263450404</w:t>
      </w:r>
      <w:r w:rsidRPr="006E41F0">
        <w:rPr>
          <w:rFonts w:asciiTheme="majorHAnsi" w:hAnsiTheme="majorHAnsi"/>
        </w:rPr>
        <w:t xml:space="preserve">, accessed </w:t>
      </w:r>
      <w:r>
        <w:rPr>
          <w:rFonts w:asciiTheme="majorHAnsi" w:hAnsiTheme="majorHAnsi"/>
        </w:rPr>
        <w:t>on 6 July 2020.</w:t>
      </w:r>
    </w:p>
    <w:p w14:paraId="6202C36E" w14:textId="5E3257BC" w:rsidR="006E41F0" w:rsidRDefault="006E41F0" w:rsidP="00156763">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Timoney</w:t>
      </w:r>
      <w:proofErr w:type="spellEnd"/>
      <w:r w:rsidRPr="004C2F56">
        <w:rPr>
          <w:rFonts w:asciiTheme="majorHAnsi" w:hAnsiTheme="majorHAnsi"/>
        </w:rPr>
        <w:t>, P</w:t>
      </w:r>
      <w:r>
        <w:rPr>
          <w:rFonts w:asciiTheme="majorHAnsi" w:hAnsiTheme="majorHAnsi"/>
        </w:rPr>
        <w:t xml:space="preserve">. 2014. </w:t>
      </w:r>
      <w:hyperlink r:id="rId74" w:history="1">
        <w:r w:rsidRPr="006E41F0">
          <w:rPr>
            <w:rStyle w:val="Hyperlink"/>
            <w:rFonts w:asciiTheme="majorHAnsi" w:hAnsiTheme="majorHAnsi"/>
          </w:rPr>
          <w:t>Infectious diseases and international movement of horses</w:t>
        </w:r>
      </w:hyperlink>
      <w:r w:rsidRPr="004C2F56">
        <w:rPr>
          <w:rFonts w:asciiTheme="majorHAnsi" w:hAnsiTheme="majorHAnsi"/>
        </w:rPr>
        <w:t xml:space="preserve">, </w:t>
      </w:r>
      <w:r w:rsidR="00896A8A">
        <w:rPr>
          <w:rFonts w:asciiTheme="majorHAnsi" w:hAnsiTheme="majorHAnsi"/>
          <w:i/>
        </w:rPr>
        <w:t>Horse</w:t>
      </w:r>
      <w:r w:rsidRPr="004C2F56">
        <w:rPr>
          <w:rFonts w:asciiTheme="majorHAnsi" w:hAnsiTheme="majorHAnsi"/>
          <w:i/>
        </w:rPr>
        <w:t xml:space="preserve"> Infectious Diseases</w:t>
      </w:r>
      <w:r w:rsidRPr="004C2F56">
        <w:rPr>
          <w:rFonts w:asciiTheme="majorHAnsi" w:hAnsiTheme="majorHAnsi"/>
        </w:rPr>
        <w:t>,</w:t>
      </w:r>
      <w:r>
        <w:rPr>
          <w:rFonts w:asciiTheme="majorHAnsi" w:hAnsiTheme="majorHAnsi"/>
        </w:rPr>
        <w:t xml:space="preserve"> pp. 549-556, </w:t>
      </w:r>
      <w:r w:rsidRPr="006E41F0">
        <w:rPr>
          <w:rFonts w:asciiTheme="majorHAnsi" w:hAnsiTheme="majorHAnsi"/>
        </w:rPr>
        <w:t xml:space="preserve">DOI: </w:t>
      </w:r>
      <w:r w:rsidRPr="007C312E">
        <w:rPr>
          <w:rFonts w:asciiTheme="majorHAnsi" w:hAnsiTheme="majorHAnsi" w:cs="Arial"/>
        </w:rPr>
        <w:t>10.1016/B978-1-4160-2406-4.50074-0</w:t>
      </w:r>
      <w:r>
        <w:rPr>
          <w:rFonts w:asciiTheme="majorHAnsi" w:hAnsiTheme="majorHAnsi"/>
        </w:rPr>
        <w:t xml:space="preserve">, accessed on 19 May 2020. </w:t>
      </w:r>
    </w:p>
    <w:p w14:paraId="7D44BC66" w14:textId="3544DFB3" w:rsidR="006E41F0" w:rsidRDefault="006E41F0"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Ulrich,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Amemiya</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Waag</w:t>
      </w:r>
      <w:proofErr w:type="spellEnd"/>
      <w:r w:rsidRPr="004C2F56">
        <w:rPr>
          <w:rFonts w:asciiTheme="majorHAnsi" w:hAnsiTheme="majorHAnsi"/>
        </w:rPr>
        <w:t>, D</w:t>
      </w:r>
      <w:r>
        <w:rPr>
          <w:rFonts w:asciiTheme="majorHAnsi" w:hAnsiTheme="majorHAnsi"/>
        </w:rPr>
        <w:t>.</w:t>
      </w:r>
      <w:r w:rsidRPr="004C2F56">
        <w:rPr>
          <w:rFonts w:asciiTheme="majorHAnsi" w:hAnsiTheme="majorHAnsi"/>
        </w:rPr>
        <w:t>, Roy, C</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DeShazer</w:t>
      </w:r>
      <w:proofErr w:type="spellEnd"/>
      <w:r w:rsidRPr="004C2F56">
        <w:rPr>
          <w:rFonts w:asciiTheme="majorHAnsi" w:hAnsiTheme="majorHAnsi"/>
        </w:rPr>
        <w:t>, D</w:t>
      </w:r>
      <w:r>
        <w:rPr>
          <w:rFonts w:asciiTheme="majorHAnsi" w:hAnsiTheme="majorHAnsi"/>
        </w:rPr>
        <w:t xml:space="preserve">. 2005. </w:t>
      </w:r>
      <w:hyperlink r:id="rId75" w:history="1">
        <w:r w:rsidRPr="006E41F0">
          <w:rPr>
            <w:rStyle w:val="Hyperlink"/>
            <w:rFonts w:asciiTheme="majorHAnsi" w:hAnsiTheme="majorHAnsi"/>
          </w:rPr>
          <w:t xml:space="preserve">Aerogenic vaccination with a </w:t>
        </w:r>
        <w:proofErr w:type="spellStart"/>
        <w:r w:rsidRPr="006E41F0">
          <w:rPr>
            <w:rStyle w:val="Hyperlink"/>
            <w:rFonts w:asciiTheme="majorHAnsi" w:hAnsiTheme="majorHAnsi"/>
          </w:rPr>
          <w:t>Burkholderia</w:t>
        </w:r>
        <w:proofErr w:type="spellEnd"/>
        <w:r w:rsidRPr="006E41F0">
          <w:rPr>
            <w:rStyle w:val="Hyperlink"/>
            <w:rFonts w:asciiTheme="majorHAnsi" w:hAnsiTheme="majorHAnsi"/>
          </w:rPr>
          <w:t xml:space="preserve"> mallei auxotroph protects against aerosol-initiated glanders in mice</w:t>
        </w:r>
      </w:hyperlink>
      <w:r w:rsidRPr="004C2F56">
        <w:rPr>
          <w:rFonts w:asciiTheme="majorHAnsi" w:hAnsiTheme="majorHAnsi"/>
        </w:rPr>
        <w:t xml:space="preserve">, </w:t>
      </w:r>
      <w:r w:rsidRPr="004C2F56">
        <w:rPr>
          <w:rFonts w:asciiTheme="majorHAnsi" w:hAnsiTheme="majorHAnsi"/>
          <w:i/>
        </w:rPr>
        <w:t>Vaccine</w:t>
      </w:r>
      <w:r w:rsidRPr="004C2F56">
        <w:rPr>
          <w:rFonts w:asciiTheme="majorHAnsi" w:hAnsiTheme="majorHAnsi"/>
        </w:rPr>
        <w:t>, vol. 23, no. 16, pp. 1986-92</w:t>
      </w:r>
      <w:r w:rsidRPr="006E41F0">
        <w:rPr>
          <w:rFonts w:asciiTheme="majorHAnsi" w:hAnsiTheme="majorHAnsi"/>
        </w:rPr>
        <w:t xml:space="preserve">, DOI: </w:t>
      </w:r>
      <w:r w:rsidRPr="007C312E">
        <w:rPr>
          <w:rFonts w:asciiTheme="majorHAnsi" w:hAnsiTheme="majorHAnsi" w:cs="Arial"/>
        </w:rPr>
        <w:t>10.1016/j.vaccine.2004.10.017</w:t>
      </w:r>
      <w:r>
        <w:rPr>
          <w:rFonts w:asciiTheme="majorHAnsi" w:hAnsiTheme="majorHAnsi"/>
        </w:rPr>
        <w:t>, accessed on 25 May 2020.</w:t>
      </w:r>
    </w:p>
    <w:p w14:paraId="74B71E82" w14:textId="77777777" w:rsidR="00856BB9" w:rsidRDefault="00856BB9"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 xml:space="preserve">Van </w:t>
      </w:r>
      <w:proofErr w:type="spellStart"/>
      <w:r w:rsidRPr="004C2F56">
        <w:rPr>
          <w:rFonts w:asciiTheme="majorHAnsi" w:hAnsiTheme="majorHAnsi"/>
        </w:rPr>
        <w:t>Zandt</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Greer, M</w:t>
      </w:r>
      <w:r>
        <w:rPr>
          <w:rFonts w:asciiTheme="majorHAnsi" w:hAnsiTheme="majorHAnsi"/>
        </w:rPr>
        <w:t>.</w:t>
      </w:r>
      <w:r w:rsidRPr="004C2F56">
        <w:rPr>
          <w:rFonts w:asciiTheme="majorHAnsi" w:hAnsiTheme="majorHAnsi"/>
        </w:rPr>
        <w:t xml:space="preserve"> &amp; Gelhaus, H</w:t>
      </w:r>
      <w:r>
        <w:rPr>
          <w:rFonts w:asciiTheme="majorHAnsi" w:hAnsiTheme="majorHAnsi"/>
        </w:rPr>
        <w:t xml:space="preserve">. 2013. </w:t>
      </w:r>
      <w:hyperlink r:id="rId76" w:history="1">
        <w:r w:rsidRPr="00856BB9">
          <w:rPr>
            <w:rStyle w:val="Hyperlink"/>
            <w:rFonts w:asciiTheme="majorHAnsi" w:hAnsiTheme="majorHAnsi"/>
          </w:rPr>
          <w:t>Glanders: an overview of infection in humans</w:t>
        </w:r>
      </w:hyperlink>
      <w:r w:rsidRPr="004C2F56">
        <w:rPr>
          <w:rFonts w:asciiTheme="majorHAnsi" w:hAnsiTheme="majorHAnsi"/>
        </w:rPr>
        <w:t xml:space="preserve">, </w:t>
      </w:r>
      <w:proofErr w:type="spellStart"/>
      <w:r w:rsidRPr="004C2F56">
        <w:rPr>
          <w:rFonts w:asciiTheme="majorHAnsi" w:hAnsiTheme="majorHAnsi"/>
          <w:i/>
        </w:rPr>
        <w:t>Orphanet</w:t>
      </w:r>
      <w:proofErr w:type="spellEnd"/>
      <w:r w:rsidRPr="004C2F56">
        <w:rPr>
          <w:rFonts w:asciiTheme="majorHAnsi" w:hAnsiTheme="majorHAnsi"/>
          <w:i/>
        </w:rPr>
        <w:t xml:space="preserve"> Journal of Rare Diseases</w:t>
      </w:r>
      <w:r w:rsidRPr="004C2F56">
        <w:rPr>
          <w:rFonts w:asciiTheme="majorHAnsi" w:hAnsiTheme="majorHAnsi"/>
        </w:rPr>
        <w:t>, vol. 8, no. 1</w:t>
      </w:r>
      <w:r w:rsidRPr="00856BB9">
        <w:rPr>
          <w:rFonts w:asciiTheme="majorHAnsi" w:hAnsiTheme="majorHAnsi"/>
        </w:rPr>
        <w:t xml:space="preserve">, p. 131, DOI: </w:t>
      </w:r>
      <w:r w:rsidRPr="00856BB9">
        <w:rPr>
          <w:rFonts w:asciiTheme="majorHAnsi" w:hAnsiTheme="majorHAnsi" w:cs="Segoe UI"/>
          <w:shd w:val="clear" w:color="auto" w:fill="FFFFFF"/>
        </w:rPr>
        <w:t>10.1186/1750-1172-8-131</w:t>
      </w:r>
      <w:r w:rsidRPr="00856BB9">
        <w:rPr>
          <w:rFonts w:asciiTheme="majorHAnsi" w:hAnsiTheme="majorHAnsi"/>
        </w:rPr>
        <w:t xml:space="preserve">, </w:t>
      </w:r>
      <w:r>
        <w:rPr>
          <w:rFonts w:asciiTheme="majorHAnsi" w:hAnsiTheme="majorHAnsi"/>
        </w:rPr>
        <w:t>accessed on 10 June 2020.</w:t>
      </w:r>
    </w:p>
    <w:p w14:paraId="243B8055" w14:textId="03601E12" w:rsidR="00856BB9" w:rsidRDefault="00856BB9"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Verma,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Saminathan</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Neha, Tiwari,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Dhama</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xml:space="preserve"> &amp; Singh, S</w:t>
      </w:r>
      <w:r>
        <w:rPr>
          <w:rFonts w:asciiTheme="majorHAnsi" w:hAnsiTheme="majorHAnsi"/>
        </w:rPr>
        <w:t xml:space="preserve">. 2014. </w:t>
      </w:r>
      <w:hyperlink r:id="rId77" w:history="1">
        <w:r w:rsidRPr="00856BB9">
          <w:rPr>
            <w:rStyle w:val="Hyperlink"/>
            <w:rFonts w:asciiTheme="majorHAnsi" w:hAnsiTheme="majorHAnsi"/>
          </w:rPr>
          <w:t>Glanders a re-emerging zoonotic disease: a review</w:t>
        </w:r>
      </w:hyperlink>
      <w:r w:rsidRPr="004C2F56">
        <w:rPr>
          <w:rFonts w:asciiTheme="majorHAnsi" w:hAnsiTheme="majorHAnsi"/>
        </w:rPr>
        <w:t xml:space="preserve">, </w:t>
      </w:r>
      <w:r w:rsidRPr="004C2F56">
        <w:rPr>
          <w:rFonts w:asciiTheme="majorHAnsi" w:hAnsiTheme="majorHAnsi"/>
          <w:i/>
        </w:rPr>
        <w:t>Biological Sciences</w:t>
      </w:r>
      <w:r w:rsidRPr="004C2F56">
        <w:rPr>
          <w:rFonts w:asciiTheme="majorHAnsi" w:hAnsiTheme="majorHAnsi"/>
        </w:rPr>
        <w:t xml:space="preserve">, vol. 14, no. 1, pp. </w:t>
      </w:r>
      <w:r>
        <w:rPr>
          <w:rFonts w:asciiTheme="majorHAnsi" w:hAnsiTheme="majorHAnsi"/>
        </w:rPr>
        <w:t xml:space="preserve">38-51, DOI: </w:t>
      </w:r>
      <w:r w:rsidRPr="007C312E">
        <w:rPr>
          <w:rFonts w:asciiTheme="majorHAnsi" w:hAnsiTheme="majorHAnsi"/>
          <w:shd w:val="clear" w:color="auto" w:fill="FFFFFF"/>
        </w:rPr>
        <w:t>10.3923/jbs.2014.38.51</w:t>
      </w:r>
      <w:r w:rsidRPr="00856BB9">
        <w:rPr>
          <w:rFonts w:asciiTheme="majorHAnsi" w:hAnsiTheme="majorHAnsi"/>
        </w:rPr>
        <w:t>, ac</w:t>
      </w:r>
      <w:r>
        <w:rPr>
          <w:rFonts w:asciiTheme="majorHAnsi" w:hAnsiTheme="majorHAnsi"/>
        </w:rPr>
        <w:t>cessed on 22 June 2020.</w:t>
      </w:r>
    </w:p>
    <w:p w14:paraId="6039BE06" w14:textId="77777777" w:rsidR="007C312E" w:rsidRDefault="007C312E"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WAHIS</w:t>
      </w:r>
      <w:r>
        <w:rPr>
          <w:rFonts w:asciiTheme="majorHAnsi" w:hAnsiTheme="majorHAnsi"/>
        </w:rPr>
        <w:t xml:space="preserve">. 2015. </w:t>
      </w:r>
      <w:hyperlink r:id="rId78" w:anchor="/home" w:history="1">
        <w:r w:rsidRPr="007C312E">
          <w:rPr>
            <w:rStyle w:val="Hyperlink"/>
            <w:rFonts w:asciiTheme="majorHAnsi" w:hAnsiTheme="majorHAnsi"/>
          </w:rPr>
          <w:t>Glanders - Germany: follow-up report 2</w:t>
        </w:r>
      </w:hyperlink>
      <w:r w:rsidRPr="004C2F56">
        <w:rPr>
          <w:rFonts w:asciiTheme="majorHAnsi" w:hAnsiTheme="majorHAnsi"/>
        </w:rPr>
        <w:t>, World Organisation of Animal Health, a</w:t>
      </w:r>
      <w:r>
        <w:rPr>
          <w:rFonts w:asciiTheme="majorHAnsi" w:hAnsiTheme="majorHAnsi"/>
        </w:rPr>
        <w:t xml:space="preserve">ccessed on 15 April 2021. </w:t>
      </w:r>
    </w:p>
    <w:p w14:paraId="28475870" w14:textId="77777777" w:rsidR="007C312E" w:rsidRDefault="007C312E"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WAHIS</w:t>
      </w:r>
      <w:r>
        <w:rPr>
          <w:rFonts w:asciiTheme="majorHAnsi" w:hAnsiTheme="majorHAnsi"/>
        </w:rPr>
        <w:t>.</w:t>
      </w:r>
      <w:r w:rsidRPr="004C2F56">
        <w:rPr>
          <w:rFonts w:asciiTheme="majorHAnsi" w:hAnsiTheme="majorHAnsi"/>
        </w:rPr>
        <w:t xml:space="preserve"> 2</w:t>
      </w:r>
      <w:r>
        <w:rPr>
          <w:rFonts w:asciiTheme="majorHAnsi" w:hAnsiTheme="majorHAnsi"/>
        </w:rPr>
        <w:t xml:space="preserve">021. </w:t>
      </w:r>
      <w:hyperlink r:id="rId79" w:anchor="/home" w:history="1">
        <w:r w:rsidRPr="007C312E">
          <w:rPr>
            <w:rStyle w:val="Hyperlink"/>
            <w:rFonts w:asciiTheme="majorHAnsi" w:hAnsiTheme="majorHAnsi"/>
          </w:rPr>
          <w:t>Glanders - Nepal: immediate notification</w:t>
        </w:r>
      </w:hyperlink>
      <w:r w:rsidRPr="004C2F56">
        <w:rPr>
          <w:rFonts w:asciiTheme="majorHAnsi" w:hAnsiTheme="majorHAnsi"/>
        </w:rPr>
        <w:t>, World Organisation for Animal Health, a</w:t>
      </w:r>
      <w:r>
        <w:rPr>
          <w:rFonts w:asciiTheme="majorHAnsi" w:hAnsiTheme="majorHAnsi"/>
        </w:rPr>
        <w:t>ccessed on 28 May 2021.</w:t>
      </w:r>
    </w:p>
    <w:p w14:paraId="2FECE5C7" w14:textId="220A0F13" w:rsidR="007C312E" w:rsidRDefault="007C312E" w:rsidP="00156763">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w:t>
      </w:r>
      <w:r w:rsidRPr="004C2F56">
        <w:rPr>
          <w:rFonts w:asciiTheme="majorHAnsi" w:hAnsiTheme="majorHAnsi"/>
        </w:rPr>
        <w:t xml:space="preserve">, Rodriguez </w:t>
      </w:r>
      <w:proofErr w:type="spellStart"/>
      <w:r w:rsidRPr="004C2F56">
        <w:rPr>
          <w:rFonts w:asciiTheme="majorHAnsi" w:hAnsiTheme="majorHAnsi"/>
        </w:rPr>
        <w:t>Caveney</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Raghavan,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Laroucau</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Syriac, G</w:t>
      </w:r>
      <w:r>
        <w:rPr>
          <w:rFonts w:asciiTheme="majorHAnsi" w:hAnsiTheme="majorHAnsi"/>
        </w:rPr>
        <w:t>.</w:t>
      </w:r>
      <w:r w:rsidRPr="004C2F56">
        <w:rPr>
          <w:rFonts w:asciiTheme="majorHAnsi" w:hAnsiTheme="majorHAnsi"/>
        </w:rPr>
        <w:t>, Thomas, S</w:t>
      </w:r>
      <w:r>
        <w:rPr>
          <w:rFonts w:asciiTheme="majorHAnsi" w:hAnsiTheme="majorHAnsi"/>
        </w:rPr>
        <w:t>.</w:t>
      </w:r>
      <w:r w:rsidRPr="004C2F56">
        <w:rPr>
          <w:rFonts w:asciiTheme="majorHAnsi" w:hAnsiTheme="majorHAnsi"/>
        </w:rPr>
        <w:t>, John, J</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Jose, S</w:t>
      </w:r>
      <w:r>
        <w:rPr>
          <w:rFonts w:asciiTheme="majorHAnsi" w:hAnsiTheme="majorHAnsi"/>
        </w:rPr>
        <w:t>.</w:t>
      </w:r>
      <w:r w:rsidRPr="004C2F56">
        <w:rPr>
          <w:rFonts w:asciiTheme="majorHAnsi" w:hAnsiTheme="majorHAnsi"/>
        </w:rPr>
        <w:t>, Joseph, S</w:t>
      </w:r>
      <w:r>
        <w:rPr>
          <w:rFonts w:asciiTheme="majorHAnsi" w:hAnsiTheme="majorHAnsi"/>
        </w:rPr>
        <w:t>.</w:t>
      </w:r>
      <w:r w:rsidRPr="004C2F56">
        <w:rPr>
          <w:rFonts w:asciiTheme="majorHAnsi" w:hAnsiTheme="majorHAnsi"/>
        </w:rPr>
        <w:t xml:space="preserve"> &amp; Woo, P</w:t>
      </w:r>
      <w:r>
        <w:rPr>
          <w:rFonts w:asciiTheme="majorHAnsi" w:hAnsiTheme="majorHAnsi"/>
        </w:rPr>
        <w:t xml:space="preserve">. 2019. </w:t>
      </w:r>
      <w:hyperlink r:id="rId80" w:history="1">
        <w:r w:rsidRPr="007C312E">
          <w:rPr>
            <w:rStyle w:val="Hyperlink"/>
            <w:rFonts w:asciiTheme="majorHAnsi" w:hAnsiTheme="majorHAnsi"/>
          </w:rPr>
          <w:t xml:space="preserve">Evaluation of serological responses in horses challenged with </w:t>
        </w:r>
        <w:proofErr w:type="spellStart"/>
        <w:r w:rsidRPr="007C312E">
          <w:rPr>
            <w:rStyle w:val="Hyperlink"/>
            <w:rFonts w:asciiTheme="majorHAnsi" w:hAnsiTheme="majorHAnsi"/>
          </w:rPr>
          <w:t>Burkholderia</w:t>
        </w:r>
        <w:proofErr w:type="spellEnd"/>
        <w:r w:rsidRPr="007C312E">
          <w:rPr>
            <w:rStyle w:val="Hyperlink"/>
            <w:rFonts w:asciiTheme="majorHAnsi" w:hAnsiTheme="majorHAnsi"/>
          </w:rPr>
          <w:t xml:space="preserve"> </w:t>
        </w:r>
        <w:proofErr w:type="spellStart"/>
        <w:r w:rsidRPr="007C312E">
          <w:rPr>
            <w:rStyle w:val="Hyperlink"/>
            <w:rFonts w:asciiTheme="majorHAnsi" w:hAnsiTheme="majorHAnsi"/>
          </w:rPr>
          <w:t>pseudomallei</w:t>
        </w:r>
        <w:proofErr w:type="spellEnd"/>
        <w:r w:rsidRPr="007C312E">
          <w:rPr>
            <w:rStyle w:val="Hyperlink"/>
            <w:rFonts w:asciiTheme="majorHAnsi" w:hAnsiTheme="majorHAnsi"/>
          </w:rPr>
          <w:t xml:space="preserve"> using current diagnostic tests for glanders</w:t>
        </w:r>
      </w:hyperlink>
      <w:r w:rsidRPr="004C2F56">
        <w:rPr>
          <w:rFonts w:asciiTheme="majorHAnsi" w:hAnsiTheme="majorHAnsi"/>
        </w:rPr>
        <w:t xml:space="preserve"> (in </w:t>
      </w:r>
      <w:proofErr w:type="spellStart"/>
      <w:r w:rsidRPr="004C2F56">
        <w:rPr>
          <w:rFonts w:asciiTheme="majorHAnsi" w:hAnsiTheme="majorHAnsi"/>
        </w:rPr>
        <w:t>eng</w:t>
      </w:r>
      <w:proofErr w:type="spellEnd"/>
      <w:r w:rsidRPr="004C2F56">
        <w:rPr>
          <w:rFonts w:asciiTheme="majorHAnsi" w:hAnsiTheme="majorHAnsi"/>
        </w:rPr>
        <w:t xml:space="preserve">), </w:t>
      </w:r>
      <w:proofErr w:type="spellStart"/>
      <w:r w:rsidR="00873F2A" w:rsidRPr="00873F2A">
        <w:rPr>
          <w:rFonts w:asciiTheme="majorHAnsi" w:hAnsiTheme="majorHAnsi"/>
          <w:i/>
        </w:rPr>
        <w:t>Veterinaria</w:t>
      </w:r>
      <w:proofErr w:type="spellEnd"/>
      <w:r w:rsidR="00873F2A" w:rsidRPr="00873F2A">
        <w:rPr>
          <w:rFonts w:asciiTheme="majorHAnsi" w:hAnsiTheme="majorHAnsi"/>
          <w:i/>
        </w:rPr>
        <w:t xml:space="preserve"> </w:t>
      </w:r>
      <w:proofErr w:type="spellStart"/>
      <w:r w:rsidR="00873F2A" w:rsidRPr="00873F2A">
        <w:rPr>
          <w:rFonts w:asciiTheme="majorHAnsi" w:hAnsiTheme="majorHAnsi"/>
          <w:i/>
        </w:rPr>
        <w:t>Italiana</w:t>
      </w:r>
      <w:proofErr w:type="spellEnd"/>
      <w:r w:rsidRPr="004C2F56">
        <w:rPr>
          <w:rFonts w:asciiTheme="majorHAnsi" w:hAnsiTheme="majorHAnsi"/>
        </w:rPr>
        <w:t>, vol. 55, no. 3, pp. 261-7</w:t>
      </w:r>
      <w:r>
        <w:rPr>
          <w:rFonts w:asciiTheme="majorHAnsi" w:hAnsiTheme="majorHAnsi"/>
        </w:rPr>
        <w:t xml:space="preserve">, DOI: </w:t>
      </w:r>
      <w:r>
        <w:t>10.12834/VetIt.1701.9026.2</w:t>
      </w:r>
      <w:r>
        <w:rPr>
          <w:rFonts w:asciiTheme="majorHAnsi" w:hAnsiTheme="majorHAnsi"/>
        </w:rPr>
        <w:t>, accessed on 24 April 2021.</w:t>
      </w:r>
    </w:p>
    <w:p w14:paraId="681B60B4" w14:textId="77777777" w:rsidR="007C312E" w:rsidRDefault="007C312E" w:rsidP="00156763">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Al-</w:t>
      </w:r>
      <w:proofErr w:type="spellStart"/>
      <w:r w:rsidRPr="004C2F56">
        <w:rPr>
          <w:rFonts w:asciiTheme="majorHAnsi" w:hAnsiTheme="majorHAnsi"/>
        </w:rPr>
        <w:t>Salloom</w:t>
      </w:r>
      <w:proofErr w:type="spellEnd"/>
      <w:r w:rsidRPr="004C2F56">
        <w:rPr>
          <w:rFonts w:asciiTheme="majorHAnsi" w:hAnsiTheme="majorHAnsi"/>
        </w:rPr>
        <w:t>, F</w:t>
      </w:r>
      <w:r>
        <w:rPr>
          <w:rFonts w:asciiTheme="majorHAnsi" w:hAnsiTheme="majorHAnsi"/>
        </w:rPr>
        <w:t>.</w:t>
      </w:r>
      <w:r w:rsidRPr="004C2F56">
        <w:rPr>
          <w:rFonts w:asciiTheme="majorHAnsi" w:hAnsiTheme="majorHAnsi"/>
        </w:rPr>
        <w:t>, Johnson,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Kinne</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Jose,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Tappendorf</w:t>
      </w:r>
      <w:proofErr w:type="spellEnd"/>
      <w:r w:rsidRPr="004C2F56">
        <w:rPr>
          <w:rFonts w:asciiTheme="majorHAnsi" w:hAnsiTheme="majorHAnsi"/>
        </w:rPr>
        <w:t>,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Hornstra</w:t>
      </w:r>
      <w:proofErr w:type="spellEnd"/>
      <w:r w:rsidRPr="004C2F56">
        <w:rPr>
          <w:rFonts w:asciiTheme="majorHAnsi" w:hAnsiTheme="majorHAnsi"/>
        </w:rPr>
        <w:t>, H</w:t>
      </w:r>
      <w:r>
        <w:rPr>
          <w:rFonts w:asciiTheme="majorHAnsi" w:hAnsiTheme="majorHAnsi"/>
        </w:rPr>
        <w:t>.</w:t>
      </w:r>
      <w:r w:rsidRPr="004C2F56">
        <w:rPr>
          <w:rFonts w:asciiTheme="majorHAnsi" w:hAnsiTheme="majorHAnsi"/>
        </w:rPr>
        <w:t xml:space="preserve"> &amp; Scholz, H</w:t>
      </w:r>
      <w:r>
        <w:rPr>
          <w:rFonts w:asciiTheme="majorHAnsi" w:hAnsiTheme="majorHAnsi"/>
        </w:rPr>
        <w:t xml:space="preserve">. 2011. </w:t>
      </w:r>
      <w:hyperlink r:id="rId81" w:history="1">
        <w:r w:rsidRPr="007C312E">
          <w:rPr>
            <w:rStyle w:val="Hyperlink"/>
            <w:rFonts w:asciiTheme="majorHAnsi" w:hAnsiTheme="majorHAnsi"/>
          </w:rPr>
          <w:t xml:space="preserve">Natural </w:t>
        </w:r>
        <w:proofErr w:type="spellStart"/>
        <w:r w:rsidRPr="007C312E">
          <w:rPr>
            <w:rStyle w:val="Hyperlink"/>
            <w:rFonts w:asciiTheme="majorHAnsi" w:hAnsiTheme="majorHAnsi"/>
          </w:rPr>
          <w:t>Burkholderia</w:t>
        </w:r>
        <w:proofErr w:type="spellEnd"/>
        <w:r w:rsidRPr="007C312E">
          <w:rPr>
            <w:rStyle w:val="Hyperlink"/>
            <w:rFonts w:asciiTheme="majorHAnsi" w:hAnsiTheme="majorHAnsi"/>
          </w:rPr>
          <w:t xml:space="preserve"> mallei infection in dromedary, Bahrain</w:t>
        </w:r>
      </w:hyperlink>
      <w:r w:rsidRPr="004C2F56">
        <w:rPr>
          <w:rFonts w:asciiTheme="majorHAnsi" w:hAnsiTheme="majorHAnsi"/>
        </w:rPr>
        <w:t xml:space="preserve">, </w:t>
      </w:r>
      <w:r w:rsidRPr="004C2F56">
        <w:rPr>
          <w:rFonts w:asciiTheme="majorHAnsi" w:hAnsiTheme="majorHAnsi"/>
          <w:i/>
        </w:rPr>
        <w:t>Emerging infectious diseases</w:t>
      </w:r>
      <w:r w:rsidRPr="004C2F56">
        <w:rPr>
          <w:rFonts w:asciiTheme="majorHAnsi" w:hAnsiTheme="majorHAnsi"/>
        </w:rPr>
        <w:t>, vol. 17, no. 7, pp. 1277-9</w:t>
      </w:r>
      <w:r>
        <w:rPr>
          <w:rFonts w:asciiTheme="majorHAnsi" w:hAnsiTheme="majorHAnsi"/>
        </w:rPr>
        <w:t xml:space="preserve">, </w:t>
      </w:r>
      <w:r w:rsidRPr="007C312E">
        <w:rPr>
          <w:rFonts w:asciiTheme="majorHAnsi" w:hAnsiTheme="majorHAnsi"/>
        </w:rPr>
        <w:t xml:space="preserve">DOI: </w:t>
      </w:r>
      <w:r w:rsidRPr="007C312E">
        <w:rPr>
          <w:rFonts w:asciiTheme="majorHAnsi" w:hAnsiTheme="majorHAnsi" w:cs="Arial"/>
          <w:shd w:val="clear" w:color="auto" w:fill="FFFFFF"/>
        </w:rPr>
        <w:t>10.3201/eid1707.110222</w:t>
      </w:r>
      <w:r w:rsidRPr="007C312E">
        <w:rPr>
          <w:rFonts w:asciiTheme="majorHAnsi" w:hAnsiTheme="majorHAnsi"/>
        </w:rPr>
        <w:t>, accessed</w:t>
      </w:r>
      <w:r>
        <w:rPr>
          <w:rFonts w:asciiTheme="majorHAnsi" w:hAnsiTheme="majorHAnsi"/>
        </w:rPr>
        <w:t xml:space="preserve"> on 25 May 2021.</w:t>
      </w:r>
    </w:p>
    <w:p w14:paraId="6EBA1D27" w14:textId="13EA933D" w:rsidR="007C312E" w:rsidRDefault="007C312E"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Whitlock, G</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Lukaszewski</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Judy,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Paessler</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Torres, A</w:t>
      </w:r>
      <w:r>
        <w:rPr>
          <w:rFonts w:asciiTheme="majorHAnsi" w:hAnsiTheme="majorHAnsi"/>
        </w:rPr>
        <w:t>.</w:t>
      </w:r>
      <w:r w:rsidRPr="004C2F56">
        <w:rPr>
          <w:rFonts w:asciiTheme="majorHAnsi" w:hAnsiTheme="majorHAnsi"/>
        </w:rPr>
        <w:t xml:space="preserve"> &amp; Estes, D</w:t>
      </w:r>
      <w:r>
        <w:rPr>
          <w:rFonts w:asciiTheme="majorHAnsi" w:hAnsiTheme="majorHAnsi"/>
        </w:rPr>
        <w:t xml:space="preserve">. 2008. </w:t>
      </w:r>
      <w:hyperlink r:id="rId82" w:history="1">
        <w:r w:rsidRPr="007C312E">
          <w:rPr>
            <w:rStyle w:val="Hyperlink"/>
            <w:rFonts w:asciiTheme="majorHAnsi" w:hAnsiTheme="majorHAnsi"/>
          </w:rPr>
          <w:t xml:space="preserve">Host immunity in the protective response to vaccination with heat-killed </w:t>
        </w:r>
        <w:proofErr w:type="spellStart"/>
        <w:r w:rsidRPr="007C312E">
          <w:rPr>
            <w:rStyle w:val="Hyperlink"/>
            <w:rFonts w:asciiTheme="majorHAnsi" w:hAnsiTheme="majorHAnsi"/>
          </w:rPr>
          <w:t>Burkholderia</w:t>
        </w:r>
        <w:proofErr w:type="spellEnd"/>
        <w:r w:rsidRPr="007C312E">
          <w:rPr>
            <w:rStyle w:val="Hyperlink"/>
            <w:rFonts w:asciiTheme="majorHAnsi" w:hAnsiTheme="majorHAnsi"/>
          </w:rPr>
          <w:t xml:space="preserve"> mallei</w:t>
        </w:r>
      </w:hyperlink>
      <w:r w:rsidRPr="004C2F56">
        <w:rPr>
          <w:rFonts w:asciiTheme="majorHAnsi" w:hAnsiTheme="majorHAnsi"/>
        </w:rPr>
        <w:t xml:space="preserve">, </w:t>
      </w:r>
      <w:r w:rsidRPr="004C2F56">
        <w:rPr>
          <w:rFonts w:asciiTheme="majorHAnsi" w:hAnsiTheme="majorHAnsi"/>
          <w:i/>
        </w:rPr>
        <w:t>BMC Immunology</w:t>
      </w:r>
      <w:r w:rsidRPr="004C2F56">
        <w:rPr>
          <w:rFonts w:asciiTheme="majorHAnsi" w:hAnsiTheme="majorHAnsi"/>
        </w:rPr>
        <w:t>, vol. 9, no. 1, p. 55</w:t>
      </w:r>
      <w:r>
        <w:rPr>
          <w:rFonts w:asciiTheme="majorHAnsi" w:hAnsiTheme="majorHAnsi"/>
        </w:rPr>
        <w:t xml:space="preserve">, </w:t>
      </w:r>
      <w:r w:rsidRPr="002739E3">
        <w:rPr>
          <w:rFonts w:asciiTheme="majorHAnsi" w:hAnsiTheme="majorHAnsi"/>
        </w:rPr>
        <w:t xml:space="preserve">DOI: </w:t>
      </w:r>
      <w:r w:rsidRPr="002739E3">
        <w:rPr>
          <w:rFonts w:asciiTheme="majorHAnsi" w:hAnsiTheme="majorHAnsi" w:cs="Segoe UI"/>
          <w:shd w:val="clear" w:color="auto" w:fill="FFFFFF"/>
        </w:rPr>
        <w:t>10.1186/1471-2172-9-55</w:t>
      </w:r>
      <w:r w:rsidRPr="002739E3">
        <w:rPr>
          <w:rFonts w:asciiTheme="majorHAnsi" w:hAnsiTheme="majorHAnsi"/>
        </w:rPr>
        <w:t>, accessed</w:t>
      </w:r>
      <w:r>
        <w:rPr>
          <w:rFonts w:asciiTheme="majorHAnsi" w:hAnsiTheme="majorHAnsi"/>
        </w:rPr>
        <w:t xml:space="preserve"> on 9 June 2020. </w:t>
      </w:r>
    </w:p>
    <w:p w14:paraId="7DFB3282" w14:textId="24BA862D" w:rsidR="004A0FA3" w:rsidRPr="004C2F56" w:rsidRDefault="004A0FA3" w:rsidP="004C2F56">
      <w:pPr>
        <w:rPr>
          <w:rFonts w:asciiTheme="majorHAnsi" w:hAnsiTheme="majorHAnsi"/>
          <w:color w:val="1F497D" w:themeColor="text2"/>
        </w:rPr>
      </w:pPr>
    </w:p>
    <w:sectPr w:rsidR="004A0FA3" w:rsidRPr="004C2F5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25DB" w14:textId="77777777" w:rsidR="0042677B" w:rsidRDefault="0042677B">
      <w:pPr>
        <w:spacing w:after="0" w:line="240" w:lineRule="auto"/>
      </w:pPr>
      <w:r>
        <w:separator/>
      </w:r>
    </w:p>
  </w:endnote>
  <w:endnote w:type="continuationSeparator" w:id="0">
    <w:p w14:paraId="65C8EFB4" w14:textId="77777777" w:rsidR="0042677B" w:rsidRDefault="0042677B">
      <w:pPr>
        <w:spacing w:after="0" w:line="240" w:lineRule="auto"/>
      </w:pPr>
      <w:r>
        <w:continuationSeparator/>
      </w:r>
    </w:p>
  </w:endnote>
  <w:endnote w:type="continuationNotice" w:id="1">
    <w:p w14:paraId="7B123DAE" w14:textId="77777777" w:rsidR="0042677B" w:rsidRDefault="0042677B">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58E0" w14:textId="77777777" w:rsidR="00DB6111" w:rsidRDefault="00DB6111">
    <w:pPr>
      <w:pStyle w:val="Footer"/>
      <w:tabs>
        <w:tab w:val="clear" w:pos="4536"/>
        <w:tab w:val="center" w:pos="9072"/>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63189"/>
      <w:docPartObj>
        <w:docPartGallery w:val="Page Numbers (Bottom of Page)"/>
        <w:docPartUnique/>
      </w:docPartObj>
    </w:sdtPr>
    <w:sdtEndPr>
      <w:rPr>
        <w:noProof/>
      </w:rPr>
    </w:sdtEndPr>
    <w:sdtContent>
      <w:p w14:paraId="04BDD52F" w14:textId="0CF39878" w:rsidR="00DB6111" w:rsidRDefault="00DB6111">
        <w:pPr>
          <w:pStyle w:val="Header"/>
          <w:tabs>
            <w:tab w:val="clear" w:pos="4820"/>
            <w:tab w:val="center" w:pos="8505"/>
          </w:tabs>
          <w:jc w:val="left"/>
        </w:pPr>
        <w:r>
          <w:t xml:space="preserve">Department of Agriculture, </w:t>
        </w:r>
        <w:r w:rsidR="001C2248">
          <w:t>Fisheries and Forestry</w:t>
        </w:r>
        <w:r>
          <w:tab/>
        </w:r>
        <w:r>
          <w:fldChar w:fldCharType="begin"/>
        </w:r>
        <w:r>
          <w:instrText xml:space="preserve"> PAGE  \* roman  \* MERGEFORMAT </w:instrText>
        </w:r>
        <w:r>
          <w:fldChar w:fldCharType="separate"/>
        </w:r>
        <w:r w:rsidR="00462F98">
          <w:rPr>
            <w:noProof/>
          </w:rPr>
          <w:t>iii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5BE3" w14:textId="1B7499A5" w:rsidR="00DB6111" w:rsidRDefault="00DB6111">
    <w:pPr>
      <w:pStyle w:val="Footer"/>
      <w:tabs>
        <w:tab w:val="clear" w:pos="4536"/>
        <w:tab w:val="right" w:pos="9072"/>
        <w:tab w:val="left" w:pos="14034"/>
      </w:tabs>
      <w:spacing w:before="120"/>
      <w:jc w:val="left"/>
    </w:pPr>
    <w:r>
      <w:t xml:space="preserve">Department of Agriculture, </w:t>
    </w:r>
    <w:r w:rsidR="00AA280B">
      <w:t>Fisheries and Forestry</w:t>
    </w:r>
    <w:r>
      <w:tab/>
    </w:r>
    <w:r>
      <w:fldChar w:fldCharType="begin"/>
    </w:r>
    <w:r>
      <w:instrText xml:space="preserve"> PAGE   \* MERGEFORMAT </w:instrText>
    </w:r>
    <w:r>
      <w:fldChar w:fldCharType="separate"/>
    </w:r>
    <w:r w:rsidR="00462F98">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57426" w14:textId="77777777" w:rsidR="0042677B" w:rsidRDefault="0042677B">
      <w:pPr>
        <w:spacing w:after="0" w:line="240" w:lineRule="auto"/>
      </w:pPr>
      <w:r>
        <w:separator/>
      </w:r>
    </w:p>
  </w:footnote>
  <w:footnote w:type="continuationSeparator" w:id="0">
    <w:p w14:paraId="2CDDB0B8" w14:textId="77777777" w:rsidR="0042677B" w:rsidRDefault="0042677B">
      <w:pPr>
        <w:spacing w:after="0" w:line="240" w:lineRule="auto"/>
      </w:pPr>
      <w:r>
        <w:continuationSeparator/>
      </w:r>
    </w:p>
  </w:footnote>
  <w:footnote w:type="continuationNotice" w:id="1">
    <w:p w14:paraId="2E05B570" w14:textId="77777777" w:rsidR="0042677B" w:rsidRDefault="0042677B">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6442" w14:textId="55157276" w:rsidR="00DB6111" w:rsidRDefault="00912E43">
    <w:pPr>
      <w:pStyle w:val="Header"/>
      <w:tabs>
        <w:tab w:val="clear" w:pos="4820"/>
        <w:tab w:val="center" w:pos="8505"/>
      </w:tabs>
      <w:jc w:val="left"/>
    </w:pPr>
    <w:r>
      <w:rPr>
        <w:noProof/>
      </w:rPr>
      <w:drawing>
        <wp:inline distT="0" distB="0" distL="0" distR="0" wp14:anchorId="76D49343" wp14:editId="14FD9709">
          <wp:extent cx="2822575" cy="822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2575" cy="8229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685D" w14:textId="419089CC" w:rsidR="00DB6111" w:rsidRDefault="00DB6111">
    <w:pPr>
      <w:pStyle w:val="Header"/>
      <w:tabs>
        <w:tab w:val="clear" w:pos="4820"/>
        <w:tab w:val="center" w:pos="8505"/>
      </w:tabs>
      <w:jc w:val="left"/>
    </w:pPr>
    <w:r w:rsidRPr="00BE3E83">
      <w:t>Glanders review</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3AD"/>
    <w:multiLevelType w:val="multilevel"/>
    <w:tmpl w:val="540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B2253"/>
    <w:multiLevelType w:val="multilevel"/>
    <w:tmpl w:val="F64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B846851"/>
    <w:multiLevelType w:val="hybridMultilevel"/>
    <w:tmpl w:val="634E1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190DEE"/>
    <w:multiLevelType w:val="multilevel"/>
    <w:tmpl w:val="3B44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30A45"/>
    <w:multiLevelType w:val="hybridMultilevel"/>
    <w:tmpl w:val="2F90F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096D4D"/>
    <w:multiLevelType w:val="hybridMultilevel"/>
    <w:tmpl w:val="ED66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013E4"/>
    <w:multiLevelType w:val="hybridMultilevel"/>
    <w:tmpl w:val="A090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95654B"/>
    <w:multiLevelType w:val="hybridMultilevel"/>
    <w:tmpl w:val="97FC2B72"/>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2453399E"/>
    <w:multiLevelType w:val="multilevel"/>
    <w:tmpl w:val="40A462FE"/>
    <w:numStyleLink w:val="heading"/>
  </w:abstractNum>
  <w:abstractNum w:abstractNumId="11"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2B25675A"/>
    <w:multiLevelType w:val="hybridMultilevel"/>
    <w:tmpl w:val="5A8E8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6C5FB6"/>
    <w:multiLevelType w:val="multilevel"/>
    <w:tmpl w:val="1E8C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95B46"/>
    <w:multiLevelType w:val="multilevel"/>
    <w:tmpl w:val="C32AB9AA"/>
    <w:numStyleLink w:val="ListNumber1"/>
  </w:abstractNum>
  <w:abstractNum w:abstractNumId="15" w15:restartNumberingAfterBreak="0">
    <w:nsid w:val="2D857CBB"/>
    <w:multiLevelType w:val="hybridMultilevel"/>
    <w:tmpl w:val="B068F9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46410C1"/>
    <w:multiLevelType w:val="multilevel"/>
    <w:tmpl w:val="E5EA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43E85317"/>
    <w:multiLevelType w:val="hybridMultilevel"/>
    <w:tmpl w:val="C8D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515E52"/>
    <w:multiLevelType w:val="hybridMultilevel"/>
    <w:tmpl w:val="6A861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B6DC904C">
      <w:numFmt w:val="bullet"/>
      <w:lvlText w:val="•"/>
      <w:lvlJc w:val="left"/>
      <w:pPr>
        <w:ind w:left="2880" w:hanging="36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413AC4"/>
    <w:multiLevelType w:val="hybridMultilevel"/>
    <w:tmpl w:val="4B800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36773"/>
    <w:multiLevelType w:val="multilevel"/>
    <w:tmpl w:val="CDB2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1431339"/>
    <w:multiLevelType w:val="multilevel"/>
    <w:tmpl w:val="2F28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52ACF"/>
    <w:multiLevelType w:val="multilevel"/>
    <w:tmpl w:val="125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566335"/>
    <w:multiLevelType w:val="hybridMultilevel"/>
    <w:tmpl w:val="84E604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6A162E59"/>
    <w:multiLevelType w:val="multilevel"/>
    <w:tmpl w:val="82A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C4306"/>
    <w:multiLevelType w:val="multilevel"/>
    <w:tmpl w:val="0FA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C8225A"/>
    <w:multiLevelType w:val="multilevel"/>
    <w:tmpl w:val="29EE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36387C"/>
    <w:multiLevelType w:val="multilevel"/>
    <w:tmpl w:val="6346ED0E"/>
    <w:numStyleLink w:val="listbullets"/>
  </w:abstractNum>
  <w:num w:numId="1" w16cid:durableId="92869180">
    <w:abstractNumId w:val="22"/>
  </w:num>
  <w:num w:numId="2" w16cid:durableId="1695690446">
    <w:abstractNumId w:val="8"/>
  </w:num>
  <w:num w:numId="3" w16cid:durableId="592322602">
    <w:abstractNumId w:val="25"/>
  </w:num>
  <w:num w:numId="4" w16cid:durableId="1416591425">
    <w:abstractNumId w:val="11"/>
  </w:num>
  <w:num w:numId="5" w16cid:durableId="326059950">
    <w:abstractNumId w:val="16"/>
  </w:num>
  <w:num w:numId="6" w16cid:durableId="1205941652">
    <w:abstractNumId w:val="24"/>
  </w:num>
  <w:num w:numId="7" w16cid:durableId="239609237">
    <w:abstractNumId w:val="32"/>
  </w:num>
  <w:num w:numId="8" w16cid:durableId="1548641173">
    <w:abstractNumId w:val="18"/>
  </w:num>
  <w:num w:numId="9" w16cid:durableId="1454207719">
    <w:abstractNumId w:val="14"/>
  </w:num>
  <w:num w:numId="10" w16cid:durableId="1378358781">
    <w:abstractNumId w:val="2"/>
  </w:num>
  <w:num w:numId="11" w16cid:durableId="706951015">
    <w:abstractNumId w:val="10"/>
  </w:num>
  <w:num w:numId="12" w16cid:durableId="627051608">
    <w:abstractNumId w:val="19"/>
  </w:num>
  <w:num w:numId="13" w16cid:durableId="693919871">
    <w:abstractNumId w:val="7"/>
  </w:num>
  <w:num w:numId="14" w16cid:durableId="346903756">
    <w:abstractNumId w:val="20"/>
  </w:num>
  <w:num w:numId="15" w16cid:durableId="37361350">
    <w:abstractNumId w:val="9"/>
  </w:num>
  <w:num w:numId="16" w16cid:durableId="1483496897">
    <w:abstractNumId w:val="15"/>
  </w:num>
  <w:num w:numId="17" w16cid:durableId="935753102">
    <w:abstractNumId w:val="12"/>
  </w:num>
  <w:num w:numId="18" w16cid:durableId="571235466">
    <w:abstractNumId w:val="21"/>
  </w:num>
  <w:num w:numId="19" w16cid:durableId="1135828100">
    <w:abstractNumId w:val="3"/>
  </w:num>
  <w:num w:numId="20" w16cid:durableId="1566380770">
    <w:abstractNumId w:val="5"/>
  </w:num>
  <w:num w:numId="21" w16cid:durableId="544567406">
    <w:abstractNumId w:val="28"/>
  </w:num>
  <w:num w:numId="22" w16cid:durableId="1792898914">
    <w:abstractNumId w:val="29"/>
  </w:num>
  <w:num w:numId="23" w16cid:durableId="1098716692">
    <w:abstractNumId w:val="26"/>
  </w:num>
  <w:num w:numId="24" w16cid:durableId="1724256618">
    <w:abstractNumId w:val="13"/>
  </w:num>
  <w:num w:numId="25" w16cid:durableId="1392147959">
    <w:abstractNumId w:val="30"/>
  </w:num>
  <w:num w:numId="26" w16cid:durableId="319578865">
    <w:abstractNumId w:val="23"/>
  </w:num>
  <w:num w:numId="27" w16cid:durableId="659697129">
    <w:abstractNumId w:val="0"/>
  </w:num>
  <w:num w:numId="28" w16cid:durableId="1228029168">
    <w:abstractNumId w:val="1"/>
  </w:num>
  <w:num w:numId="29" w16cid:durableId="1401631556">
    <w:abstractNumId w:val="31"/>
  </w:num>
  <w:num w:numId="30" w16cid:durableId="206726957">
    <w:abstractNumId w:val="17"/>
  </w:num>
  <w:num w:numId="31" w16cid:durableId="1803814634">
    <w:abstractNumId w:val="4"/>
  </w:num>
  <w:num w:numId="32" w16cid:durableId="844129262">
    <w:abstractNumId w:val="27"/>
  </w:num>
  <w:num w:numId="33" w16cid:durableId="75775444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d299259dsppw3epe51xd2sm2dv202evzfsr&quot;&gt;Glanders Review Copy&lt;record-ids&gt;&lt;item&gt;61&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4A0FA3"/>
    <w:rsid w:val="00005507"/>
    <w:rsid w:val="00005E54"/>
    <w:rsid w:val="0001035B"/>
    <w:rsid w:val="00034534"/>
    <w:rsid w:val="00044174"/>
    <w:rsid w:val="00057CC5"/>
    <w:rsid w:val="00062036"/>
    <w:rsid w:val="00064EFB"/>
    <w:rsid w:val="00066092"/>
    <w:rsid w:val="00067760"/>
    <w:rsid w:val="00071D3C"/>
    <w:rsid w:val="00080A19"/>
    <w:rsid w:val="000A1654"/>
    <w:rsid w:val="000A2C9E"/>
    <w:rsid w:val="000A6D77"/>
    <w:rsid w:val="000C02EB"/>
    <w:rsid w:val="000D738A"/>
    <w:rsid w:val="000D757D"/>
    <w:rsid w:val="000F1117"/>
    <w:rsid w:val="00100F99"/>
    <w:rsid w:val="00101DF0"/>
    <w:rsid w:val="001050AD"/>
    <w:rsid w:val="00105BE6"/>
    <w:rsid w:val="001077D2"/>
    <w:rsid w:val="00114062"/>
    <w:rsid w:val="00114147"/>
    <w:rsid w:val="00117D9B"/>
    <w:rsid w:val="00121B54"/>
    <w:rsid w:val="0012795E"/>
    <w:rsid w:val="0013136E"/>
    <w:rsid w:val="00143DF8"/>
    <w:rsid w:val="001474C4"/>
    <w:rsid w:val="0015144F"/>
    <w:rsid w:val="00151686"/>
    <w:rsid w:val="00156763"/>
    <w:rsid w:val="001567C4"/>
    <w:rsid w:val="00164335"/>
    <w:rsid w:val="001653F9"/>
    <w:rsid w:val="0016676D"/>
    <w:rsid w:val="00173962"/>
    <w:rsid w:val="00177BE0"/>
    <w:rsid w:val="0018621E"/>
    <w:rsid w:val="001959AA"/>
    <w:rsid w:val="001A4D75"/>
    <w:rsid w:val="001B61E3"/>
    <w:rsid w:val="001C2248"/>
    <w:rsid w:val="001C32C8"/>
    <w:rsid w:val="001D0643"/>
    <w:rsid w:val="001D4635"/>
    <w:rsid w:val="001D7C55"/>
    <w:rsid w:val="001E1919"/>
    <w:rsid w:val="001E2849"/>
    <w:rsid w:val="001F4217"/>
    <w:rsid w:val="001F485E"/>
    <w:rsid w:val="00202031"/>
    <w:rsid w:val="00211645"/>
    <w:rsid w:val="002162E3"/>
    <w:rsid w:val="002229C8"/>
    <w:rsid w:val="00226AD3"/>
    <w:rsid w:val="00231C6C"/>
    <w:rsid w:val="0023387B"/>
    <w:rsid w:val="00237EC4"/>
    <w:rsid w:val="00242136"/>
    <w:rsid w:val="00255487"/>
    <w:rsid w:val="00256E12"/>
    <w:rsid w:val="002734E6"/>
    <w:rsid w:val="002739D7"/>
    <w:rsid w:val="002739E3"/>
    <w:rsid w:val="00276EC8"/>
    <w:rsid w:val="00276FCF"/>
    <w:rsid w:val="002777BC"/>
    <w:rsid w:val="00282BA0"/>
    <w:rsid w:val="00283436"/>
    <w:rsid w:val="00292375"/>
    <w:rsid w:val="00292C9A"/>
    <w:rsid w:val="00296345"/>
    <w:rsid w:val="002A3C06"/>
    <w:rsid w:val="002A5079"/>
    <w:rsid w:val="002A701E"/>
    <w:rsid w:val="002B129C"/>
    <w:rsid w:val="002B60B9"/>
    <w:rsid w:val="002B65FF"/>
    <w:rsid w:val="002B7AFA"/>
    <w:rsid w:val="002D146B"/>
    <w:rsid w:val="002D2BC7"/>
    <w:rsid w:val="002D3914"/>
    <w:rsid w:val="002D6072"/>
    <w:rsid w:val="002E18AA"/>
    <w:rsid w:val="002E4449"/>
    <w:rsid w:val="002F2BC8"/>
    <w:rsid w:val="002F3386"/>
    <w:rsid w:val="00300A1B"/>
    <w:rsid w:val="00301101"/>
    <w:rsid w:val="00302ED8"/>
    <w:rsid w:val="00305D15"/>
    <w:rsid w:val="003070D6"/>
    <w:rsid w:val="003155AA"/>
    <w:rsid w:val="00325E04"/>
    <w:rsid w:val="0033687F"/>
    <w:rsid w:val="00353E13"/>
    <w:rsid w:val="00356289"/>
    <w:rsid w:val="00357BD7"/>
    <w:rsid w:val="00360404"/>
    <w:rsid w:val="00360807"/>
    <w:rsid w:val="00361B41"/>
    <w:rsid w:val="003660BB"/>
    <w:rsid w:val="00366733"/>
    <w:rsid w:val="00377967"/>
    <w:rsid w:val="00380919"/>
    <w:rsid w:val="00385FFC"/>
    <w:rsid w:val="00391FE3"/>
    <w:rsid w:val="0039541C"/>
    <w:rsid w:val="003B50A0"/>
    <w:rsid w:val="003B7427"/>
    <w:rsid w:val="003C090C"/>
    <w:rsid w:val="003C1FFB"/>
    <w:rsid w:val="003C5050"/>
    <w:rsid w:val="003C6D77"/>
    <w:rsid w:val="003D2183"/>
    <w:rsid w:val="003D2950"/>
    <w:rsid w:val="003D358E"/>
    <w:rsid w:val="003D3B90"/>
    <w:rsid w:val="003E00DC"/>
    <w:rsid w:val="003E563F"/>
    <w:rsid w:val="004006E2"/>
    <w:rsid w:val="00406180"/>
    <w:rsid w:val="004076B5"/>
    <w:rsid w:val="00423B18"/>
    <w:rsid w:val="00423C5F"/>
    <w:rsid w:val="00425363"/>
    <w:rsid w:val="0042677B"/>
    <w:rsid w:val="00426F6E"/>
    <w:rsid w:val="00426F75"/>
    <w:rsid w:val="00451167"/>
    <w:rsid w:val="00454769"/>
    <w:rsid w:val="00456ADA"/>
    <w:rsid w:val="004603AB"/>
    <w:rsid w:val="00462F98"/>
    <w:rsid w:val="00482ED8"/>
    <w:rsid w:val="00486105"/>
    <w:rsid w:val="00494AB9"/>
    <w:rsid w:val="00496E58"/>
    <w:rsid w:val="004A0AFE"/>
    <w:rsid w:val="004A0FA3"/>
    <w:rsid w:val="004A3327"/>
    <w:rsid w:val="004A5325"/>
    <w:rsid w:val="004C1A14"/>
    <w:rsid w:val="004C2F56"/>
    <w:rsid w:val="004C3FC4"/>
    <w:rsid w:val="004C6691"/>
    <w:rsid w:val="004C765D"/>
    <w:rsid w:val="004C7E45"/>
    <w:rsid w:val="004D2079"/>
    <w:rsid w:val="004D5B87"/>
    <w:rsid w:val="004D68CC"/>
    <w:rsid w:val="004D7927"/>
    <w:rsid w:val="004E723C"/>
    <w:rsid w:val="004F27E9"/>
    <w:rsid w:val="005003EC"/>
    <w:rsid w:val="0050311F"/>
    <w:rsid w:val="00503CAA"/>
    <w:rsid w:val="005043E5"/>
    <w:rsid w:val="00505418"/>
    <w:rsid w:val="00506D6F"/>
    <w:rsid w:val="00506DFF"/>
    <w:rsid w:val="0051368F"/>
    <w:rsid w:val="00520D0C"/>
    <w:rsid w:val="00522E04"/>
    <w:rsid w:val="00533923"/>
    <w:rsid w:val="00537177"/>
    <w:rsid w:val="005451A3"/>
    <w:rsid w:val="005476B1"/>
    <w:rsid w:val="0056516E"/>
    <w:rsid w:val="005735DF"/>
    <w:rsid w:val="00590A9B"/>
    <w:rsid w:val="00593DD3"/>
    <w:rsid w:val="0059427F"/>
    <w:rsid w:val="005A0698"/>
    <w:rsid w:val="005A14F4"/>
    <w:rsid w:val="005B02F3"/>
    <w:rsid w:val="005B050E"/>
    <w:rsid w:val="005B5153"/>
    <w:rsid w:val="005C59EF"/>
    <w:rsid w:val="005D19B0"/>
    <w:rsid w:val="005D7E43"/>
    <w:rsid w:val="005E668F"/>
    <w:rsid w:val="005F2AE0"/>
    <w:rsid w:val="005F62B6"/>
    <w:rsid w:val="005F6910"/>
    <w:rsid w:val="00601C72"/>
    <w:rsid w:val="006173A9"/>
    <w:rsid w:val="006179E4"/>
    <w:rsid w:val="00622231"/>
    <w:rsid w:val="0062536D"/>
    <w:rsid w:val="006315E5"/>
    <w:rsid w:val="006331B8"/>
    <w:rsid w:val="00635F8E"/>
    <w:rsid w:val="00637AAE"/>
    <w:rsid w:val="00637F0C"/>
    <w:rsid w:val="00640699"/>
    <w:rsid w:val="0064085E"/>
    <w:rsid w:val="00645192"/>
    <w:rsid w:val="0066002B"/>
    <w:rsid w:val="006603A4"/>
    <w:rsid w:val="00664022"/>
    <w:rsid w:val="00664EB2"/>
    <w:rsid w:val="00673EC8"/>
    <w:rsid w:val="006752E6"/>
    <w:rsid w:val="00680656"/>
    <w:rsid w:val="00681285"/>
    <w:rsid w:val="00682556"/>
    <w:rsid w:val="00686263"/>
    <w:rsid w:val="006868A7"/>
    <w:rsid w:val="006A1A71"/>
    <w:rsid w:val="006A3A89"/>
    <w:rsid w:val="006A6D5D"/>
    <w:rsid w:val="006C0235"/>
    <w:rsid w:val="006C3B77"/>
    <w:rsid w:val="006C4816"/>
    <w:rsid w:val="006C6678"/>
    <w:rsid w:val="006C7A69"/>
    <w:rsid w:val="006D6FE0"/>
    <w:rsid w:val="006E0283"/>
    <w:rsid w:val="006E41F0"/>
    <w:rsid w:val="006F3CA2"/>
    <w:rsid w:val="006F41A1"/>
    <w:rsid w:val="00702DA6"/>
    <w:rsid w:val="00703A8F"/>
    <w:rsid w:val="00710C90"/>
    <w:rsid w:val="00716EB5"/>
    <w:rsid w:val="0073406B"/>
    <w:rsid w:val="00734136"/>
    <w:rsid w:val="00735B65"/>
    <w:rsid w:val="00750C97"/>
    <w:rsid w:val="00754505"/>
    <w:rsid w:val="00760F6D"/>
    <w:rsid w:val="00761A64"/>
    <w:rsid w:val="007745AA"/>
    <w:rsid w:val="007745AC"/>
    <w:rsid w:val="00774D6C"/>
    <w:rsid w:val="00781937"/>
    <w:rsid w:val="00783EB6"/>
    <w:rsid w:val="00795F31"/>
    <w:rsid w:val="007A15BA"/>
    <w:rsid w:val="007A4698"/>
    <w:rsid w:val="007A4C08"/>
    <w:rsid w:val="007A7E95"/>
    <w:rsid w:val="007B5C6F"/>
    <w:rsid w:val="007C162F"/>
    <w:rsid w:val="007C312E"/>
    <w:rsid w:val="007C4083"/>
    <w:rsid w:val="007C47C3"/>
    <w:rsid w:val="007D4BAA"/>
    <w:rsid w:val="007D67F1"/>
    <w:rsid w:val="007E02B7"/>
    <w:rsid w:val="007E23F9"/>
    <w:rsid w:val="007E772A"/>
    <w:rsid w:val="007F1A56"/>
    <w:rsid w:val="007F70F5"/>
    <w:rsid w:val="007F7EA9"/>
    <w:rsid w:val="00803714"/>
    <w:rsid w:val="008149F6"/>
    <w:rsid w:val="00820F19"/>
    <w:rsid w:val="008217DA"/>
    <w:rsid w:val="0082446B"/>
    <w:rsid w:val="008264DF"/>
    <w:rsid w:val="00827F7B"/>
    <w:rsid w:val="00830F07"/>
    <w:rsid w:val="00831410"/>
    <w:rsid w:val="00833AED"/>
    <w:rsid w:val="008361DA"/>
    <w:rsid w:val="00836207"/>
    <w:rsid w:val="008364B5"/>
    <w:rsid w:val="00843712"/>
    <w:rsid w:val="00844404"/>
    <w:rsid w:val="00852086"/>
    <w:rsid w:val="00856BB9"/>
    <w:rsid w:val="00863922"/>
    <w:rsid w:val="00873171"/>
    <w:rsid w:val="00873591"/>
    <w:rsid w:val="00873F2A"/>
    <w:rsid w:val="00874EF2"/>
    <w:rsid w:val="00884965"/>
    <w:rsid w:val="00885539"/>
    <w:rsid w:val="008924D5"/>
    <w:rsid w:val="00892B86"/>
    <w:rsid w:val="00896A8A"/>
    <w:rsid w:val="008C62DD"/>
    <w:rsid w:val="008C7174"/>
    <w:rsid w:val="008D3799"/>
    <w:rsid w:val="008D3833"/>
    <w:rsid w:val="008D58F4"/>
    <w:rsid w:val="008E24B7"/>
    <w:rsid w:val="008E4C3E"/>
    <w:rsid w:val="008E6058"/>
    <w:rsid w:val="008F50B8"/>
    <w:rsid w:val="0090018F"/>
    <w:rsid w:val="009018C0"/>
    <w:rsid w:val="00906B0F"/>
    <w:rsid w:val="009107B6"/>
    <w:rsid w:val="00912E43"/>
    <w:rsid w:val="009179C8"/>
    <w:rsid w:val="009348AB"/>
    <w:rsid w:val="009378EE"/>
    <w:rsid w:val="009422D1"/>
    <w:rsid w:val="009433FD"/>
    <w:rsid w:val="009449D2"/>
    <w:rsid w:val="00954597"/>
    <w:rsid w:val="009628DC"/>
    <w:rsid w:val="00962F0D"/>
    <w:rsid w:val="00964F95"/>
    <w:rsid w:val="00972EDE"/>
    <w:rsid w:val="00980A07"/>
    <w:rsid w:val="009826BF"/>
    <w:rsid w:val="00984CFE"/>
    <w:rsid w:val="00987C11"/>
    <w:rsid w:val="009919FC"/>
    <w:rsid w:val="00993144"/>
    <w:rsid w:val="00996D34"/>
    <w:rsid w:val="009A0BE2"/>
    <w:rsid w:val="009A25F9"/>
    <w:rsid w:val="009A6DD9"/>
    <w:rsid w:val="009B7F19"/>
    <w:rsid w:val="009C002F"/>
    <w:rsid w:val="009C1698"/>
    <w:rsid w:val="009C3EB4"/>
    <w:rsid w:val="009C54EF"/>
    <w:rsid w:val="009D52E8"/>
    <w:rsid w:val="009E4EE9"/>
    <w:rsid w:val="009E68CC"/>
    <w:rsid w:val="009F097F"/>
    <w:rsid w:val="009F3751"/>
    <w:rsid w:val="009F75DC"/>
    <w:rsid w:val="00A0454A"/>
    <w:rsid w:val="00A06BE8"/>
    <w:rsid w:val="00A07BE3"/>
    <w:rsid w:val="00A10423"/>
    <w:rsid w:val="00A10F82"/>
    <w:rsid w:val="00A17E68"/>
    <w:rsid w:val="00A215AD"/>
    <w:rsid w:val="00A21B93"/>
    <w:rsid w:val="00A25B8E"/>
    <w:rsid w:val="00A3648B"/>
    <w:rsid w:val="00A50058"/>
    <w:rsid w:val="00A53E87"/>
    <w:rsid w:val="00A54ED3"/>
    <w:rsid w:val="00A57359"/>
    <w:rsid w:val="00A57368"/>
    <w:rsid w:val="00A61089"/>
    <w:rsid w:val="00A66F9C"/>
    <w:rsid w:val="00A73AA8"/>
    <w:rsid w:val="00A74132"/>
    <w:rsid w:val="00A76640"/>
    <w:rsid w:val="00A86856"/>
    <w:rsid w:val="00A907B0"/>
    <w:rsid w:val="00AA0BF0"/>
    <w:rsid w:val="00AA280B"/>
    <w:rsid w:val="00AA47E3"/>
    <w:rsid w:val="00AA5FC9"/>
    <w:rsid w:val="00AA6A8B"/>
    <w:rsid w:val="00AC11AE"/>
    <w:rsid w:val="00AD0059"/>
    <w:rsid w:val="00AD7F29"/>
    <w:rsid w:val="00AE5F05"/>
    <w:rsid w:val="00AF1D62"/>
    <w:rsid w:val="00AF6F4B"/>
    <w:rsid w:val="00B01FC3"/>
    <w:rsid w:val="00B03A21"/>
    <w:rsid w:val="00B03E34"/>
    <w:rsid w:val="00B10F67"/>
    <w:rsid w:val="00B1154D"/>
    <w:rsid w:val="00B11814"/>
    <w:rsid w:val="00B153F9"/>
    <w:rsid w:val="00B16A03"/>
    <w:rsid w:val="00B16E6D"/>
    <w:rsid w:val="00B174A0"/>
    <w:rsid w:val="00B23D51"/>
    <w:rsid w:val="00B41478"/>
    <w:rsid w:val="00B444B0"/>
    <w:rsid w:val="00B457BE"/>
    <w:rsid w:val="00B527AE"/>
    <w:rsid w:val="00B547DC"/>
    <w:rsid w:val="00B610B0"/>
    <w:rsid w:val="00B61694"/>
    <w:rsid w:val="00B61930"/>
    <w:rsid w:val="00B62729"/>
    <w:rsid w:val="00B728C6"/>
    <w:rsid w:val="00B80560"/>
    <w:rsid w:val="00B81172"/>
    <w:rsid w:val="00B8192F"/>
    <w:rsid w:val="00B86D43"/>
    <w:rsid w:val="00B87DA8"/>
    <w:rsid w:val="00BA3254"/>
    <w:rsid w:val="00BA3D1D"/>
    <w:rsid w:val="00BA5592"/>
    <w:rsid w:val="00BB379A"/>
    <w:rsid w:val="00BC3306"/>
    <w:rsid w:val="00BC4045"/>
    <w:rsid w:val="00BC6B53"/>
    <w:rsid w:val="00BD2506"/>
    <w:rsid w:val="00BD2DAD"/>
    <w:rsid w:val="00BD4758"/>
    <w:rsid w:val="00BE3E83"/>
    <w:rsid w:val="00BE5774"/>
    <w:rsid w:val="00BE7380"/>
    <w:rsid w:val="00BF1350"/>
    <w:rsid w:val="00BF2778"/>
    <w:rsid w:val="00BF59CD"/>
    <w:rsid w:val="00C04DD2"/>
    <w:rsid w:val="00C074B6"/>
    <w:rsid w:val="00C22766"/>
    <w:rsid w:val="00C24281"/>
    <w:rsid w:val="00C26D97"/>
    <w:rsid w:val="00C34823"/>
    <w:rsid w:val="00C41D3D"/>
    <w:rsid w:val="00C45C73"/>
    <w:rsid w:val="00C55133"/>
    <w:rsid w:val="00C61A7B"/>
    <w:rsid w:val="00C62A07"/>
    <w:rsid w:val="00C646EE"/>
    <w:rsid w:val="00C65BEC"/>
    <w:rsid w:val="00C70639"/>
    <w:rsid w:val="00C71E40"/>
    <w:rsid w:val="00C75E40"/>
    <w:rsid w:val="00C905E9"/>
    <w:rsid w:val="00C920B9"/>
    <w:rsid w:val="00CA31FE"/>
    <w:rsid w:val="00CA5501"/>
    <w:rsid w:val="00CB1E5A"/>
    <w:rsid w:val="00CC38AF"/>
    <w:rsid w:val="00CD1AFD"/>
    <w:rsid w:val="00CD276D"/>
    <w:rsid w:val="00CD7143"/>
    <w:rsid w:val="00CE0AD1"/>
    <w:rsid w:val="00CE554D"/>
    <w:rsid w:val="00CF15EF"/>
    <w:rsid w:val="00CF5572"/>
    <w:rsid w:val="00D01D01"/>
    <w:rsid w:val="00D0233C"/>
    <w:rsid w:val="00D03260"/>
    <w:rsid w:val="00D05F6D"/>
    <w:rsid w:val="00D17F4D"/>
    <w:rsid w:val="00D215F7"/>
    <w:rsid w:val="00D44EA6"/>
    <w:rsid w:val="00D520D6"/>
    <w:rsid w:val="00D524D9"/>
    <w:rsid w:val="00D548BD"/>
    <w:rsid w:val="00D54D05"/>
    <w:rsid w:val="00D565FF"/>
    <w:rsid w:val="00D611AF"/>
    <w:rsid w:val="00D644EC"/>
    <w:rsid w:val="00D67855"/>
    <w:rsid w:val="00D7043A"/>
    <w:rsid w:val="00D70A2B"/>
    <w:rsid w:val="00D73843"/>
    <w:rsid w:val="00D7418C"/>
    <w:rsid w:val="00D743E6"/>
    <w:rsid w:val="00D74D09"/>
    <w:rsid w:val="00D869B1"/>
    <w:rsid w:val="00D919C5"/>
    <w:rsid w:val="00D943F5"/>
    <w:rsid w:val="00D94DF9"/>
    <w:rsid w:val="00D95E0E"/>
    <w:rsid w:val="00DA21F8"/>
    <w:rsid w:val="00DA56D3"/>
    <w:rsid w:val="00DB1ADD"/>
    <w:rsid w:val="00DB584C"/>
    <w:rsid w:val="00DB6111"/>
    <w:rsid w:val="00DB76B7"/>
    <w:rsid w:val="00DC49C4"/>
    <w:rsid w:val="00DD1A9E"/>
    <w:rsid w:val="00DD7894"/>
    <w:rsid w:val="00DE29F3"/>
    <w:rsid w:val="00DF042F"/>
    <w:rsid w:val="00E016AF"/>
    <w:rsid w:val="00E12E14"/>
    <w:rsid w:val="00E165E1"/>
    <w:rsid w:val="00E2098C"/>
    <w:rsid w:val="00E24066"/>
    <w:rsid w:val="00E30AE8"/>
    <w:rsid w:val="00E31B03"/>
    <w:rsid w:val="00E357EB"/>
    <w:rsid w:val="00E42F0F"/>
    <w:rsid w:val="00E51033"/>
    <w:rsid w:val="00E57081"/>
    <w:rsid w:val="00E63287"/>
    <w:rsid w:val="00E72711"/>
    <w:rsid w:val="00E76135"/>
    <w:rsid w:val="00E8021A"/>
    <w:rsid w:val="00E83C37"/>
    <w:rsid w:val="00E872E6"/>
    <w:rsid w:val="00E910A2"/>
    <w:rsid w:val="00E91FA5"/>
    <w:rsid w:val="00EA2A5A"/>
    <w:rsid w:val="00EC0C4D"/>
    <w:rsid w:val="00ED2D8B"/>
    <w:rsid w:val="00EF5395"/>
    <w:rsid w:val="00EF6770"/>
    <w:rsid w:val="00F0272E"/>
    <w:rsid w:val="00F0584C"/>
    <w:rsid w:val="00F05F85"/>
    <w:rsid w:val="00F15BEE"/>
    <w:rsid w:val="00F32201"/>
    <w:rsid w:val="00F366D7"/>
    <w:rsid w:val="00F46FBD"/>
    <w:rsid w:val="00F52DA4"/>
    <w:rsid w:val="00F546CB"/>
    <w:rsid w:val="00F56663"/>
    <w:rsid w:val="00F662CC"/>
    <w:rsid w:val="00F80DD6"/>
    <w:rsid w:val="00F81CC9"/>
    <w:rsid w:val="00F91BA5"/>
    <w:rsid w:val="00FA073F"/>
    <w:rsid w:val="00FA359D"/>
    <w:rsid w:val="00FB5AF5"/>
    <w:rsid w:val="00FB60F1"/>
    <w:rsid w:val="00FB7FF9"/>
    <w:rsid w:val="00FC5DC7"/>
    <w:rsid w:val="00FD74A1"/>
    <w:rsid w:val="00FE2493"/>
    <w:rsid w:val="00FE44E4"/>
    <w:rsid w:val="00FE537F"/>
    <w:rsid w:val="00FF1D5C"/>
    <w:rsid w:val="00FF63D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D046E"/>
  <w15:docId w15:val="{28CEF7A5-02A3-4A46-BBB0-6C638261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pPr>
      <w:keepNext/>
      <w:keepLines/>
      <w:numPr>
        <w:numId w:val="11"/>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pPr>
      <w:keepNext/>
      <w:keepLines/>
      <w:numPr>
        <w:ilvl w:val="2"/>
        <w:numId w:val="11"/>
      </w:numPr>
      <w:spacing w:before="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rFonts w:asciiTheme="minorHAnsi" w:hAnsiTheme="minorHAnsi"/>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rPr>
      <w:rFonts w:asciiTheme="minorHAnsi" w:hAnsiTheme="minorHAnsi"/>
    </w:rPr>
  </w:style>
  <w:style w:type="paragraph" w:styleId="ListBullet2">
    <w:name w:val="List Bullet 2"/>
    <w:uiPriority w:val="8"/>
    <w:qFormat/>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eastAsiaTheme="minorHAnsi" w:cstheme="minorBidi"/>
      <w:sz w:val="18"/>
      <w:szCs w:val="22"/>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pPr>
      <w:spacing w:after="0"/>
      <w:jc w:val="center"/>
    </w:pPr>
    <w:rPr>
      <w:noProof/>
      <w:lang w:val="en-US"/>
    </w:rPr>
  </w:style>
  <w:style w:type="character" w:customStyle="1" w:styleId="EndNoteBibliographyTitleChar">
    <w:name w:val="EndNote Bibliography Title Char"/>
    <w:basedOn w:val="DefaultParagraphFont"/>
    <w:link w:val="EndNoteBibliographyTitle"/>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pPr>
      <w:spacing w:line="240" w:lineRule="auto"/>
    </w:pPr>
    <w:rPr>
      <w:noProof/>
      <w:lang w:val="en-US"/>
    </w:rPr>
  </w:style>
  <w:style w:type="character" w:customStyle="1" w:styleId="EndNoteBibliographyChar">
    <w:name w:val="EndNote Bibliography Char"/>
    <w:basedOn w:val="DefaultParagraphFont"/>
    <w:link w:val="EndNoteBibliography"/>
    <w:rPr>
      <w:rFonts w:eastAsiaTheme="minorHAnsi" w:cstheme="minorBidi"/>
      <w:noProof/>
      <w:sz w:val="22"/>
      <w:szCs w:val="22"/>
      <w:lang w:val="en-US" w:eastAsia="en-US"/>
    </w:r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Publicationdate">
    <w:name w:val="Publication date"/>
    <w:qFormat/>
    <w:rPr>
      <w:rFonts w:eastAsiaTheme="minorHAnsi" w:cstheme="minorBidi"/>
      <w:sz w:val="22"/>
      <w:szCs w:val="22"/>
      <w:lang w:eastAsia="en-US"/>
    </w:rPr>
  </w:style>
  <w:style w:type="paragraph" w:styleId="Subtitle">
    <w:name w:val="Subtitle"/>
    <w:basedOn w:val="Heading1"/>
    <w:next w:val="Normal"/>
    <w:link w:val="SubtitleChar"/>
    <w:uiPriority w:val="23"/>
    <w:qFormat/>
    <w:rsid w:val="006868A7"/>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6868A7"/>
    <w:rPr>
      <w:rFonts w:ascii="Calibri" w:eastAsiaTheme="minorHAnsi" w:hAnsi="Calibri" w:cstheme="minorBidi"/>
      <w:bCs/>
      <w:color w:val="000000"/>
      <w:spacing w:val="5"/>
      <w:kern w:val="28"/>
      <w:sz w:val="56"/>
      <w:szCs w:val="56"/>
      <w:lang w:eastAsia="en-US"/>
    </w:rPr>
  </w:style>
  <w:style w:type="character" w:customStyle="1" w:styleId="identifier">
    <w:name w:val="identifier"/>
    <w:basedOn w:val="DefaultParagraphFont"/>
    <w:rsid w:val="009628DC"/>
  </w:style>
  <w:style w:type="character" w:customStyle="1" w:styleId="id-label">
    <w:name w:val="id-label"/>
    <w:basedOn w:val="DefaultParagraphFont"/>
    <w:rsid w:val="007A15BA"/>
  </w:style>
  <w:style w:type="character" w:styleId="UnresolvedMention">
    <w:name w:val="Unresolved Mention"/>
    <w:basedOn w:val="DefaultParagraphFont"/>
    <w:uiPriority w:val="99"/>
    <w:semiHidden/>
    <w:unhideWhenUsed/>
    <w:rsid w:val="004A5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012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80196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3178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045864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1457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884526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4262">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880705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25308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18923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6077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article/pii/S2451943X20300600?via%3Dihub" TargetMode="External"/><Relationship Id="rId21" Type="http://schemas.openxmlformats.org/officeDocument/2006/relationships/image" Target="media/image4.png"/><Relationship Id="rId42" Type="http://schemas.openxmlformats.org/officeDocument/2006/relationships/hyperlink" Target="https://pubmed.ncbi.nlm.nih.gov/16235187/" TargetMode="External"/><Relationship Id="rId47" Type="http://schemas.openxmlformats.org/officeDocument/2006/relationships/hyperlink" Target="https://www.researchgate.net/publication/229072803_Glanders_outbreak_at_Tehran_Zoo_Iran" TargetMode="External"/><Relationship Id="rId63" Type="http://schemas.openxmlformats.org/officeDocument/2006/relationships/hyperlink" Target="https://promedmail.org/promed-post/?id=20180125.5583925" TargetMode="External"/><Relationship Id="rId68" Type="http://schemas.openxmlformats.org/officeDocument/2006/relationships/hyperlink" Target="https://journals.plos.org/plosntds/article?id=10.1371/journal.pntd.0003195" TargetMode="External"/><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hyperlink" Target="https://www.cdc.gov/glanders/index.html" TargetMode="External"/><Relationship Id="rId37" Type="http://schemas.openxmlformats.org/officeDocument/2006/relationships/hyperlink" Target="https://pubmed.ncbi.nlm.nih.gov/30951554/" TargetMode="External"/><Relationship Id="rId53" Type="http://schemas.openxmlformats.org/officeDocument/2006/relationships/hyperlink" Target="https://europepmc.org/article/PMC/PMC3768622" TargetMode="External"/><Relationship Id="rId58" Type="http://schemas.openxmlformats.org/officeDocument/2006/relationships/hyperlink" Target="https://www.oie.int/en/what-we-do/standards/codes-and-manuals/terrestrial-manual-online-access/" TargetMode="External"/><Relationship Id="rId74" Type="http://schemas.openxmlformats.org/officeDocument/2006/relationships/hyperlink" Target="https://www.sciencedirect.com/science/article/pii/B9781416024064500740" TargetMode="External"/><Relationship Id="rId79" Type="http://schemas.openxmlformats.org/officeDocument/2006/relationships/hyperlink" Target="https://wahis.oie.int/" TargetMode="External"/><Relationship Id="rId5" Type="http://schemas.openxmlformats.org/officeDocument/2006/relationships/numbering" Target="numbering.xml"/><Relationship Id="rId61" Type="http://schemas.openxmlformats.org/officeDocument/2006/relationships/hyperlink" Target="https://journals.asm.org/doi/10.1128/CVI.00137-12" TargetMode="External"/><Relationship Id="rId82" Type="http://schemas.openxmlformats.org/officeDocument/2006/relationships/hyperlink" Target="https://bmcimmunol.biomedcentral.com/articles/10.1186/1471-2172-9-55" TargetMode="External"/><Relationship Id="rId19" Type="http://schemas.openxmlformats.org/officeDocument/2006/relationships/header" Target="header2.xml"/><Relationship Id="rId14" Type="http://schemas.openxmlformats.org/officeDocument/2006/relationships/hyperlink" Target="https://creativecommons.org/licenses/by/4.0/legalcode" TargetMode="External"/><Relationship Id="rId22" Type="http://schemas.openxmlformats.org/officeDocument/2006/relationships/image" Target="media/image5.png"/><Relationship Id="rId27" Type="http://schemas.openxmlformats.org/officeDocument/2006/relationships/hyperlink" Target="https://tropmedhealth.biomedcentral.com/articles/10.1186/s41182-019-0185-2" TargetMode="External"/><Relationship Id="rId30" Type="http://schemas.openxmlformats.org/officeDocument/2006/relationships/hyperlink" Target="https://animalhealthaustralia.com.au/ausvetplan/" TargetMode="External"/><Relationship Id="rId35" Type="http://schemas.openxmlformats.org/officeDocument/2006/relationships/hyperlink" Target="https://www.publish.csiro.au/MA/fulltext/MA20011" TargetMode="External"/><Relationship Id="rId43" Type="http://schemas.openxmlformats.org/officeDocument/2006/relationships/hyperlink" Target="https://journals.sagepub.com/doi/10.1177/104063879300500121?url_ver=Z39.88-2003&amp;rfr_id=ori:rid:crossref.org&amp;rfr_dat=cr_pub%20%200pubmed" TargetMode="External"/><Relationship Id="rId48" Type="http://schemas.openxmlformats.org/officeDocument/2006/relationships/hyperlink" Target="https://pubmed.ncbi.nlm.nih.gov/22630609/" TargetMode="External"/><Relationship Id="rId56" Type="http://schemas.openxmlformats.org/officeDocument/2006/relationships/hyperlink" Target="https://onlinelibrary.wiley.com/doi/10.1111/j.1439-0450.2005.00855.x" TargetMode="External"/><Relationship Id="rId64" Type="http://schemas.openxmlformats.org/officeDocument/2006/relationships/hyperlink" Target="https://promedmail.org/promed-post/?id=8380685" TargetMode="External"/><Relationship Id="rId69" Type="http://schemas.openxmlformats.org/officeDocument/2006/relationships/hyperlink" Target="https://pubmed.ncbi.nlm.nih.gov/33781425/" TargetMode="External"/><Relationship Id="rId77" Type="http://schemas.openxmlformats.org/officeDocument/2006/relationships/hyperlink" Target="https://scialert.net/fulltext/?doi=jbs.2014.38.51" TargetMode="External"/><Relationship Id="rId8" Type="http://schemas.openxmlformats.org/officeDocument/2006/relationships/webSettings" Target="webSettings.xml"/><Relationship Id="rId51" Type="http://schemas.openxmlformats.org/officeDocument/2006/relationships/hyperlink" Target="https://www.ncbi.nlm.nih.gov/pmc/articles/PMC3450061/" TargetMode="External"/><Relationship Id="rId72" Type="http://schemas.openxmlformats.org/officeDocument/2006/relationships/hyperlink" Target="https://bmcvetres.biomedcentral.com/articles/10.1186/1746-6148-5-32" TargetMode="External"/><Relationship Id="rId80" Type="http://schemas.openxmlformats.org/officeDocument/2006/relationships/hyperlink" Target="https://www.izs.it/vet_italiana/2019/55_3/VetIt_1701_9026_2.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aff.gov.au" TargetMode="External"/><Relationship Id="rId25" Type="http://schemas.openxmlformats.org/officeDocument/2006/relationships/footer" Target="footer3.xml"/><Relationship Id="rId33" Type="http://schemas.openxmlformats.org/officeDocument/2006/relationships/hyperlink" Target="https://www.ncbi.nlm.nih.gov/pmc/articles/PMC339565/" TargetMode="External"/><Relationship Id="rId38" Type="http://schemas.openxmlformats.org/officeDocument/2006/relationships/hyperlink" Target="https://bmcvetres.biomedcentral.com/articles/10.1186/1746-6148-7-4" TargetMode="External"/><Relationship Id="rId46" Type="http://schemas.openxmlformats.org/officeDocument/2006/relationships/hyperlink" Target="https://beva.onlinelibrary.wiley.com/doi/10.1111/evj.12599" TargetMode="External"/><Relationship Id="rId59" Type="http://schemas.openxmlformats.org/officeDocument/2006/relationships/hyperlink" Target="https://www.oie.int/fileadmin/Home/eng/Animal_Health_in_the_World/docs/pdf/Disease_cards/GLANDERS.pdf" TargetMode="External"/><Relationship Id="rId67" Type="http://schemas.openxmlformats.org/officeDocument/2006/relationships/hyperlink" Target="https://pubmed.ncbi.nlm.nih.gov/23134717/" TargetMode="External"/><Relationship Id="rId20" Type="http://schemas.openxmlformats.org/officeDocument/2006/relationships/footer" Target="footer2.xml"/><Relationship Id="rId41" Type="http://schemas.openxmlformats.org/officeDocument/2006/relationships/hyperlink" Target="https://pubmed.ncbi.nlm.nih.gov/20528691/" TargetMode="External"/><Relationship Id="rId54" Type="http://schemas.openxmlformats.org/officeDocument/2006/relationships/hyperlink" Target="https://www.bing.com/search?q=Six+horses+test+positive+for+ganders+in+Rohtak%2C+Hisar%2C+The+Times+of+India&amp;cvid=bb85c330706b432a8a0114156beaf2b2&amp;aqs=edge..69i57.306j0j4&amp;FORM=ANAB01&amp;PC=U531" TargetMode="External"/><Relationship Id="rId62" Type="http://schemas.openxmlformats.org/officeDocument/2006/relationships/hyperlink" Target="https://promedmail.org/promed-post/?id=220673920041019.2836" TargetMode="External"/><Relationship Id="rId70" Type="http://schemas.openxmlformats.org/officeDocument/2006/relationships/hyperlink" Target="https://pubmed.ncbi.nlm.nih.gov/31916415/" TargetMode="External"/><Relationship Id="rId75" Type="http://schemas.openxmlformats.org/officeDocument/2006/relationships/hyperlink" Target="https://www.sciencedirect.com/science/article/pii/S0264410X0400784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agriculture.gov.au" TargetMode="External"/><Relationship Id="rId23" Type="http://schemas.openxmlformats.org/officeDocument/2006/relationships/image" Target="media/image6.png"/><Relationship Id="rId28" Type="http://schemas.openxmlformats.org/officeDocument/2006/relationships/hyperlink" Target="http://vetarhiv.vef.unizg.hr/papers/68-5/alani.htm" TargetMode="External"/><Relationship Id="rId36" Type="http://schemas.openxmlformats.org/officeDocument/2006/relationships/hyperlink" Target="https://beva.onlinelibrary.wiley.com/doi/abs/10.2746/095777309X401071" TargetMode="External"/><Relationship Id="rId49" Type="http://schemas.openxmlformats.org/officeDocument/2006/relationships/hyperlink" Target="https://www.dailypioneer.com/2019/india/ministry---s-action-plan-to-check-glanders-disease.html" TargetMode="External"/><Relationship Id="rId57" Type="http://schemas.openxmlformats.org/officeDocument/2006/relationships/hyperlink" Target="https://wahis.oie.int/" TargetMode="External"/><Relationship Id="rId10" Type="http://schemas.openxmlformats.org/officeDocument/2006/relationships/endnotes" Target="endnotes.xml"/><Relationship Id="rId31" Type="http://schemas.openxmlformats.org/officeDocument/2006/relationships/hyperlink" Target="https://bvajournals.onlinelibrary.wiley.com/doi/full/10.1136/vr.144.10.255" TargetMode="External"/><Relationship Id="rId44" Type="http://schemas.openxmlformats.org/officeDocument/2006/relationships/hyperlink" Target="http://pashudhanharyana.gov.in/sites/default/files/documents/Animal_health/Glanders2016.pdf" TargetMode="External"/><Relationship Id="rId52" Type="http://schemas.openxmlformats.org/officeDocument/2006/relationships/hyperlink" Target="https://pubmed.ncbi.nlm.nih.gov/26457190/" TargetMode="External"/><Relationship Id="rId60" Type="http://schemas.openxmlformats.org/officeDocument/2006/relationships/hyperlink" Target="https://www.oie.int/en/what-we-do/standards/codes-and-manuals/terrestrial-code-online-access/" TargetMode="External"/><Relationship Id="rId65" Type="http://schemas.openxmlformats.org/officeDocument/2006/relationships/hyperlink" Target="https://www.ncbi.nlm.nih.gov/pmc/articles/PMC6073846/" TargetMode="External"/><Relationship Id="rId73" Type="http://schemas.openxmlformats.org/officeDocument/2006/relationships/hyperlink" Target="https://www.nejm.org/doi/full/10.1056/NEJM200107263450404" TargetMode="External"/><Relationship Id="rId78" Type="http://schemas.openxmlformats.org/officeDocument/2006/relationships/hyperlink" Target="https://wahis.oie.int/" TargetMode="External"/><Relationship Id="rId81" Type="http://schemas.openxmlformats.org/officeDocument/2006/relationships/hyperlink" Target="https://www.ncbi.nlm.nih.gov/pmc/articles/PMC338137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awe.gov.au/" TargetMode="External"/><Relationship Id="rId39" Type="http://schemas.openxmlformats.org/officeDocument/2006/relationships/hyperlink" Target="https://bmcvetres.biomedcentral.com/articles/10.1186/1746-6148-8-154" TargetMode="External"/><Relationship Id="rId34" Type="http://schemas.openxmlformats.org/officeDocument/2006/relationships/hyperlink" Target="https://avmajournals.avma.org/doi/full/10.2460/javma.233.4.570" TargetMode="External"/><Relationship Id="rId50" Type="http://schemas.openxmlformats.org/officeDocument/2006/relationships/hyperlink" Target="https://pubmed.ncbi.nlm.nih.gov/27736903/" TargetMode="External"/><Relationship Id="rId55" Type="http://schemas.openxmlformats.org/officeDocument/2006/relationships/hyperlink" Target="https://journals.sagepub.com/doi/pdf/10.1177/104063870701900404" TargetMode="External"/><Relationship Id="rId76" Type="http://schemas.openxmlformats.org/officeDocument/2006/relationships/hyperlink" Target="https://ojrd.biomedcentral.com/articles/10.1186/1750-1172-8-131" TargetMode="External"/><Relationship Id="rId7" Type="http://schemas.openxmlformats.org/officeDocument/2006/relationships/settings" Target="settings.xml"/><Relationship Id="rId71" Type="http://schemas.openxmlformats.org/officeDocument/2006/relationships/hyperlink" Target="https://lib.dr.iastate.edu/cgi/viewcontent.cgi?article=1066&amp;context=cfsph_factsheets" TargetMode="External"/><Relationship Id="rId2" Type="http://schemas.openxmlformats.org/officeDocument/2006/relationships/customXml" Target="../customXml/item2.xml"/><Relationship Id="rId29" Type="http://schemas.openxmlformats.org/officeDocument/2006/relationships/hyperlink" Target="https://thehorse.com/115177/glanders-a-re-emerging-disease-in-the-middle-east/" TargetMode="External"/><Relationship Id="rId24" Type="http://schemas.openxmlformats.org/officeDocument/2006/relationships/image" Target="media/image7.png"/><Relationship Id="rId40" Type="http://schemas.openxmlformats.org/officeDocument/2006/relationships/hyperlink" Target="https://pubmed.ncbi.nlm.nih.gov/31203979/" TargetMode="External"/><Relationship Id="rId45" Type="http://schemas.openxmlformats.org/officeDocument/2006/relationships/hyperlink" Target="http://pashudhanharyana.gov.in/sites/default/files/documents/Animal_health/NAP_Glanders_June_2019.pdf" TargetMode="External"/><Relationship Id="rId66" Type="http://schemas.openxmlformats.org/officeDocument/2006/relationships/hyperlink" Target="https://www.ncbi.nlm.nih.gov/pmc/articles/PMC15948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ink xmlns="a3c1fb92-f3b6-4505-b7df-85b4e49e1f22">
      <Url xsi:nil="true"/>
      <Description xsi:nil="true"/>
    </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E3404751E168468E393FECE57400E7" ma:contentTypeVersion="1" ma:contentTypeDescription="Create a new document." ma:contentTypeScope="" ma:versionID="07faab4fe777c1dfc17f1652cbbbab72">
  <xsd:schema xmlns:xsd="http://www.w3.org/2001/XMLSchema" xmlns:xs="http://www.w3.org/2001/XMLSchema" xmlns:p="http://schemas.microsoft.com/office/2006/metadata/properties" xmlns:ns2="a3c1fb92-f3b6-4505-b7df-85b4e49e1f22" targetNamespace="http://schemas.microsoft.com/office/2006/metadata/properties" ma:root="true" ma:fieldsID="ff12a6f9dc6d6ab4153a594dfc708dbd" ns2:_="">
    <xsd:import namespace="a3c1fb92-f3b6-4505-b7df-85b4e49e1f22"/>
    <xsd:element name="properties">
      <xsd:complexType>
        <xsd:sequence>
          <xsd:element name="documentManagement">
            <xsd:complexType>
              <xsd:all>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fb92-f3b6-4505-b7df-85b4e49e1f22" elementFormDefault="qualified">
    <xsd:import namespace="http://schemas.microsoft.com/office/2006/documentManagement/types"/>
    <xsd:import namespace="http://schemas.microsoft.com/office/infopath/2007/PartnerControls"/>
    <xsd:element name="Link" ma:index="8"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1D323EF-822C-4E4A-9DA5-304476EA7B2B}">
  <ds:schemaRefs>
    <ds:schemaRef ds:uri="http://schemas.microsoft.com/office/2006/metadata/properties"/>
    <ds:schemaRef ds:uri="a3c1fb92-f3b6-4505-b7df-85b4e49e1f22"/>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7DD95D77-A208-44F8-9E6A-0C5E812C0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fb92-f3b6-4505-b7df-85b4e49e1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99124-0B13-4948-B0D8-D781B31A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13639</Words>
  <Characters>76788</Characters>
  <Application>Microsoft Office Word</Application>
  <DocSecurity>0</DocSecurity>
  <Lines>1396</Lines>
  <Paragraphs>591</Paragraphs>
  <ScaleCrop>false</ScaleCrop>
  <HeadingPairs>
    <vt:vector size="2" baseType="variant">
      <vt:variant>
        <vt:lpstr>Title</vt:lpstr>
      </vt:variant>
      <vt:variant>
        <vt:i4>1</vt:i4>
      </vt:variant>
    </vt:vector>
  </HeadingPairs>
  <TitlesOfParts>
    <vt:vector size="1" baseType="lpstr">
      <vt:lpstr>Review of risks associated with Glanders (Burkholderia mallei) in horses and horse semen - Final report 2022</vt:lpstr>
    </vt:vector>
  </TitlesOfParts>
  <Company/>
  <LinksUpToDate>false</LinksUpToDate>
  <CharactersWithSpaces>89836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risks associated with Glanders (Burkholderia mallei) in horses and horse semen - Final report 2022</dc:title>
  <dc:subject/>
  <dc:creator>Department of Agriculture Fisheries and Forestry</dc:creator>
  <cp:keywords/>
  <dc:description/>
  <cp:lastModifiedBy>Nov, Amanda</cp:lastModifiedBy>
  <cp:revision>7</cp:revision>
  <cp:lastPrinted>2022-09-01T23:22:00Z</cp:lastPrinted>
  <dcterms:created xsi:type="dcterms:W3CDTF">2022-09-01T00:59:00Z</dcterms:created>
  <dcterms:modified xsi:type="dcterms:W3CDTF">2022-10-19T07:10:00Z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0x010100EBE3404751E168468E393FECE57400E7</vt:lpwstr>
  </property>
</Properties>
</file>